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44EE" w:rsidRDefault="004F56AD">
      <w:pPr>
        <w:pStyle w:val="Title"/>
        <w:contextualSpacing w:val="0"/>
      </w:pPr>
      <w:bookmarkStart w:id="0" w:name="h.7zxr7jxgcrj5" w:colFirst="0" w:colLast="0"/>
      <w:bookmarkEnd w:id="0"/>
      <w:r>
        <w:t xml:space="preserve">Proposed Principal Terms of </w:t>
      </w:r>
      <w:proofErr w:type="spellStart"/>
      <w:r>
        <w:t>IANA</w:t>
      </w:r>
      <w:proofErr w:type="spellEnd"/>
      <w:r>
        <w:t xml:space="preserve"> Intellectual Property Agreements</w:t>
      </w:r>
    </w:p>
    <w:p w:rsidR="003744EE" w:rsidRDefault="004F56AD">
      <w:r>
        <w:t xml:space="preserve">This draft relates to a possible use of the </w:t>
      </w:r>
      <w:proofErr w:type="spellStart"/>
      <w:r>
        <w:t>IETF</w:t>
      </w:r>
      <w:proofErr w:type="spellEnd"/>
      <w:r>
        <w:t xml:space="preserve"> Trust as an independent entity to hold certain </w:t>
      </w:r>
      <w:proofErr w:type="spellStart"/>
      <w:r>
        <w:t>IANA</w:t>
      </w:r>
      <w:proofErr w:type="spellEnd"/>
      <w:r>
        <w:t xml:space="preserve">-related </w:t>
      </w:r>
      <w:proofErr w:type="spellStart"/>
      <w:r>
        <w:t>IPR</w:t>
      </w:r>
      <w:proofErr w:type="spellEnd"/>
      <w:r>
        <w:t>, specifically, the</w:t>
      </w:r>
      <w:r>
        <w:t xml:space="preserve"> three </w:t>
      </w:r>
      <w:proofErr w:type="spellStart"/>
      <w:r>
        <w:t>IANA</w:t>
      </w:r>
      <w:proofErr w:type="spellEnd"/>
      <w:r>
        <w:t xml:space="preserve"> trademarks (INTERNET ASSIGNED NUMBERS AUTHORITY, </w:t>
      </w:r>
      <w:proofErr w:type="spellStart"/>
      <w:r>
        <w:t>IANA</w:t>
      </w:r>
      <w:proofErr w:type="spellEnd"/>
      <w:r>
        <w:t xml:space="preserve"> and the </w:t>
      </w:r>
      <w:proofErr w:type="spellStart"/>
      <w:r>
        <w:t>IANA</w:t>
      </w:r>
      <w:proofErr w:type="spellEnd"/>
      <w:r>
        <w:t xml:space="preserve"> logo) and any registrations of such marks (the “</w:t>
      </w:r>
      <w:proofErr w:type="spellStart"/>
      <w:r>
        <w:t>IANA</w:t>
      </w:r>
      <w:proofErr w:type="spellEnd"/>
      <w:r>
        <w:t xml:space="preserve"> Marks”) and the three </w:t>
      </w:r>
      <w:proofErr w:type="spellStart"/>
      <w:r>
        <w:t>IANA</w:t>
      </w:r>
      <w:proofErr w:type="spellEnd"/>
      <w:r>
        <w:t>-related domain names (</w:t>
      </w:r>
      <w:hyperlink r:id="rId8">
        <w:r>
          <w:rPr>
            <w:u w:val="single"/>
          </w:rPr>
          <w:t>iana.org</w:t>
        </w:r>
      </w:hyperlink>
      <w:r>
        <w:t xml:space="preserve">, </w:t>
      </w:r>
      <w:hyperlink r:id="rId9">
        <w:r>
          <w:rPr>
            <w:u w:val="single"/>
          </w:rPr>
          <w:t>iana.net</w:t>
        </w:r>
      </w:hyperlink>
      <w:r>
        <w:t xml:space="preserve">, and </w:t>
      </w:r>
      <w:hyperlink r:id="rId10">
        <w:r>
          <w:rPr>
            <w:u w:val="single"/>
          </w:rPr>
          <w:t>iana.com</w:t>
        </w:r>
      </w:hyperlink>
      <w:r>
        <w:t>) (the “</w:t>
      </w:r>
      <w:proofErr w:type="spellStart"/>
      <w:r>
        <w:t>IANA</w:t>
      </w:r>
      <w:proofErr w:type="spellEnd"/>
      <w:r>
        <w:t xml:space="preserve"> Domains”) (collectively, the “</w:t>
      </w:r>
      <w:proofErr w:type="spellStart"/>
      <w:r>
        <w:t>IANA</w:t>
      </w:r>
      <w:proofErr w:type="spellEnd"/>
      <w:r>
        <w:t xml:space="preserve"> </w:t>
      </w:r>
      <w:proofErr w:type="spellStart"/>
      <w:r>
        <w:t>IPR</w:t>
      </w:r>
      <w:proofErr w:type="spellEnd"/>
      <w:r>
        <w:t>”)</w:t>
      </w:r>
      <w:r>
        <w:t xml:space="preserve">. </w:t>
      </w:r>
    </w:p>
    <w:p w:rsidR="003744EE" w:rsidRDefault="004F56AD">
      <w:pPr>
        <w:pStyle w:val="Heading1"/>
        <w:numPr>
          <w:ilvl w:val="0"/>
          <w:numId w:val="1"/>
        </w:numPr>
        <w:ind w:left="360" w:hanging="360"/>
      </w:pPr>
      <w:r>
        <w:t>Background</w:t>
      </w:r>
    </w:p>
    <w:p w:rsidR="003744EE" w:rsidRDefault="004F56AD">
      <w:r>
        <w:t xml:space="preserve">The </w:t>
      </w:r>
      <w:proofErr w:type="spellStart"/>
      <w:r>
        <w:t>ICG</w:t>
      </w:r>
      <w:proofErr w:type="spellEnd"/>
      <w:r>
        <w:t xml:space="preserve"> proposal</w:t>
      </w:r>
      <w:r>
        <w:rPr>
          <w:vertAlign w:val="superscript"/>
        </w:rPr>
        <w:footnoteReference w:id="1"/>
      </w:r>
      <w:r>
        <w:t xml:space="preserve"> indicates that the </w:t>
      </w:r>
      <w:proofErr w:type="spellStart"/>
      <w:r>
        <w:t>IANA</w:t>
      </w:r>
      <w:proofErr w:type="spellEnd"/>
      <w:r>
        <w:t xml:space="preserve"> trademark and </w:t>
      </w:r>
      <w:hyperlink r:id="rId11">
        <w:r>
          <w:rPr>
            <w:color w:val="1155CC"/>
            <w:u w:val="single"/>
          </w:rPr>
          <w:t>iana.org</w:t>
        </w:r>
      </w:hyperlink>
      <w:r>
        <w:t> domain should be transf</w:t>
      </w:r>
      <w:r>
        <w:t xml:space="preserve">erred to an entity independent of the </w:t>
      </w:r>
      <w:proofErr w:type="spellStart"/>
      <w:r>
        <w:t>IANA</w:t>
      </w:r>
      <w:proofErr w:type="spellEnd"/>
      <w:r>
        <w:t xml:space="preserve"> Numbering Services Operator. The </w:t>
      </w:r>
      <w:proofErr w:type="spellStart"/>
      <w:r>
        <w:t>CWG</w:t>
      </w:r>
      <w:proofErr w:type="spellEnd"/>
      <w:r>
        <w:t xml:space="preserve"> has also agreed</w:t>
      </w:r>
      <w:r>
        <w:rPr>
          <w:vertAlign w:val="superscript"/>
        </w:rPr>
        <w:footnoteReference w:id="2"/>
      </w:r>
      <w:r>
        <w:t xml:space="preserve"> that the </w:t>
      </w:r>
      <w:proofErr w:type="spellStart"/>
      <w:r>
        <w:t>IANA</w:t>
      </w:r>
      <w:proofErr w:type="spellEnd"/>
      <w:r>
        <w:t xml:space="preserve"> trademarks and domains should be transferred to an entity independent of the </w:t>
      </w:r>
      <w:proofErr w:type="spellStart"/>
      <w:r>
        <w:t>IANA</w:t>
      </w:r>
      <w:proofErr w:type="spellEnd"/>
      <w:r>
        <w:t xml:space="preserve"> Functions Operator.  </w:t>
      </w:r>
    </w:p>
    <w:p w:rsidR="003744EE" w:rsidRDefault="004F56AD">
      <w:r>
        <w:t xml:space="preserve">The </w:t>
      </w:r>
      <w:proofErr w:type="spellStart"/>
      <w:r>
        <w:t>IETF</w:t>
      </w:r>
      <w:proofErr w:type="spellEnd"/>
      <w:r>
        <w:t xml:space="preserve"> Trust (the “Trust”) would be a p</w:t>
      </w:r>
      <w:r>
        <w:t>otentially acceptable candidate for this role. The following is an overview of how the role and responsibilities could be fulfilled by the Trust.</w:t>
      </w:r>
    </w:p>
    <w:p w:rsidR="003744EE" w:rsidRDefault="004F56AD">
      <w:r>
        <w:t xml:space="preserve">The </w:t>
      </w:r>
      <w:proofErr w:type="spellStart"/>
      <w:r>
        <w:t>IETF</w:t>
      </w:r>
      <w:proofErr w:type="spellEnd"/>
      <w:r>
        <w:t xml:space="preserve"> Trust is a Virginia USA private or “common-law” trust,</w:t>
      </w:r>
      <w:r>
        <w:rPr>
          <w:vertAlign w:val="superscript"/>
        </w:rPr>
        <w:footnoteReference w:id="3"/>
      </w:r>
      <w:r>
        <w:t xml:space="preserve"> the trustees of which are the members of the </w:t>
      </w:r>
      <w:proofErr w:type="spellStart"/>
      <w:r>
        <w:t>IETF</w:t>
      </w:r>
      <w:proofErr w:type="spellEnd"/>
      <w:r>
        <w:t xml:space="preserve"> Administrative Oversight Committee (</w:t>
      </w:r>
      <w:proofErr w:type="spellStart"/>
      <w:r>
        <w:t>IAOC</w:t>
      </w:r>
      <w:proofErr w:type="spellEnd"/>
      <w:r>
        <w:t xml:space="preserve">), and the beneficiary of which is  “the </w:t>
      </w:r>
      <w:proofErr w:type="spellStart"/>
      <w:r>
        <w:t>IETF</w:t>
      </w:r>
      <w:proofErr w:type="spellEnd"/>
      <w:r>
        <w:t xml:space="preserve"> as a whole.”</w:t>
      </w:r>
      <w:r>
        <w:rPr>
          <w:vertAlign w:val="superscript"/>
        </w:rPr>
        <w:footnoteReference w:id="4"/>
      </w:r>
      <w:r>
        <w:t xml:space="preserve">  The purpose of the </w:t>
      </w:r>
      <w:proofErr w:type="spellStart"/>
      <w:r>
        <w:t>IETF</w:t>
      </w:r>
      <w:proofErr w:type="spellEnd"/>
      <w:r>
        <w:t xml:space="preserve"> Trust includes “acquiring, holding, maintaining and licensing certain existing and future intellectual property and other prop</w:t>
      </w:r>
      <w:r>
        <w:t>erty used in connection with the Internet standards process and its administration, for the advancement of the science and technology associated with the Internet and related technology.”</w:t>
      </w:r>
      <w:r>
        <w:rPr>
          <w:vertAlign w:val="superscript"/>
        </w:rPr>
        <w:footnoteReference w:id="5"/>
      </w:r>
    </w:p>
    <w:p w:rsidR="003744EE" w:rsidRDefault="004F56AD">
      <w:pPr>
        <w:pStyle w:val="Heading1"/>
        <w:numPr>
          <w:ilvl w:val="0"/>
          <w:numId w:val="1"/>
        </w:numPr>
        <w:ind w:left="360"/>
      </w:pPr>
      <w:bookmarkStart w:id="1" w:name="h.3dm2imews7uh" w:colFirst="0" w:colLast="0"/>
      <w:bookmarkEnd w:id="1"/>
      <w:r>
        <w:t>Framework</w:t>
      </w:r>
    </w:p>
    <w:p w:rsidR="003744EE" w:rsidRDefault="004F56AD">
      <w:r>
        <w:t>There would need to be three different types of agreement</w:t>
      </w:r>
      <w:r>
        <w:t xml:space="preserve">s to transfer the </w:t>
      </w:r>
      <w:proofErr w:type="spellStart"/>
      <w:r>
        <w:t>IANA</w:t>
      </w:r>
      <w:proofErr w:type="spellEnd"/>
      <w:r>
        <w:t xml:space="preserve"> </w:t>
      </w:r>
      <w:proofErr w:type="spellStart"/>
      <w:r>
        <w:t>IPR</w:t>
      </w:r>
      <w:proofErr w:type="spellEnd"/>
      <w:r>
        <w:t xml:space="preserve"> from ICANN to the Trust, to hold the </w:t>
      </w:r>
      <w:proofErr w:type="spellStart"/>
      <w:r>
        <w:t>IANA</w:t>
      </w:r>
      <w:proofErr w:type="spellEnd"/>
      <w:r>
        <w:t xml:space="preserve"> </w:t>
      </w:r>
      <w:proofErr w:type="spellStart"/>
      <w:r>
        <w:t>IPR</w:t>
      </w:r>
      <w:proofErr w:type="spellEnd"/>
      <w:r>
        <w:t xml:space="preserve">  and to license the </w:t>
      </w:r>
      <w:proofErr w:type="spellStart"/>
      <w:r>
        <w:t>IANA</w:t>
      </w:r>
      <w:proofErr w:type="spellEnd"/>
      <w:r>
        <w:t xml:space="preserve"> </w:t>
      </w:r>
      <w:proofErr w:type="spellStart"/>
      <w:r>
        <w:t>IPR</w:t>
      </w:r>
      <w:proofErr w:type="spellEnd"/>
      <w:r>
        <w:t xml:space="preserve"> to the </w:t>
      </w:r>
      <w:proofErr w:type="spellStart"/>
      <w:r>
        <w:t>IANA</w:t>
      </w:r>
      <w:proofErr w:type="spellEnd"/>
      <w:r>
        <w:t xml:space="preserve"> service provider(s), specifically:</w:t>
      </w:r>
    </w:p>
    <w:p w:rsidR="003744EE" w:rsidRDefault="004F56AD">
      <w:pPr>
        <w:numPr>
          <w:ilvl w:val="1"/>
          <w:numId w:val="1"/>
        </w:numPr>
        <w:ind w:left="720" w:hanging="360"/>
      </w:pPr>
      <w:r>
        <w:t xml:space="preserve">An Assignment Agreement between ICANN (as </w:t>
      </w:r>
      <w:r>
        <w:t xml:space="preserve">“Assignor”) </w:t>
      </w:r>
      <w:r>
        <w:t xml:space="preserve">and the </w:t>
      </w:r>
      <w:proofErr w:type="spellStart"/>
      <w:r>
        <w:t>IETF</w:t>
      </w:r>
      <w:proofErr w:type="spellEnd"/>
      <w:r>
        <w:t xml:space="preserve"> Trust (</w:t>
      </w:r>
      <w:r>
        <w:t>as “Assignee”)</w:t>
      </w:r>
      <w:r>
        <w:t xml:space="preserve"> transferring the </w:t>
      </w:r>
      <w:proofErr w:type="spellStart"/>
      <w:r>
        <w:t>IANA</w:t>
      </w:r>
      <w:proofErr w:type="spellEnd"/>
      <w:r>
        <w:t xml:space="preserve"> </w:t>
      </w:r>
      <w:proofErr w:type="spellStart"/>
      <w:r>
        <w:t>IPR</w:t>
      </w:r>
      <w:proofErr w:type="spellEnd"/>
      <w:r>
        <w:t xml:space="preserve"> to the </w:t>
      </w:r>
      <w:proofErr w:type="spellStart"/>
      <w:r>
        <w:t>IETF</w:t>
      </w:r>
      <w:proofErr w:type="spellEnd"/>
      <w:r>
        <w:t xml:space="preserve"> Trust</w:t>
      </w:r>
      <w:r>
        <w:t>;</w:t>
      </w:r>
    </w:p>
    <w:p w:rsidR="003744EE" w:rsidRDefault="004F56AD">
      <w:pPr>
        <w:numPr>
          <w:ilvl w:val="1"/>
          <w:numId w:val="1"/>
        </w:numPr>
        <w:ind w:left="720" w:hanging="360"/>
      </w:pPr>
      <w:r>
        <w:t xml:space="preserve">An agreement or agreements between the </w:t>
      </w:r>
      <w:proofErr w:type="spellStart"/>
      <w:r>
        <w:t>IETF</w:t>
      </w:r>
      <w:proofErr w:type="spellEnd"/>
      <w:r>
        <w:t xml:space="preserve"> Trust and the names,</w:t>
      </w:r>
      <w:r>
        <w:rPr>
          <w:vertAlign w:val="superscript"/>
        </w:rPr>
        <w:footnoteReference w:id="6"/>
      </w:r>
      <w:r>
        <w:t xml:space="preserve"> numbers, and protocol communities (the </w:t>
      </w:r>
      <w:r>
        <w:t>“Operational</w:t>
      </w:r>
      <w:r>
        <w:t xml:space="preserve"> </w:t>
      </w:r>
      <w:r>
        <w:t>C</w:t>
      </w:r>
      <w:r>
        <w:t>ommunities</w:t>
      </w:r>
      <w:r>
        <w:t>”</w:t>
      </w:r>
      <w:r>
        <w:t>) regarding the relations</w:t>
      </w:r>
      <w:r>
        <w:t>hip between the Trust and each Operational Community an</w:t>
      </w:r>
      <w:r>
        <w:t>d the relationship among the Operational Communities, including the</w:t>
      </w:r>
      <w:r>
        <w:t xml:space="preserve"> Trust’s commitments, duties and obligations to each </w:t>
      </w:r>
      <w:r>
        <w:t>C</w:t>
      </w:r>
      <w:r>
        <w:t>ommunity; and</w:t>
      </w:r>
    </w:p>
    <w:p w:rsidR="003744EE" w:rsidRDefault="004F56AD">
      <w:pPr>
        <w:numPr>
          <w:ilvl w:val="1"/>
          <w:numId w:val="1"/>
        </w:numPr>
        <w:ind w:left="720" w:hanging="360"/>
      </w:pPr>
      <w:r>
        <w:t xml:space="preserve">A License </w:t>
      </w:r>
      <w:r>
        <w:t xml:space="preserve">Agreement whereby the </w:t>
      </w:r>
      <w:proofErr w:type="spellStart"/>
      <w:r>
        <w:t>IETF</w:t>
      </w:r>
      <w:proofErr w:type="spellEnd"/>
      <w:r>
        <w:t xml:space="preserve"> Trust grants to </w:t>
      </w:r>
      <w:r>
        <w:t xml:space="preserve">ICANN </w:t>
      </w:r>
      <w:r>
        <w:t xml:space="preserve">(as the post-transition </w:t>
      </w:r>
      <w:proofErr w:type="spellStart"/>
      <w:r>
        <w:t>IANA</w:t>
      </w:r>
      <w:proofErr w:type="spellEnd"/>
      <w:r>
        <w:t xml:space="preserve"> service provider) the right to us</w:t>
      </w:r>
      <w:r>
        <w:t xml:space="preserve">e the </w:t>
      </w:r>
      <w:proofErr w:type="spellStart"/>
      <w:r>
        <w:t>IANA</w:t>
      </w:r>
      <w:proofErr w:type="spellEnd"/>
      <w:r>
        <w:t xml:space="preserve"> </w:t>
      </w:r>
      <w:proofErr w:type="spellStart"/>
      <w:r>
        <w:t>IPR</w:t>
      </w:r>
      <w:proofErr w:type="spellEnd"/>
      <w:r>
        <w:t xml:space="preserve"> </w:t>
      </w:r>
      <w:r>
        <w:t xml:space="preserve">and the right to sublicense that right to </w:t>
      </w:r>
      <w:proofErr w:type="spellStart"/>
      <w:r>
        <w:t>PTI</w:t>
      </w:r>
      <w:proofErr w:type="spellEnd"/>
      <w:r>
        <w:t>.</w:t>
      </w:r>
      <w:r>
        <w:t xml:space="preserve"> If, at </w:t>
      </w:r>
      <w:r>
        <w:lastRenderedPageBreak/>
        <w:t>some future time, one of the Operational  Communities should contract with another party (“</w:t>
      </w:r>
      <w:proofErr w:type="spellStart"/>
      <w:r>
        <w:t>IANA</w:t>
      </w:r>
      <w:proofErr w:type="spellEnd"/>
      <w:r>
        <w:t xml:space="preserve"> service provider”) for administrative services for their respective </w:t>
      </w:r>
      <w:proofErr w:type="spellStart"/>
      <w:r>
        <w:t>IANA</w:t>
      </w:r>
      <w:proofErr w:type="spellEnd"/>
      <w:r>
        <w:t xml:space="preserve"> registries, it wil</w:t>
      </w:r>
      <w:r>
        <w:t xml:space="preserve">l be necessary for a similar license agreement to be entered into whereby the </w:t>
      </w:r>
      <w:proofErr w:type="spellStart"/>
      <w:r>
        <w:t>IETF</w:t>
      </w:r>
      <w:proofErr w:type="spellEnd"/>
      <w:r>
        <w:t xml:space="preserve"> Trust to grants the right to use the </w:t>
      </w:r>
      <w:proofErr w:type="spellStart"/>
      <w:r>
        <w:t>IANA</w:t>
      </w:r>
      <w:proofErr w:type="spellEnd"/>
      <w:r>
        <w:t xml:space="preserve"> </w:t>
      </w:r>
      <w:proofErr w:type="spellStart"/>
      <w:r>
        <w:t>IPR</w:t>
      </w:r>
      <w:proofErr w:type="spellEnd"/>
      <w:r>
        <w:t xml:space="preserve"> to that </w:t>
      </w:r>
      <w:proofErr w:type="spellStart"/>
      <w:r>
        <w:t>IANA</w:t>
      </w:r>
      <w:proofErr w:type="spellEnd"/>
      <w:r>
        <w:t xml:space="preserve"> service provider.</w:t>
      </w:r>
    </w:p>
    <w:p w:rsidR="003744EE" w:rsidRDefault="004F56AD">
      <w:r>
        <w:t xml:space="preserve">The principal terms of each of these agreements are described below.  </w:t>
      </w:r>
    </w:p>
    <w:p w:rsidR="003744EE" w:rsidRDefault="004F56AD">
      <w:r>
        <w:t>The community agreement(s</w:t>
      </w:r>
      <w:r>
        <w:t xml:space="preserve">) would recognize the right of each Operational Community to identify (and enter into agreement with, if applicable) their selected </w:t>
      </w:r>
      <w:proofErr w:type="spellStart"/>
      <w:r>
        <w:t>IANA</w:t>
      </w:r>
      <w:proofErr w:type="spellEnd"/>
      <w:r>
        <w:t xml:space="preserve"> service provider, and the obligation of the </w:t>
      </w:r>
      <w:proofErr w:type="spellStart"/>
      <w:r>
        <w:t>IETF</w:t>
      </w:r>
      <w:proofErr w:type="spellEnd"/>
      <w:r>
        <w:t xml:space="preserve"> Trust to provide, update, and revoke licenses as needed to support the</w:t>
      </w:r>
      <w:r>
        <w:t>se selections.</w:t>
      </w:r>
    </w:p>
    <w:p w:rsidR="003744EE" w:rsidRDefault="004F56AD">
      <w:r>
        <w:t xml:space="preserve">In order to perform the tasks required of a trademark owner and to preserve the value and integrity of the </w:t>
      </w:r>
      <w:proofErr w:type="spellStart"/>
      <w:r>
        <w:t>IANA</w:t>
      </w:r>
      <w:proofErr w:type="spellEnd"/>
      <w:r>
        <w:t xml:space="preserve"> trademarks, the </w:t>
      </w:r>
      <w:proofErr w:type="spellStart"/>
      <w:r>
        <w:t>IETF</w:t>
      </w:r>
      <w:proofErr w:type="spellEnd"/>
      <w:r>
        <w:t xml:space="preserve"> Trust would maintain the trademark registrations, license the marks and monitor the quality of the services </w:t>
      </w:r>
      <w:r>
        <w:t>offered under the marks and the use of the trademarks.  Trust actions would include enforcement against unauthorized users and engaging in quality control of the services provided by the licensed user(s). The community agreement(s) would also govern how th</w:t>
      </w:r>
      <w:r>
        <w:t xml:space="preserve">e Trust and the relevant </w:t>
      </w:r>
      <w:proofErr w:type="spellStart"/>
      <w:r>
        <w:t>IANA</w:t>
      </w:r>
      <w:proofErr w:type="spellEnd"/>
      <w:r>
        <w:t xml:space="preserve"> communities would work together to perform quality control and to address issues involving a licensee before taking action to resolve a quality issue or other breaches of the license agreement(s).  The community agreement(s) w</w:t>
      </w:r>
      <w:r>
        <w:t xml:space="preserve">ould also specify </w:t>
      </w:r>
      <w:r>
        <w:t>how and to what extent the communities control actions of the Trust, including how they each would hold the Trust accountable for its performance.</w:t>
      </w:r>
    </w:p>
    <w:p w:rsidR="003744EE" w:rsidRDefault="004F56AD">
      <w:r>
        <w:t xml:space="preserve">The Trust would also serve as the registrant for the </w:t>
      </w:r>
      <w:proofErr w:type="spellStart"/>
      <w:r>
        <w:t>IANA</w:t>
      </w:r>
      <w:proofErr w:type="spellEnd"/>
      <w:r>
        <w:t xml:space="preserve"> domain names. Technical control o</w:t>
      </w:r>
      <w:r>
        <w:t xml:space="preserve">f the domain names would be held by ICANN as long as it performed all </w:t>
      </w:r>
      <w:proofErr w:type="spellStart"/>
      <w:r>
        <w:t>IANA</w:t>
      </w:r>
      <w:proofErr w:type="spellEnd"/>
      <w:r>
        <w:t xml:space="preserve"> operations.  Registration of the domain names would be through a registrar that offers multi-party sign off (details below) for changes to be made.</w:t>
      </w:r>
    </w:p>
    <w:p w:rsidR="003744EE" w:rsidRDefault="004F56AD">
      <w:pPr>
        <w:pStyle w:val="Heading1"/>
        <w:numPr>
          <w:ilvl w:val="0"/>
          <w:numId w:val="1"/>
        </w:numPr>
        <w:ind w:left="360"/>
      </w:pPr>
      <w:bookmarkStart w:id="2" w:name="h.hclbiok8aah3" w:colFirst="0" w:colLast="0"/>
      <w:bookmarkEnd w:id="2"/>
      <w:r>
        <w:t>Terms</w:t>
      </w:r>
      <w:r>
        <w:t> </w:t>
      </w:r>
    </w:p>
    <w:p w:rsidR="003744EE" w:rsidRDefault="004F56AD">
      <w:r>
        <w:t>The following are key prin</w:t>
      </w:r>
      <w:r>
        <w:t>cipal terms that will be included in the  agreements outlined above. </w:t>
      </w:r>
    </w:p>
    <w:p w:rsidR="003744EE" w:rsidRDefault="004F56AD">
      <w:pPr>
        <w:pStyle w:val="Heading2"/>
        <w:numPr>
          <w:ilvl w:val="0"/>
          <w:numId w:val="2"/>
        </w:numPr>
        <w:ind w:hanging="360"/>
      </w:pPr>
      <w:bookmarkStart w:id="3" w:name="h.sqvk4kclxlwq" w:colFirst="0" w:colLast="0"/>
      <w:bookmarkEnd w:id="3"/>
      <w:proofErr w:type="spellStart"/>
      <w:r>
        <w:t>IPR</w:t>
      </w:r>
      <w:proofErr w:type="spellEnd"/>
      <w:r>
        <w:t xml:space="preserve"> Assignment Agreement (between ICANN and </w:t>
      </w:r>
      <w:proofErr w:type="spellStart"/>
      <w:r>
        <w:t>IETF</w:t>
      </w:r>
      <w:proofErr w:type="spellEnd"/>
      <w:r>
        <w:t xml:space="preserve"> Trust)</w:t>
      </w:r>
      <w:r>
        <w:rPr>
          <w:vertAlign w:val="superscript"/>
        </w:rPr>
        <w:footnoteReference w:id="7"/>
      </w:r>
    </w:p>
    <w:p w:rsidR="003744EE" w:rsidRDefault="004F56AD">
      <w:pPr>
        <w:numPr>
          <w:ilvl w:val="1"/>
          <w:numId w:val="2"/>
        </w:numPr>
        <w:ind w:hanging="360"/>
      </w:pPr>
      <w:r>
        <w:t xml:space="preserve">ICANN and the Trust will enter into an </w:t>
      </w:r>
      <w:r>
        <w:t>Assignment</w:t>
      </w:r>
      <w:r>
        <w:t xml:space="preserve"> </w:t>
      </w:r>
      <w:r>
        <w:t xml:space="preserve">Agreement, effective upon the </w:t>
      </w:r>
      <w:proofErr w:type="spellStart"/>
      <w:r>
        <w:t>IANA</w:t>
      </w:r>
      <w:proofErr w:type="spellEnd"/>
      <w:r>
        <w:t xml:space="preserve"> Transition,</w:t>
      </w:r>
      <w:r>
        <w:rPr>
          <w:vertAlign w:val="superscript"/>
        </w:rPr>
        <w:footnoteReference w:id="8"/>
      </w:r>
      <w:r>
        <w:t xml:space="preserve"> to</w:t>
      </w:r>
      <w:r>
        <w:t> transfer and assign all of i</w:t>
      </w:r>
      <w:r>
        <w:t>ts right</w:t>
      </w:r>
      <w:r>
        <w:t>, title and interest</w:t>
      </w:r>
      <w:r>
        <w:t xml:space="preserve"> in and to the </w:t>
      </w:r>
      <w:proofErr w:type="spellStart"/>
      <w:r>
        <w:t>IANA</w:t>
      </w:r>
      <w:proofErr w:type="spellEnd"/>
      <w:r>
        <w:t xml:space="preserve"> </w:t>
      </w:r>
      <w:proofErr w:type="spellStart"/>
      <w:r>
        <w:t>IPR</w:t>
      </w:r>
      <w:proofErr w:type="spellEnd"/>
      <w:r>
        <w:t xml:space="preserve">, including all goodwill appurtenant </w:t>
      </w:r>
      <w:r>
        <w:t xml:space="preserve">to the </w:t>
      </w:r>
      <w:proofErr w:type="spellStart"/>
      <w:r>
        <w:t>IANA</w:t>
      </w:r>
      <w:proofErr w:type="spellEnd"/>
      <w:r>
        <w:t xml:space="preserve"> trademarks</w:t>
      </w:r>
      <w:r>
        <w:t>, to the </w:t>
      </w:r>
      <w:proofErr w:type="spellStart"/>
      <w:r>
        <w:t>IETF</w:t>
      </w:r>
      <w:proofErr w:type="spellEnd"/>
      <w:r>
        <w:t xml:space="preserve"> Trust (the “Transfer”).  The </w:t>
      </w:r>
      <w:proofErr w:type="spellStart"/>
      <w:r>
        <w:t>IETF</w:t>
      </w:r>
      <w:proofErr w:type="spellEnd"/>
      <w:r>
        <w:t xml:space="preserve"> Trust will not assume any obligations or liabilities of ICANN that arose prior to the effe</w:t>
      </w:r>
      <w:r>
        <w:t xml:space="preserve">ctive date of the </w:t>
      </w:r>
      <w:r>
        <w:t xml:space="preserve">Transfer (the </w:t>
      </w:r>
      <w:r>
        <w:t>“Transfer Date”)</w:t>
      </w:r>
      <w:r>
        <w:t>.</w:t>
      </w:r>
      <w:r>
        <w:rPr>
          <w:vertAlign w:val="superscript"/>
        </w:rPr>
        <w:footnoteReference w:id="9"/>
      </w:r>
    </w:p>
    <w:p w:rsidR="003744EE" w:rsidRDefault="004F56AD">
      <w:pPr>
        <w:numPr>
          <w:ilvl w:val="1"/>
          <w:numId w:val="2"/>
        </w:numPr>
        <w:ind w:hanging="360"/>
      </w:pPr>
      <w:r>
        <w:t xml:space="preserve">ICANN will file all necessary assignment documentation with all local, national and regional offices in which the </w:t>
      </w:r>
      <w:proofErr w:type="spellStart"/>
      <w:r>
        <w:t>IANA</w:t>
      </w:r>
      <w:proofErr w:type="spellEnd"/>
      <w:r>
        <w:t> </w:t>
      </w:r>
      <w:proofErr w:type="spellStart"/>
      <w:r>
        <w:t>IPR</w:t>
      </w:r>
      <w:proofErr w:type="spellEnd"/>
      <w:r>
        <w:t xml:space="preserve"> is registered including, without limitation, the U.S. Patent and Trademark Office </w:t>
      </w:r>
      <w:r>
        <w:t xml:space="preserve">and the registrar for the </w:t>
      </w:r>
      <w:proofErr w:type="spellStart"/>
      <w:r>
        <w:t>IANA</w:t>
      </w:r>
      <w:proofErr w:type="spellEnd"/>
      <w:r>
        <w:t xml:space="preserve"> domain</w:t>
      </w:r>
      <w:r>
        <w:t xml:space="preserve"> </w:t>
      </w:r>
      <w:r>
        <w:t xml:space="preserve">names (currently </w:t>
      </w:r>
      <w:proofErr w:type="spellStart"/>
      <w:r>
        <w:t>GoDaddy</w:t>
      </w:r>
      <w:proofErr w:type="spellEnd"/>
      <w:r>
        <w:t>), and will pay all fees associated with such</w:t>
      </w:r>
      <w:r>
        <w:t xml:space="preserve"> </w:t>
      </w:r>
      <w:r>
        <w:t xml:space="preserve">filings.  With respect to the </w:t>
      </w:r>
      <w:proofErr w:type="spellStart"/>
      <w:r>
        <w:t>IANA</w:t>
      </w:r>
      <w:proofErr w:type="spellEnd"/>
      <w:r>
        <w:t xml:space="preserve"> domain names, the </w:t>
      </w:r>
      <w:proofErr w:type="spellStart"/>
      <w:r>
        <w:t>IETF</w:t>
      </w:r>
      <w:proofErr w:type="spellEnd"/>
      <w:r>
        <w:t> Trust will be designated as the administrative contact as well as registrant with the regi</w:t>
      </w:r>
      <w:r>
        <w:t>strar.  Registration of the domain names will be made through a registrar that requires appro</w:t>
      </w:r>
      <w:r>
        <w:t>val from both administrative and technical contacts before certain technical changes to the domain name are made in the relevant registries; if the current registr</w:t>
      </w:r>
      <w:r>
        <w:t xml:space="preserve">ar cannot provide this service, ICANN will </w:t>
      </w:r>
      <w:r>
        <w:lastRenderedPageBreak/>
        <w:t xml:space="preserve">move the registration to one that can provide the service as part of the assignment of the domain names to the </w:t>
      </w:r>
      <w:proofErr w:type="spellStart"/>
      <w:r>
        <w:t>IETF</w:t>
      </w:r>
      <w:proofErr w:type="spellEnd"/>
      <w:r>
        <w:t xml:space="preserve"> Trust.  In particular, the registrar selected must support the following features:</w:t>
      </w:r>
    </w:p>
    <w:p w:rsidR="003744EE" w:rsidRDefault="004F56AD">
      <w:pPr>
        <w:numPr>
          <w:ilvl w:val="2"/>
          <w:numId w:val="2"/>
        </w:numPr>
        <w:ind w:hanging="180"/>
      </w:pPr>
      <w:r>
        <w:t>For changes to</w:t>
      </w:r>
      <w:r>
        <w:t xml:space="preserve"> the technical contact information, approval of both the technical and administrative contact is required. The registrant can override the need for the other parties to approve, but only after a period of some days (we suggest something between 5 and 10 da</w:t>
      </w:r>
      <w:r>
        <w:t xml:space="preserve">ys, but the number is to be set as part of implementation).  The goal is to ensure that a change initiated by one party cannot happen without other parties being apprised, and cannot happen unilaterally without adequate notice to permit any legal disputes </w:t>
      </w:r>
      <w:r>
        <w:t>to be initiated.</w:t>
      </w:r>
    </w:p>
    <w:p w:rsidR="003744EE" w:rsidRDefault="004F56AD">
      <w:pPr>
        <w:numPr>
          <w:ilvl w:val="2"/>
          <w:numId w:val="2"/>
        </w:numPr>
        <w:ind w:hanging="180"/>
        <w:contextualSpacing/>
      </w:pPr>
      <w:r>
        <w:t>The name must be configured to renew automatically.  Removal of this setting requires the approval of both administrative and technical contacts, with override only possible by the registrant after the same period as above.  The Trust shall arrange suffici</w:t>
      </w:r>
      <w:r>
        <w:t>ent funds to ensure renewal is successful.  Notices of pending, successful, and failed renewals must go to both technical and administrative contacts.</w:t>
      </w:r>
    </w:p>
    <w:p w:rsidR="003744EE" w:rsidRDefault="004F56AD">
      <w:pPr>
        <w:numPr>
          <w:ilvl w:val="2"/>
          <w:numId w:val="2"/>
        </w:numPr>
        <w:ind w:hanging="180"/>
        <w:contextualSpacing/>
      </w:pPr>
      <w:r>
        <w:t>The name must be set to prohibit registrar transfers.  Removal of this setting requires the approval of b</w:t>
      </w:r>
      <w:r>
        <w:t>oth administrative and technical contacts, with override only possible by the registrant after the same period as above.  The Trust shall arrange sufficient funds to ensure renewal is successful.  Transfer approval notices must be set to both technical and</w:t>
      </w:r>
      <w:r>
        <w:t xml:space="preserve"> administrative contacts.</w:t>
      </w:r>
    </w:p>
    <w:p w:rsidR="003744EE" w:rsidRDefault="004F56AD">
      <w:pPr>
        <w:numPr>
          <w:ilvl w:val="2"/>
          <w:numId w:val="2"/>
        </w:numPr>
        <w:ind w:hanging="180"/>
        <w:contextualSpacing/>
      </w:pPr>
      <w:r>
        <w:t>The name must be configured to prohibit deletion.  Removal of this setting requires the approval of both administrative and technical contacts, with override only possible by the registrant after the same period as above.</w:t>
      </w:r>
    </w:p>
    <w:p w:rsidR="003744EE" w:rsidRDefault="004F56AD">
      <w:pPr>
        <w:numPr>
          <w:ilvl w:val="2"/>
          <w:numId w:val="2"/>
        </w:numPr>
        <w:ind w:hanging="180"/>
        <w:contextualSpacing/>
      </w:pPr>
      <w:r>
        <w:t>The name</w:t>
      </w:r>
      <w:r>
        <w:t xml:space="preserve"> must be configured to prohibit update</w:t>
      </w:r>
      <w:r>
        <w:t>.  To permit the functions below, removal of this setting</w:t>
      </w:r>
      <w:r>
        <w:t xml:space="preserve"> requires approval only by one of the administrative or technical contact, with notices going to both contacts. </w:t>
      </w:r>
    </w:p>
    <w:p w:rsidR="003744EE" w:rsidRDefault="004F56AD">
      <w:pPr>
        <w:numPr>
          <w:ilvl w:val="2"/>
          <w:numId w:val="2"/>
        </w:numPr>
        <w:ind w:hanging="180"/>
      </w:pPr>
      <w:r>
        <w:t>For changes to DS or NS</w:t>
      </w:r>
      <w:bookmarkStart w:id="4" w:name="_GoBack"/>
      <w:bookmarkEnd w:id="4"/>
      <w:r>
        <w:t xml:space="preserve"> records to be p</w:t>
      </w:r>
      <w:r>
        <w:t>assed through the registry, such changes can be made entirely by the technical contact, but with notification to the administrative contact.</w:t>
      </w:r>
    </w:p>
    <w:p w:rsidR="003744EE" w:rsidRDefault="004F56AD">
      <w:pPr>
        <w:numPr>
          <w:ilvl w:val="2"/>
          <w:numId w:val="2"/>
        </w:numPr>
        <w:ind w:hanging="180"/>
      </w:pPr>
      <w:r>
        <w:t>Optionally, for changes to DS or NS records to be passed through the registry, such changes can be made by the admi</w:t>
      </w:r>
      <w:r>
        <w:t>nistrative contact only with the approval of the technical contact.</w:t>
      </w:r>
    </w:p>
    <w:p w:rsidR="003744EE" w:rsidRDefault="004F56AD">
      <w:pPr>
        <w:numPr>
          <w:ilvl w:val="1"/>
          <w:numId w:val="2"/>
        </w:numPr>
        <w:ind w:hanging="360"/>
      </w:pPr>
      <w:bookmarkStart w:id="5" w:name="h.gjdgxs" w:colFirst="0" w:colLast="0"/>
      <w:bookmarkEnd w:id="5"/>
      <w:r>
        <w:t xml:space="preserve">ICANN will make customary representations and warranties to the </w:t>
      </w:r>
      <w:proofErr w:type="spellStart"/>
      <w:r>
        <w:t>IETF</w:t>
      </w:r>
      <w:proofErr w:type="spellEnd"/>
      <w:r>
        <w:t xml:space="preserve"> Trust regarding title to the </w:t>
      </w:r>
      <w:proofErr w:type="spellStart"/>
      <w:r>
        <w:t>IANA</w:t>
      </w:r>
      <w:proofErr w:type="spellEnd"/>
      <w:r>
        <w:t xml:space="preserve"> </w:t>
      </w:r>
      <w:proofErr w:type="spellStart"/>
      <w:r>
        <w:t>IPR</w:t>
      </w:r>
      <w:proofErr w:type="spellEnd"/>
      <w:r>
        <w:t>, absence of actual or threatened litigation, the existence of any licenses or oth</w:t>
      </w:r>
      <w:r>
        <w:t xml:space="preserve">er encumbrances on the </w:t>
      </w:r>
      <w:proofErr w:type="spellStart"/>
      <w:r>
        <w:t>IANA</w:t>
      </w:r>
      <w:proofErr w:type="spellEnd"/>
      <w:r>
        <w:t xml:space="preserve"> </w:t>
      </w:r>
      <w:proofErr w:type="spellStart"/>
      <w:r>
        <w:t>IPR</w:t>
      </w:r>
      <w:proofErr w:type="spellEnd"/>
      <w:r>
        <w:t>, and non-infringement of third party rights, all qualified by the knowledge of ICANN’s in-house legal department.</w:t>
      </w:r>
    </w:p>
    <w:p w:rsidR="003744EE" w:rsidRDefault="004F56AD">
      <w:pPr>
        <w:numPr>
          <w:ilvl w:val="1"/>
          <w:numId w:val="2"/>
        </w:numPr>
        <w:ind w:hanging="360"/>
      </w:pPr>
      <w:r>
        <w:t xml:space="preserve">ICANN will indemnify the </w:t>
      </w:r>
      <w:proofErr w:type="spellStart"/>
      <w:r>
        <w:t>IETF</w:t>
      </w:r>
      <w:proofErr w:type="spellEnd"/>
      <w:r>
        <w:t xml:space="preserve"> Trust, </w:t>
      </w:r>
      <w:proofErr w:type="spellStart"/>
      <w:r>
        <w:t>PTI</w:t>
      </w:r>
      <w:proofErr w:type="spellEnd"/>
      <w:r>
        <w:t xml:space="preserve"> and any future licensee of the </w:t>
      </w:r>
      <w:proofErr w:type="spellStart"/>
      <w:r>
        <w:t>IANA</w:t>
      </w:r>
      <w:proofErr w:type="spellEnd"/>
      <w:r>
        <w:t xml:space="preserve"> </w:t>
      </w:r>
      <w:proofErr w:type="spellStart"/>
      <w:r>
        <w:t>IPR</w:t>
      </w:r>
      <w:proofErr w:type="spellEnd"/>
      <w:r>
        <w:t xml:space="preserve"> against any liability associa</w:t>
      </w:r>
      <w:r>
        <w:t xml:space="preserve">ted with use of the </w:t>
      </w:r>
      <w:proofErr w:type="spellStart"/>
      <w:r>
        <w:t>IANA</w:t>
      </w:r>
      <w:proofErr w:type="spellEnd"/>
      <w:r>
        <w:t xml:space="preserve"> </w:t>
      </w:r>
      <w:proofErr w:type="spellStart"/>
      <w:r>
        <w:t>IPR</w:t>
      </w:r>
      <w:proofErr w:type="spellEnd"/>
      <w:r>
        <w:t xml:space="preserve"> prior to the Transfer Date.  The </w:t>
      </w:r>
      <w:proofErr w:type="spellStart"/>
      <w:r>
        <w:t>IETF</w:t>
      </w:r>
      <w:proofErr w:type="spellEnd"/>
      <w:r>
        <w:t xml:space="preserve"> Trust will indemnify ICANN and any prior licensee of the </w:t>
      </w:r>
      <w:proofErr w:type="spellStart"/>
      <w:r>
        <w:t>IANA</w:t>
      </w:r>
      <w:proofErr w:type="spellEnd"/>
      <w:r>
        <w:t> </w:t>
      </w:r>
      <w:proofErr w:type="spellStart"/>
      <w:r>
        <w:t>IPR</w:t>
      </w:r>
      <w:proofErr w:type="spellEnd"/>
      <w:r>
        <w:t xml:space="preserve"> against any liability associated with use of the </w:t>
      </w:r>
      <w:proofErr w:type="spellStart"/>
      <w:r>
        <w:t>IANA</w:t>
      </w:r>
      <w:proofErr w:type="spellEnd"/>
      <w:r>
        <w:t xml:space="preserve"> </w:t>
      </w:r>
      <w:proofErr w:type="spellStart"/>
      <w:r>
        <w:t>IPR</w:t>
      </w:r>
      <w:proofErr w:type="spellEnd"/>
      <w:r>
        <w:t xml:space="preserve"> after the Transfer Date to the extent that </w:t>
      </w:r>
      <w:proofErr w:type="spellStart"/>
      <w:r>
        <w:t>IETF</w:t>
      </w:r>
      <w:proofErr w:type="spellEnd"/>
      <w:r>
        <w:t xml:space="preserve"> Trust receives a </w:t>
      </w:r>
      <w:r>
        <w:t xml:space="preserve">comparable indemnity from </w:t>
      </w:r>
      <w:proofErr w:type="spellStart"/>
      <w:r>
        <w:t>PTI</w:t>
      </w:r>
      <w:proofErr w:type="spellEnd"/>
      <w:r>
        <w:t xml:space="preserve"> or its successor entity.</w:t>
      </w:r>
    </w:p>
    <w:p w:rsidR="003744EE" w:rsidRDefault="004F56AD">
      <w:pPr>
        <w:pStyle w:val="Heading2"/>
        <w:numPr>
          <w:ilvl w:val="0"/>
          <w:numId w:val="2"/>
        </w:numPr>
        <w:ind w:hanging="360"/>
      </w:pPr>
      <w:bookmarkStart w:id="6" w:name="h.kqw1jtucyaux" w:colFirst="0" w:colLast="0"/>
      <w:bookmarkEnd w:id="6"/>
      <w:r>
        <w:lastRenderedPageBreak/>
        <w:t xml:space="preserve">Community Agreement(s) (between </w:t>
      </w:r>
      <w:proofErr w:type="spellStart"/>
      <w:r>
        <w:t>IETF</w:t>
      </w:r>
      <w:proofErr w:type="spellEnd"/>
      <w:r>
        <w:t xml:space="preserve"> Trust, </w:t>
      </w:r>
      <w:proofErr w:type="spellStart"/>
      <w:r>
        <w:t>IETF</w:t>
      </w:r>
      <w:proofErr w:type="spellEnd"/>
      <w:r>
        <w:t xml:space="preserve">, </w:t>
      </w:r>
      <w:proofErr w:type="spellStart"/>
      <w:r>
        <w:t>RIRs</w:t>
      </w:r>
      <w:proofErr w:type="spellEnd"/>
      <w:r>
        <w:t>, and the names community)</w:t>
      </w:r>
    </w:p>
    <w:p w:rsidR="003744EE" w:rsidRDefault="004F56AD">
      <w:pPr>
        <w:numPr>
          <w:ilvl w:val="1"/>
          <w:numId w:val="2"/>
        </w:numPr>
        <w:ind w:hanging="360"/>
      </w:pPr>
      <w:r>
        <w:t xml:space="preserve">This Agreement will ensure that the </w:t>
      </w:r>
      <w:proofErr w:type="spellStart"/>
      <w:r>
        <w:t>IETF</w:t>
      </w:r>
      <w:proofErr w:type="spellEnd"/>
      <w:r>
        <w:t xml:space="preserve"> Trust holds and licenses the </w:t>
      </w:r>
      <w:proofErr w:type="spellStart"/>
      <w:r>
        <w:t>IANA</w:t>
      </w:r>
      <w:proofErr w:type="spellEnd"/>
      <w:r>
        <w:t xml:space="preserve"> </w:t>
      </w:r>
      <w:proofErr w:type="spellStart"/>
      <w:r>
        <w:t>IPR</w:t>
      </w:r>
      <w:proofErr w:type="spellEnd"/>
      <w:r>
        <w:t xml:space="preserve"> in a manner that is agreed with the </w:t>
      </w:r>
      <w:proofErr w:type="spellStart"/>
      <w:r>
        <w:t>IETF</w:t>
      </w:r>
      <w:proofErr w:type="spellEnd"/>
      <w:r>
        <w:t>,</w:t>
      </w:r>
      <w:r>
        <w:t xml:space="preserve"> </w:t>
      </w:r>
      <w:proofErr w:type="spellStart"/>
      <w:r>
        <w:t>RIRs</w:t>
      </w:r>
      <w:proofErr w:type="spellEnd"/>
      <w:r>
        <w:t> and the names community. </w:t>
      </w:r>
    </w:p>
    <w:p w:rsidR="003744EE" w:rsidRDefault="004F56AD">
      <w:pPr>
        <w:numPr>
          <w:ilvl w:val="1"/>
          <w:numId w:val="2"/>
        </w:numPr>
        <w:ind w:hanging="360"/>
      </w:pPr>
      <w:r>
        <w:t xml:space="preserve">For purposes of this Agreement, the </w:t>
      </w:r>
      <w:proofErr w:type="spellStart"/>
      <w:r>
        <w:t>RIRs</w:t>
      </w:r>
      <w:proofErr w:type="spellEnd"/>
      <w:r>
        <w:t xml:space="preserve">, the </w:t>
      </w:r>
      <w:proofErr w:type="spellStart"/>
      <w:r>
        <w:t>IETF</w:t>
      </w:r>
      <w:proofErr w:type="spellEnd"/>
      <w:r>
        <w:t xml:space="preserve"> and the names community will each select </w:t>
      </w:r>
      <w:r>
        <w:t>three</w:t>
      </w:r>
      <w:r>
        <w:t xml:space="preserve"> (</w:t>
      </w:r>
      <w:r>
        <w:t>3</w:t>
      </w:r>
      <w:r>
        <w:t xml:space="preserve">) </w:t>
      </w:r>
      <w:r>
        <w:t>representatives (the “</w:t>
      </w:r>
      <w:proofErr w:type="spellStart"/>
      <w:r>
        <w:t>IANA</w:t>
      </w:r>
      <w:proofErr w:type="spellEnd"/>
      <w:r>
        <w:t xml:space="preserve"> </w:t>
      </w:r>
      <w:proofErr w:type="spellStart"/>
      <w:r>
        <w:t>IPR</w:t>
      </w:r>
      <w:proofErr w:type="spellEnd"/>
      <w:r>
        <w:t xml:space="preserve"> Reps”) to serve on an </w:t>
      </w:r>
      <w:proofErr w:type="spellStart"/>
      <w:r>
        <w:t>IANA</w:t>
      </w:r>
      <w:proofErr w:type="spellEnd"/>
      <w:r>
        <w:t xml:space="preserve"> Community Coordination Group (“CCG”).  One</w:t>
      </w:r>
      <w:r>
        <w:t xml:space="preserve"> Representative from e</w:t>
      </w:r>
      <w:r>
        <w:t xml:space="preserve">ach Operational </w:t>
      </w:r>
      <w:r>
        <w:t>C</w:t>
      </w:r>
      <w:r>
        <w:t>ommunity will be designated  to be a co-</w:t>
      </w:r>
      <w:r>
        <w:t>chair of the CCG and that community’s</w:t>
      </w:r>
      <w:r>
        <w:t xml:space="preserve"> primary point of contact with the </w:t>
      </w:r>
      <w:proofErr w:type="spellStart"/>
      <w:r>
        <w:t>IETF</w:t>
      </w:r>
      <w:proofErr w:type="spellEnd"/>
      <w:r>
        <w:t xml:space="preserve"> Trust. The </w:t>
      </w:r>
      <w:r>
        <w:t>CCG</w:t>
      </w:r>
      <w:r>
        <w:t xml:space="preserve"> will </w:t>
      </w:r>
      <w:r>
        <w:t xml:space="preserve">provide advice and approvals to the Trust </w:t>
      </w:r>
      <w:r>
        <w:t xml:space="preserve">on matters pertaining to the </w:t>
      </w:r>
      <w:proofErr w:type="spellStart"/>
      <w:r>
        <w:t>IANA</w:t>
      </w:r>
      <w:proofErr w:type="spellEnd"/>
      <w:r>
        <w:t xml:space="preserve"> </w:t>
      </w:r>
      <w:proofErr w:type="spellStart"/>
      <w:r>
        <w:t>IP</w:t>
      </w:r>
      <w:r>
        <w:t>R</w:t>
      </w:r>
      <w:proofErr w:type="spellEnd"/>
      <w:r>
        <w:t>, and the representativ</w:t>
      </w:r>
      <w:r>
        <w:t>es of each community will provide advice and approvals to the Trust on matters pertaining uniquely to that community</w:t>
      </w:r>
      <w:r>
        <w:t>.</w:t>
      </w:r>
    </w:p>
    <w:p w:rsidR="003744EE" w:rsidRDefault="004F56AD">
      <w:pPr>
        <w:numPr>
          <w:ilvl w:val="1"/>
          <w:numId w:val="2"/>
        </w:numPr>
        <w:ind w:hanging="360"/>
      </w:pPr>
      <w:r>
        <w:t xml:space="preserve">The </w:t>
      </w:r>
      <w:proofErr w:type="spellStart"/>
      <w:r>
        <w:t>IETF</w:t>
      </w:r>
      <w:proofErr w:type="spellEnd"/>
      <w:r>
        <w:t xml:space="preserve"> Trust will hold, maintain and renew the </w:t>
      </w:r>
      <w:proofErr w:type="spellStart"/>
      <w:r>
        <w:t>IANA</w:t>
      </w:r>
      <w:proofErr w:type="spellEnd"/>
      <w:r>
        <w:t xml:space="preserve"> </w:t>
      </w:r>
      <w:proofErr w:type="spellStart"/>
      <w:r>
        <w:t>IPR</w:t>
      </w:r>
      <w:proofErr w:type="spellEnd"/>
      <w:r>
        <w:t xml:space="preserve"> in accordance with </w:t>
      </w:r>
      <w:proofErr w:type="spellStart"/>
      <w:r>
        <w:t>IPR</w:t>
      </w:r>
      <w:proofErr w:type="spellEnd"/>
      <w:r>
        <w:t xml:space="preserve"> management best practices and shall seek new territorial </w:t>
      </w:r>
      <w:r>
        <w:t xml:space="preserve">registrations of the trademarks and </w:t>
      </w:r>
      <w:r>
        <w:t>additional domain name registrations</w:t>
      </w:r>
      <w:r>
        <w:t xml:space="preserve"> based on the </w:t>
      </w:r>
      <w:proofErr w:type="spellStart"/>
      <w:r>
        <w:t>IANA</w:t>
      </w:r>
      <w:proofErr w:type="spellEnd"/>
      <w:r>
        <w:t> </w:t>
      </w:r>
      <w:proofErr w:type="spellStart"/>
      <w:r>
        <w:t>IPR</w:t>
      </w:r>
      <w:proofErr w:type="spellEnd"/>
      <w:r>
        <w:t xml:space="preserve"> as instructed by the </w:t>
      </w:r>
      <w:r>
        <w:t>CCG</w:t>
      </w:r>
      <w:r>
        <w:t>.</w:t>
      </w:r>
    </w:p>
    <w:p w:rsidR="003744EE" w:rsidRDefault="004F56AD">
      <w:pPr>
        <w:numPr>
          <w:ilvl w:val="1"/>
          <w:numId w:val="2"/>
        </w:numPr>
        <w:ind w:hanging="360"/>
      </w:pPr>
      <w:r>
        <w:t xml:space="preserve">The </w:t>
      </w:r>
      <w:proofErr w:type="spellStart"/>
      <w:r>
        <w:t>IETF</w:t>
      </w:r>
      <w:proofErr w:type="spellEnd"/>
      <w:r>
        <w:t xml:space="preserve"> Trust will license the </w:t>
      </w:r>
      <w:proofErr w:type="spellStart"/>
      <w:r>
        <w:t>IANA</w:t>
      </w:r>
      <w:proofErr w:type="spellEnd"/>
      <w:r>
        <w:t xml:space="preserve"> </w:t>
      </w:r>
      <w:proofErr w:type="spellStart"/>
      <w:r>
        <w:t>IPR</w:t>
      </w:r>
      <w:proofErr w:type="spellEnd"/>
      <w:r>
        <w:t xml:space="preserve"> to </w:t>
      </w:r>
      <w:r>
        <w:t>ICANN</w:t>
      </w:r>
      <w:r>
        <w:t xml:space="preserve"> and any successor provider(s) of the </w:t>
      </w:r>
      <w:proofErr w:type="spellStart"/>
      <w:r>
        <w:t>IANA</w:t>
      </w:r>
      <w:proofErr w:type="spellEnd"/>
      <w:r>
        <w:t xml:space="preserve"> functions identified by the </w:t>
      </w:r>
      <w:proofErr w:type="spellStart"/>
      <w:r>
        <w:t>IANA</w:t>
      </w:r>
      <w:proofErr w:type="spellEnd"/>
      <w:r>
        <w:t xml:space="preserve"> </w:t>
      </w:r>
      <w:proofErr w:type="spellStart"/>
      <w:r>
        <w:t>IPR</w:t>
      </w:r>
      <w:proofErr w:type="spellEnd"/>
      <w:r>
        <w:t> Reps for one or more Operat</w:t>
      </w:r>
      <w:r>
        <w:t>ional C</w:t>
      </w:r>
      <w:r>
        <w:t xml:space="preserve">ommunities. Such license shall include the provisions described in </w:t>
      </w:r>
      <w:r>
        <w:t>Section 3</w:t>
      </w:r>
      <w:r>
        <w:t xml:space="preserve"> below.  The </w:t>
      </w:r>
      <w:proofErr w:type="spellStart"/>
      <w:r>
        <w:t>IETF</w:t>
      </w:r>
      <w:proofErr w:type="spellEnd"/>
      <w:r>
        <w:t xml:space="preserve"> Trust will terminate the license to </w:t>
      </w:r>
      <w:r>
        <w:t>ICANN</w:t>
      </w:r>
      <w:r>
        <w:t> or any</w:t>
      </w:r>
      <w:r>
        <w:t xml:space="preserve"> successor, in whole</w:t>
      </w:r>
      <w:r>
        <w:t xml:space="preserve">, </w:t>
      </w:r>
      <w:r>
        <w:t xml:space="preserve">solely upon the instructions of the </w:t>
      </w:r>
      <w:r>
        <w:t xml:space="preserve">CCG or in part, solely upon the instructions of the relevant </w:t>
      </w:r>
      <w:proofErr w:type="spellStart"/>
      <w:r>
        <w:t>IANA</w:t>
      </w:r>
      <w:proofErr w:type="spellEnd"/>
      <w:r>
        <w:t xml:space="preserve"> </w:t>
      </w:r>
      <w:proofErr w:type="spellStart"/>
      <w:r>
        <w:t>IPR</w:t>
      </w:r>
      <w:proofErr w:type="spellEnd"/>
      <w:r>
        <w:t xml:space="preserve"> Rep(s).</w:t>
      </w:r>
    </w:p>
    <w:p w:rsidR="003744EE" w:rsidRDefault="004F56AD">
      <w:pPr>
        <w:numPr>
          <w:ilvl w:val="1"/>
          <w:numId w:val="2"/>
        </w:numPr>
        <w:ind w:hanging="360"/>
      </w:pPr>
      <w:r>
        <w:t>The community agreement(s) will also include an agreement whereby the Trust delegates some or all of its quality control</w:t>
      </w:r>
      <w:r>
        <w:t xml:space="preserve"> duties to the communities in accordance with each community’s practice and method of maintaining oversight and control over the quality of services provided to that community.  Notwithstanding such delegation, the Trust will still have the ultimate respon</w:t>
      </w:r>
      <w:r>
        <w:t>sibility for quality control.</w:t>
      </w:r>
    </w:p>
    <w:p w:rsidR="003744EE" w:rsidRDefault="004F56AD">
      <w:pPr>
        <w:pStyle w:val="Heading2"/>
        <w:numPr>
          <w:ilvl w:val="0"/>
          <w:numId w:val="2"/>
        </w:numPr>
        <w:ind w:hanging="360"/>
      </w:pPr>
      <w:bookmarkStart w:id="7" w:name="h.jlfl3b2q8qy" w:colFirst="0" w:colLast="0"/>
      <w:bookmarkEnd w:id="7"/>
      <w:proofErr w:type="spellStart"/>
      <w:r>
        <w:t>IANA</w:t>
      </w:r>
      <w:proofErr w:type="spellEnd"/>
      <w:r>
        <w:t> </w:t>
      </w:r>
      <w:proofErr w:type="spellStart"/>
      <w:r>
        <w:t>IPR</w:t>
      </w:r>
      <w:proofErr w:type="spellEnd"/>
      <w:r>
        <w:t xml:space="preserve"> License Agreement (between </w:t>
      </w:r>
      <w:proofErr w:type="spellStart"/>
      <w:r>
        <w:t>IETF</w:t>
      </w:r>
      <w:proofErr w:type="spellEnd"/>
      <w:r>
        <w:t xml:space="preserve"> Trust and ICANN and/or future </w:t>
      </w:r>
      <w:proofErr w:type="spellStart"/>
      <w:r>
        <w:t>IANA</w:t>
      </w:r>
      <w:proofErr w:type="spellEnd"/>
      <w:r>
        <w:t xml:space="preserve"> service providers)</w:t>
      </w:r>
    </w:p>
    <w:p w:rsidR="003744EE" w:rsidRDefault="004F56AD">
      <w:pPr>
        <w:numPr>
          <w:ilvl w:val="1"/>
          <w:numId w:val="2"/>
        </w:numPr>
        <w:ind w:hanging="360"/>
      </w:pPr>
      <w:r>
        <w:t xml:space="preserve">The </w:t>
      </w:r>
      <w:proofErr w:type="spellStart"/>
      <w:r>
        <w:t>IETF</w:t>
      </w:r>
      <w:proofErr w:type="spellEnd"/>
      <w:r>
        <w:t xml:space="preserve"> Trust will grant </w:t>
      </w:r>
      <w:r>
        <w:t>ICANN</w:t>
      </w:r>
      <w:r>
        <w:t xml:space="preserve"> (</w:t>
      </w:r>
      <w:r>
        <w:t xml:space="preserve">“Licensee”) </w:t>
      </w:r>
      <w:r>
        <w:t>an exclusive,</w:t>
      </w:r>
      <w:r>
        <w:rPr>
          <w:vertAlign w:val="superscript"/>
        </w:rPr>
        <w:footnoteReference w:id="10"/>
      </w:r>
      <w:r>
        <w:t xml:space="preserve"> worldwide, royalty-free license to use, display and reproduce the </w:t>
      </w:r>
      <w:proofErr w:type="spellStart"/>
      <w:r>
        <w:t>IANA</w:t>
      </w:r>
      <w:proofErr w:type="spellEnd"/>
      <w:r>
        <w:t xml:space="preserve"> </w:t>
      </w:r>
      <w:r>
        <w:t>marks in connection</w:t>
      </w:r>
      <w:r>
        <w:t xml:space="preserve"> </w:t>
      </w:r>
      <w:r>
        <w:t>with </w:t>
      </w:r>
      <w:r>
        <w:t>the</w:t>
      </w:r>
      <w:r>
        <w:t xml:space="preserve"> provision and marketing of the </w:t>
      </w:r>
      <w:proofErr w:type="spellStart"/>
      <w:r>
        <w:t>IANA</w:t>
      </w:r>
      <w:proofErr w:type="spellEnd"/>
      <w:r>
        <w:t xml:space="preserve"> functions for protocol parameters, numbers and names</w:t>
      </w:r>
      <w:r>
        <w:t xml:space="preserve">.  </w:t>
      </w:r>
      <w:r>
        <w:lastRenderedPageBreak/>
        <w:t>ICANN will have</w:t>
      </w:r>
      <w:r>
        <w:t xml:space="preserve"> the right to </w:t>
      </w:r>
      <w:r>
        <w:t xml:space="preserve">grant a sublicense to </w:t>
      </w:r>
      <w:proofErr w:type="spellStart"/>
      <w:r>
        <w:t>PTI</w:t>
      </w:r>
      <w:proofErr w:type="spellEnd"/>
      <w:r>
        <w:t xml:space="preserve"> for </w:t>
      </w:r>
      <w:proofErr w:type="spellStart"/>
      <w:r>
        <w:t>PTI’s</w:t>
      </w:r>
      <w:proofErr w:type="spellEnd"/>
      <w:r>
        <w:t xml:space="preserve"> use of the </w:t>
      </w:r>
      <w:proofErr w:type="spellStart"/>
      <w:r>
        <w:t>IANA</w:t>
      </w:r>
      <w:proofErr w:type="spellEnd"/>
      <w:r>
        <w:t xml:space="preserve"> Marks </w:t>
      </w:r>
      <w:r>
        <w:t xml:space="preserve">.  If </w:t>
      </w:r>
      <w:r>
        <w:t xml:space="preserve">Licensee is replaced as a service provider </w:t>
      </w:r>
      <w:r>
        <w:t>by one or two communities while being retained by one or two communities, the license will be partially terminated but shall remain exclusive for the services provided to the remaining community or communities. The Trust will grant exclusive license(s) for</w:t>
      </w:r>
      <w:r>
        <w:t xml:space="preserve"> the relevant services to the new licensee(s) chosen by the terminating communities..</w:t>
      </w:r>
    </w:p>
    <w:p w:rsidR="003744EE" w:rsidRDefault="004F56AD">
      <w:pPr>
        <w:numPr>
          <w:ilvl w:val="1"/>
          <w:numId w:val="2"/>
        </w:numPr>
        <w:ind w:hanging="360"/>
      </w:pPr>
      <w:r>
        <w:t xml:space="preserve">Licensee will agree that all services offered under the </w:t>
      </w:r>
      <w:proofErr w:type="spellStart"/>
      <w:r>
        <w:t>IANA</w:t>
      </w:r>
      <w:proofErr w:type="spellEnd"/>
      <w:r>
        <w:t xml:space="preserve"> marks will be of a consistent quality at least equal to the quality of services offered by ICANN immediately </w:t>
      </w:r>
      <w:r>
        <w:t xml:space="preserve">prior to the grant of this license.  The Trust will be responsible for monitoring and controlling the quality of goods and services offered under the marks, including approvals of any material changes to such services, but may delegate such responsibility </w:t>
      </w:r>
      <w:r>
        <w:t>to each community with regard to services offered to that community.  However, the Trust will still be ultimately responsible for such quality control.</w:t>
      </w:r>
    </w:p>
    <w:p w:rsidR="003744EE" w:rsidRDefault="004F56AD">
      <w:pPr>
        <w:numPr>
          <w:ilvl w:val="1"/>
          <w:numId w:val="2"/>
        </w:numPr>
        <w:ind w:hanging="360"/>
      </w:pPr>
      <w:r>
        <w:t xml:space="preserve">All use of the </w:t>
      </w:r>
      <w:proofErr w:type="spellStart"/>
      <w:r>
        <w:t>IANA</w:t>
      </w:r>
      <w:proofErr w:type="spellEnd"/>
      <w:r>
        <w:t xml:space="preserve"> marks shall be in accordance with mutually-agreed quality requirements, as well as s</w:t>
      </w:r>
      <w:r>
        <w:t>ize, color, placement and similar guidelines to be agreed.</w:t>
      </w:r>
    </w:p>
    <w:p w:rsidR="003744EE" w:rsidRDefault="004F56AD">
      <w:pPr>
        <w:numPr>
          <w:ilvl w:val="1"/>
          <w:numId w:val="2"/>
        </w:numPr>
        <w:ind w:hanging="360"/>
      </w:pPr>
      <w:r>
        <w:t xml:space="preserve">The </w:t>
      </w:r>
      <w:proofErr w:type="spellStart"/>
      <w:r>
        <w:t>IETF</w:t>
      </w:r>
      <w:proofErr w:type="spellEnd"/>
      <w:r>
        <w:t xml:space="preserve"> Trust will authorize </w:t>
      </w:r>
      <w:r>
        <w:t>Licensee</w:t>
      </w:r>
      <w:r>
        <w:t xml:space="preserve"> to operate the </w:t>
      </w:r>
      <w:proofErr w:type="spellStart"/>
      <w:r>
        <w:t>IANA</w:t>
      </w:r>
      <w:proofErr w:type="spellEnd"/>
      <w:r>
        <w:t> </w:t>
      </w:r>
      <w:r>
        <w:t>D</w:t>
      </w:r>
      <w:r>
        <w:t>omains and any number of sub-domains.  </w:t>
      </w:r>
      <w:proofErr w:type="spellStart"/>
      <w:r>
        <w:t>IETF</w:t>
      </w:r>
      <w:proofErr w:type="spellEnd"/>
      <w:r>
        <w:t xml:space="preserve"> Trust shall appoint </w:t>
      </w:r>
      <w:r>
        <w:t>ICANN</w:t>
      </w:r>
      <w:r>
        <w:t xml:space="preserve"> as the technical contact for the </w:t>
      </w:r>
      <w:proofErr w:type="spellStart"/>
      <w:r>
        <w:t>IANA</w:t>
      </w:r>
      <w:proofErr w:type="spellEnd"/>
      <w:r>
        <w:t> </w:t>
      </w:r>
      <w:r>
        <w:t>D</w:t>
      </w:r>
      <w:r>
        <w:t>omains during the term of th</w:t>
      </w:r>
      <w:r>
        <w:t>e agreement.  </w:t>
      </w:r>
      <w:r>
        <w:t>ICANN</w:t>
      </w:r>
      <w:r>
        <w:t xml:space="preserve"> wi</w:t>
      </w:r>
      <w:r>
        <w:t xml:space="preserve">ll authorize </w:t>
      </w:r>
      <w:proofErr w:type="spellStart"/>
      <w:r>
        <w:t>PTI</w:t>
      </w:r>
      <w:proofErr w:type="spellEnd"/>
      <w:r>
        <w:t xml:space="preserve"> to</w:t>
      </w:r>
      <w:r>
        <w:t xml:space="preserve"> use the </w:t>
      </w:r>
      <w:proofErr w:type="spellStart"/>
      <w:r>
        <w:t>IANA</w:t>
      </w:r>
      <w:proofErr w:type="spellEnd"/>
      <w:r>
        <w:t xml:space="preserve"> Domains</w:t>
      </w:r>
      <w:r>
        <w:t xml:space="preserve"> and all associated subdomains exclusively for purposes </w:t>
      </w:r>
      <w:r>
        <w:t xml:space="preserve">related to </w:t>
      </w:r>
      <w:r>
        <w:t xml:space="preserve">offering the </w:t>
      </w:r>
      <w:proofErr w:type="spellStart"/>
      <w:r>
        <w:t>IANA</w:t>
      </w:r>
      <w:proofErr w:type="spellEnd"/>
      <w:r>
        <w:t xml:space="preserve"> functions.</w:t>
      </w:r>
    </w:p>
    <w:p w:rsidR="003744EE" w:rsidRDefault="004F56AD">
      <w:pPr>
        <w:numPr>
          <w:ilvl w:val="1"/>
          <w:numId w:val="2"/>
        </w:numPr>
        <w:ind w:hanging="360"/>
      </w:pPr>
      <w:r>
        <w:t xml:space="preserve">All goodwill arising from use of the </w:t>
      </w:r>
      <w:proofErr w:type="spellStart"/>
      <w:r>
        <w:t>IANA</w:t>
      </w:r>
      <w:proofErr w:type="spellEnd"/>
      <w:r>
        <w:t xml:space="preserve"> </w:t>
      </w:r>
      <w:proofErr w:type="spellStart"/>
      <w:r>
        <w:t>IPR</w:t>
      </w:r>
      <w:proofErr w:type="spellEnd"/>
      <w:r>
        <w:t xml:space="preserve"> will inure to the benefit of the </w:t>
      </w:r>
      <w:proofErr w:type="spellStart"/>
      <w:r>
        <w:t>IETF</w:t>
      </w:r>
      <w:proofErr w:type="spellEnd"/>
      <w:r>
        <w:t xml:space="preserve"> Trust, and </w:t>
      </w:r>
      <w:r>
        <w:t>Lic</w:t>
      </w:r>
      <w:r>
        <w:t>ensee</w:t>
      </w:r>
      <w:r>
        <w:t xml:space="preserve"> will not register or reserve any mark that contains, is identical or confusingly similar to any </w:t>
      </w:r>
      <w:proofErr w:type="spellStart"/>
      <w:r>
        <w:t>IANA</w:t>
      </w:r>
      <w:proofErr w:type="spellEnd"/>
      <w:r>
        <w:t xml:space="preserve"> mark in any jurisdiction, whether as a trademark, service mark, trade name </w:t>
      </w:r>
      <w:r>
        <w:t>o</w:t>
      </w:r>
      <w:r>
        <w:t>r domain name.</w:t>
      </w:r>
    </w:p>
    <w:p w:rsidR="003744EE" w:rsidRDefault="004F56AD">
      <w:pPr>
        <w:numPr>
          <w:ilvl w:val="1"/>
          <w:numId w:val="2"/>
        </w:numPr>
        <w:ind w:hanging="360"/>
      </w:pPr>
      <w:r>
        <w:t xml:space="preserve">The </w:t>
      </w:r>
      <w:proofErr w:type="spellStart"/>
      <w:r>
        <w:t>IETF</w:t>
      </w:r>
      <w:proofErr w:type="spellEnd"/>
      <w:r>
        <w:t xml:space="preserve"> Trust will </w:t>
      </w:r>
      <w:r>
        <w:t xml:space="preserve"> be responsible for enforcing </w:t>
      </w:r>
      <w:r>
        <w:t xml:space="preserve">the </w:t>
      </w:r>
      <w:proofErr w:type="spellStart"/>
      <w:r>
        <w:t>IANA</w:t>
      </w:r>
      <w:proofErr w:type="spellEnd"/>
      <w:r>
        <w:t xml:space="preserve"> </w:t>
      </w:r>
      <w:r>
        <w:t>M</w:t>
      </w:r>
      <w:r>
        <w:t xml:space="preserve">arks against infringers, at its expense. All decisions regarding </w:t>
      </w:r>
      <w:r>
        <w:t xml:space="preserve">enforcement shall be approved by the CCG or by the relevant </w:t>
      </w:r>
      <w:proofErr w:type="spellStart"/>
      <w:r>
        <w:t>IANA</w:t>
      </w:r>
      <w:proofErr w:type="spellEnd"/>
      <w:r>
        <w:t xml:space="preserve"> </w:t>
      </w:r>
      <w:proofErr w:type="spellStart"/>
      <w:r>
        <w:t>IPR</w:t>
      </w:r>
      <w:proofErr w:type="spellEnd"/>
      <w:r>
        <w:t xml:space="preserve"> Reps.</w:t>
      </w:r>
      <w:r>
        <w:t>  </w:t>
      </w:r>
      <w:r>
        <w:t>Each party</w:t>
      </w:r>
      <w:r>
        <w:t xml:space="preserve"> will use reasonable efforts to notify </w:t>
      </w:r>
      <w:r>
        <w:t xml:space="preserve">the other party and the </w:t>
      </w:r>
      <w:proofErr w:type="spellStart"/>
      <w:r>
        <w:t>IICG</w:t>
      </w:r>
      <w:proofErr w:type="spellEnd"/>
      <w:r>
        <w:t xml:space="preserve"> of any such infringement th</w:t>
      </w:r>
      <w:r>
        <w:t>at comes to its attention.  </w:t>
      </w:r>
      <w:proofErr w:type="spellStart"/>
      <w:r>
        <w:t>IETF</w:t>
      </w:r>
      <w:proofErr w:type="spellEnd"/>
      <w:r>
        <w:t xml:space="preserve"> Trust will be entitled to retain all damages received as a result of its enforcement of the </w:t>
      </w:r>
      <w:proofErr w:type="spellStart"/>
      <w:r>
        <w:t>IANA</w:t>
      </w:r>
      <w:proofErr w:type="spellEnd"/>
      <w:r>
        <w:t xml:space="preserve"> marks, after the expenses of ICANN, </w:t>
      </w:r>
      <w:proofErr w:type="spellStart"/>
      <w:r>
        <w:t>PTI</w:t>
      </w:r>
      <w:proofErr w:type="spellEnd"/>
      <w:r>
        <w:t xml:space="preserve">, </w:t>
      </w:r>
      <w:r>
        <w:t>CCG, the operational communities and the Trust are reimbursed on a pro rata basis</w:t>
      </w:r>
      <w:r>
        <w:t>.</w:t>
      </w:r>
    </w:p>
    <w:p w:rsidR="003744EE" w:rsidRDefault="004F56AD">
      <w:pPr>
        <w:numPr>
          <w:ilvl w:val="1"/>
          <w:numId w:val="2"/>
        </w:numPr>
        <w:ind w:hanging="360"/>
      </w:pPr>
      <w:r>
        <w:t>If</w:t>
      </w:r>
      <w:r>
        <w:t xml:space="preserve"> t</w:t>
      </w:r>
      <w:r>
        <w:t xml:space="preserve">he </w:t>
      </w:r>
      <w:proofErr w:type="spellStart"/>
      <w:r>
        <w:t>IETF</w:t>
      </w:r>
      <w:proofErr w:type="spellEnd"/>
      <w:r>
        <w:t xml:space="preserve"> Trust believes t</w:t>
      </w:r>
      <w:r>
        <w:t xml:space="preserve">hat Licensee has materially breached the agreement, the Trust will confer with the CCG regarding a course of action.  </w:t>
      </w:r>
    </w:p>
    <w:p w:rsidR="003744EE" w:rsidRDefault="004F56AD">
      <w:pPr>
        <w:numPr>
          <w:ilvl w:val="2"/>
          <w:numId w:val="2"/>
        </w:numPr>
        <w:ind w:hanging="180"/>
      </w:pPr>
      <w:r>
        <w:t>If agreed with the CCG, the Trust</w:t>
      </w:r>
      <w:r>
        <w:t xml:space="preserve"> will provide noti</w:t>
      </w:r>
      <w:r>
        <w:t>ce of the breach to the Licensee along with a reasonable opportunity to cure the breach, for a period of no less than 60 days.  If the breach is also a breach of an agreement between an operational community and the Licensee or a failure under relevant ope</w:t>
      </w:r>
      <w:r>
        <w:t xml:space="preserve">rational guidelines, the Trust and the relevant </w:t>
      </w:r>
      <w:proofErr w:type="spellStart"/>
      <w:r>
        <w:t>IANA</w:t>
      </w:r>
      <w:proofErr w:type="spellEnd"/>
      <w:r>
        <w:t xml:space="preserve"> </w:t>
      </w:r>
      <w:proofErr w:type="spellStart"/>
      <w:r>
        <w:t>IPR</w:t>
      </w:r>
      <w:proofErr w:type="spellEnd"/>
      <w:r>
        <w:t xml:space="preserve"> Reps will coordinate handling of the breach.  </w:t>
      </w:r>
    </w:p>
    <w:p w:rsidR="003744EE" w:rsidRDefault="004F56AD">
      <w:pPr>
        <w:numPr>
          <w:ilvl w:val="2"/>
          <w:numId w:val="2"/>
        </w:numPr>
        <w:ind w:hanging="180"/>
      </w:pPr>
      <w:r>
        <w:t xml:space="preserve">If the Licensee can’t cure the breach within this period, the Licensee, the Trust and the CCG (or the relevant </w:t>
      </w:r>
      <w:proofErr w:type="spellStart"/>
      <w:r>
        <w:t>IANA</w:t>
      </w:r>
      <w:proofErr w:type="spellEnd"/>
      <w:r>
        <w:t xml:space="preserve"> </w:t>
      </w:r>
      <w:proofErr w:type="spellStart"/>
      <w:r>
        <w:t>IPR</w:t>
      </w:r>
      <w:proofErr w:type="spellEnd"/>
      <w:r>
        <w:t xml:space="preserve"> Reps) will enter into an escalat</w:t>
      </w:r>
      <w:r>
        <w:t xml:space="preserve">ion procedure, beginning with executive consultation followed by mediation.  </w:t>
      </w:r>
    </w:p>
    <w:p w:rsidR="003744EE" w:rsidRDefault="004F56AD">
      <w:pPr>
        <w:numPr>
          <w:ilvl w:val="2"/>
          <w:numId w:val="2"/>
        </w:numPr>
        <w:ind w:hanging="180"/>
      </w:pPr>
      <w:r>
        <w:lastRenderedPageBreak/>
        <w:t xml:space="preserve">If the breach is still not cured by the Licensee, the Trust may request that the relevant operational community or communities begin the process to engage a new </w:t>
      </w:r>
      <w:proofErr w:type="spellStart"/>
      <w:r>
        <w:t>IANA</w:t>
      </w:r>
      <w:proofErr w:type="spellEnd"/>
      <w:r>
        <w:t xml:space="preserve"> service prov</w:t>
      </w:r>
      <w:r>
        <w:t xml:space="preserve">ider.  The community or communities will start the procedure (but if they disagree with the Trust, they will confer to reach a mutually acceptable resolution).  When the relevant community selects a new </w:t>
      </w:r>
      <w:proofErr w:type="spellStart"/>
      <w:r>
        <w:t>IANA</w:t>
      </w:r>
      <w:proofErr w:type="spellEnd"/>
      <w:r>
        <w:t xml:space="preserve"> service provider, this agreement will be termina</w:t>
      </w:r>
      <w:r>
        <w:t xml:space="preserve">ted with regard to the relevant services simultaneously with the execution of a license to the replacement service provider. The Trust is not </w:t>
      </w:r>
      <w:r>
        <w:t>entitled to terminate the agreement</w:t>
      </w:r>
      <w:r>
        <w:t xml:space="preserve"> in the event of a</w:t>
      </w:r>
      <w:r>
        <w:t xml:space="preserve"> an insolvency or bankruptcy event by </w:t>
      </w:r>
      <w:proofErr w:type="spellStart"/>
      <w:r>
        <w:t>PTI</w:t>
      </w:r>
      <w:proofErr w:type="spellEnd"/>
      <w:r>
        <w:t>.</w:t>
      </w:r>
    </w:p>
    <w:p w:rsidR="003744EE" w:rsidRDefault="004F56AD">
      <w:pPr>
        <w:numPr>
          <w:ilvl w:val="1"/>
          <w:numId w:val="2"/>
        </w:numPr>
        <w:ind w:hanging="360"/>
      </w:pPr>
      <w:r>
        <w:t xml:space="preserve">If </w:t>
      </w:r>
      <w:r>
        <w:t>the agreement i</w:t>
      </w:r>
      <w:r>
        <w:t>s terminated in it</w:t>
      </w:r>
      <w:r>
        <w:t>s entirety</w:t>
      </w:r>
      <w:r>
        <w:t xml:space="preserve">, </w:t>
      </w:r>
      <w:r>
        <w:t>Licensee</w:t>
      </w:r>
      <w:r>
        <w:t xml:space="preserve"> will immediately cease all use of the </w:t>
      </w:r>
      <w:proofErr w:type="spellStart"/>
      <w:r>
        <w:t>IANA</w:t>
      </w:r>
      <w:proofErr w:type="spellEnd"/>
      <w:r>
        <w:t xml:space="preserve"> </w:t>
      </w:r>
      <w:proofErr w:type="spellStart"/>
      <w:r>
        <w:t>IPR</w:t>
      </w:r>
      <w:proofErr w:type="spellEnd"/>
      <w:r>
        <w:t xml:space="preserve"> and shall transfer technical control of the </w:t>
      </w:r>
      <w:proofErr w:type="spellStart"/>
      <w:r>
        <w:t>IANA</w:t>
      </w:r>
      <w:proofErr w:type="spellEnd"/>
      <w:r>
        <w:t> </w:t>
      </w:r>
      <w:r>
        <w:t>D</w:t>
      </w:r>
      <w:r>
        <w:t>omains to its success</w:t>
      </w:r>
      <w:r>
        <w:t>or or successors</w:t>
      </w:r>
      <w:r>
        <w:t>,</w:t>
      </w:r>
      <w:r>
        <w:t xml:space="preserve"> subject to any transition period agreed between the community or communities and </w:t>
      </w:r>
      <w:proofErr w:type="spellStart"/>
      <w:r>
        <w:t>PTI</w:t>
      </w:r>
      <w:proofErr w:type="spellEnd"/>
      <w:r>
        <w:t xml:space="preserve">.  If the agreement is partially terminated, </w:t>
      </w:r>
      <w:r>
        <w:t>Licensee</w:t>
      </w:r>
      <w:r>
        <w:t xml:space="preserve"> will immed</w:t>
      </w:r>
      <w:r>
        <w:t xml:space="preserve">iately cease all use of the </w:t>
      </w:r>
      <w:proofErr w:type="spellStart"/>
      <w:r>
        <w:t>IANA</w:t>
      </w:r>
      <w:proofErr w:type="spellEnd"/>
      <w:r>
        <w:t xml:space="preserve"> </w:t>
      </w:r>
      <w:proofErr w:type="spellStart"/>
      <w:r>
        <w:t>IPR</w:t>
      </w:r>
      <w:proofErr w:type="spellEnd"/>
      <w:r>
        <w:t xml:space="preserve"> related to the terminated services and will transfer technical control of the relevant subdomain(s) to the successor licensee for the terminated service</w:t>
      </w:r>
      <w:r>
        <w:t>s.</w:t>
      </w:r>
      <w:r>
        <w:t xml:space="preserve"> </w:t>
      </w:r>
    </w:p>
    <w:sectPr w:rsidR="003744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F56AD">
      <w:pPr>
        <w:spacing w:after="0"/>
      </w:pPr>
      <w:r>
        <w:separator/>
      </w:r>
    </w:p>
  </w:endnote>
  <w:endnote w:type="continuationSeparator" w:id="0">
    <w:p w:rsidR="00000000" w:rsidRDefault="004F5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ED" w:rsidRDefault="005027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4EE" w:rsidRDefault="004F56AD">
    <w:pPr>
      <w:tabs>
        <w:tab w:val="center" w:pos="4680"/>
        <w:tab w:val="right" w:pos="9360"/>
      </w:tabs>
      <w:spacing w:after="720"/>
      <w:jc w:val="center"/>
    </w:pPr>
    <w:r>
      <w:fldChar w:fldCharType="begin"/>
    </w:r>
    <w:r>
      <w:instrText>PAGE</w:instrText>
    </w:r>
    <w:r>
      <w:fldChar w:fldCharType="separate"/>
    </w:r>
    <w:r w:rsidR="005027ED">
      <w:rPr>
        <w:noProof/>
      </w:rPr>
      <w:t>6</w:t>
    </w:r>
    <w:r>
      <w:fldChar w:fldCharType="end"/>
    </w:r>
  </w:p>
  <w:p w:rsidR="003744EE" w:rsidRDefault="003744EE">
    <w:pPr>
      <w:tabs>
        <w:tab w:val="center" w:pos="4680"/>
        <w:tab w:val="right" w:pos="9360"/>
      </w:tabs>
      <w:spacing w:after="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ED" w:rsidRDefault="00502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F56AD">
      <w:pPr>
        <w:spacing w:after="0"/>
      </w:pPr>
      <w:r>
        <w:separator/>
      </w:r>
    </w:p>
  </w:footnote>
  <w:footnote w:type="continuationSeparator" w:id="0">
    <w:p w:rsidR="00000000" w:rsidRDefault="004F56AD">
      <w:pPr>
        <w:spacing w:after="0"/>
      </w:pPr>
      <w:r>
        <w:continuationSeparator/>
      </w:r>
    </w:p>
  </w:footnote>
  <w:footnote w:id="1">
    <w:p w:rsidR="003744EE" w:rsidRDefault="004F56AD">
      <w:r>
        <w:rPr>
          <w:vertAlign w:val="superscript"/>
        </w:rPr>
        <w:footnoteRef/>
      </w:r>
      <w:proofErr w:type="spellStart"/>
      <w:r>
        <w:t>IANA</w:t>
      </w:r>
      <w:proofErr w:type="spellEnd"/>
      <w:r>
        <w:t xml:space="preserve"> Stewardship Transition Coordination Group (</w:t>
      </w:r>
      <w:proofErr w:type="spellStart"/>
      <w:r>
        <w:t>ICG</w:t>
      </w:r>
      <w:proofErr w:type="spellEnd"/>
      <w:r>
        <w:t xml:space="preserve">). </w:t>
      </w:r>
      <w:r>
        <w:rPr>
          <w:i/>
        </w:rPr>
        <w:t>Proposal to Transition the Stewardship of the Internet Assigned Numbers Authority (</w:t>
      </w:r>
      <w:proofErr w:type="spellStart"/>
      <w:r>
        <w:rPr>
          <w:i/>
        </w:rPr>
        <w:t>IANA</w:t>
      </w:r>
      <w:proofErr w:type="spellEnd"/>
      <w:r>
        <w:rPr>
          <w:i/>
        </w:rPr>
        <w:t>) Functions from the U.S. Commerce Department’s National Telecommunications and Informa</w:t>
      </w:r>
      <w:r>
        <w:rPr>
          <w:i/>
        </w:rPr>
        <w:t>tion Administration (</w:t>
      </w:r>
      <w:proofErr w:type="spellStart"/>
      <w:r>
        <w:rPr>
          <w:i/>
        </w:rPr>
        <w:t>NTIA</w:t>
      </w:r>
      <w:proofErr w:type="spellEnd"/>
      <w:r>
        <w:rPr>
          <w:i/>
        </w:rPr>
        <w:t>) to the Global Multistakeholder Community.</w:t>
      </w:r>
      <w:r>
        <w:t xml:space="preserve"> October 2015. &lt;</w:t>
      </w:r>
      <w:r>
        <w:rPr>
          <w:color w:val="0000FF"/>
          <w:u w:val="single"/>
        </w:rPr>
        <w:t>http://www.ianacg.org/icg-files/documents/IANA-transition-proposal-v9.pdf</w:t>
      </w:r>
      <w:r>
        <w:t>&gt;</w:t>
      </w:r>
    </w:p>
  </w:footnote>
  <w:footnote w:id="2">
    <w:p w:rsidR="003744EE" w:rsidRDefault="004F56AD">
      <w:pPr>
        <w:spacing w:after="0"/>
      </w:pPr>
      <w:r>
        <w:rPr>
          <w:vertAlign w:val="superscript"/>
        </w:rPr>
        <w:footnoteRef/>
      </w:r>
      <w:r>
        <w:t xml:space="preserve"> Notes, Recordings, Transcript </w:t>
      </w:r>
      <w:proofErr w:type="spellStart"/>
      <w:r>
        <w:t>CWG</w:t>
      </w:r>
      <w:proofErr w:type="spellEnd"/>
      <w:r>
        <w:t xml:space="preserve"> </w:t>
      </w:r>
      <w:proofErr w:type="spellStart"/>
      <w:r>
        <w:t>IANA</w:t>
      </w:r>
      <w:proofErr w:type="spellEnd"/>
      <w:r>
        <w:t xml:space="preserve"> Meeting #75 - 21 January 2016 &lt;</w:t>
      </w:r>
      <w:hyperlink r:id="rId1">
        <w:r>
          <w:rPr>
            <w:color w:val="1155CC"/>
            <w:u w:val="single"/>
          </w:rPr>
          <w:t>http://mm.icann.org/pipermail/cwg-stewardship/2016-January/004629.html</w:t>
        </w:r>
      </w:hyperlink>
      <w:r>
        <w:t>&gt;</w:t>
      </w:r>
    </w:p>
  </w:footnote>
  <w:footnote w:id="3">
    <w:p w:rsidR="003744EE" w:rsidRDefault="004F56AD">
      <w:pPr>
        <w:spacing w:after="0"/>
      </w:pPr>
      <w:r>
        <w:rPr>
          <w:vertAlign w:val="superscript"/>
        </w:rPr>
        <w:footnoteRef/>
      </w:r>
      <w:r>
        <w:t xml:space="preserve"> In a common-law trust, the trustees have </w:t>
      </w:r>
      <w:r>
        <w:rPr>
          <w:color w:val="333333"/>
        </w:rPr>
        <w:t>legal ownership of the trust assets, but the beneficiary has beneficial ownership (i.e., the beneficiary owns the benefits associated with the assets).</w:t>
      </w:r>
    </w:p>
  </w:footnote>
  <w:footnote w:id="4">
    <w:p w:rsidR="003744EE" w:rsidRDefault="004F56AD">
      <w:pPr>
        <w:spacing w:after="0"/>
      </w:pPr>
      <w:r>
        <w:rPr>
          <w:vertAlign w:val="superscript"/>
        </w:rPr>
        <w:footnoteRef/>
      </w:r>
      <w:r>
        <w:t xml:space="preserve"> </w:t>
      </w:r>
      <w:r>
        <w:t xml:space="preserve">If the </w:t>
      </w:r>
      <w:proofErr w:type="spellStart"/>
      <w:r>
        <w:t>IETF</w:t>
      </w:r>
      <w:proofErr w:type="spellEnd"/>
      <w:r>
        <w:t xml:space="preserve"> stops developing technical standards for the Internet, then the </w:t>
      </w:r>
      <w:proofErr w:type="spellStart"/>
      <w:r>
        <w:t>IETF's</w:t>
      </w:r>
      <w:proofErr w:type="spellEnd"/>
      <w:r>
        <w:t xml:space="preserve"> successor with respect to the development of technical standards for the Internet will become the beneficiary, if approved by the </w:t>
      </w:r>
      <w:proofErr w:type="spellStart"/>
      <w:r>
        <w:t>IESG</w:t>
      </w:r>
      <w:proofErr w:type="spellEnd"/>
      <w:r>
        <w:t xml:space="preserve"> or its successor</w:t>
      </w:r>
      <w:r>
        <w:t xml:space="preserve">. </w:t>
      </w:r>
      <w:proofErr w:type="spellStart"/>
      <w:r>
        <w:t>IETF</w:t>
      </w:r>
      <w:proofErr w:type="spellEnd"/>
      <w:r>
        <w:t xml:space="preserve"> Trust Agreement, Section IV &lt;</w:t>
      </w:r>
      <w:hyperlink r:id="rId2">
        <w:r>
          <w:rPr>
            <w:color w:val="1155CC"/>
            <w:u w:val="single"/>
          </w:rPr>
          <w:t>http://trustee.ietf.org/trust-agreement-2014.html</w:t>
        </w:r>
      </w:hyperlink>
      <w:r>
        <w:t>&gt;.</w:t>
      </w:r>
    </w:p>
  </w:footnote>
  <w:footnote w:id="5">
    <w:p w:rsidR="003744EE" w:rsidRDefault="004F56AD">
      <w:pPr>
        <w:spacing w:after="0"/>
      </w:pPr>
      <w:r>
        <w:rPr>
          <w:vertAlign w:val="superscript"/>
        </w:rPr>
        <w:footnoteRef/>
      </w:r>
      <w:r>
        <w:t xml:space="preserve"> </w:t>
      </w:r>
      <w:r>
        <w:t>&lt;</w:t>
      </w:r>
      <w:hyperlink r:id="rId3">
        <w:r>
          <w:rPr>
            <w:color w:val="0000FF"/>
            <w:u w:val="single"/>
          </w:rPr>
          <w:t>http://trustee.ietf.org/trust-agreement-2014.html</w:t>
        </w:r>
      </w:hyperlink>
      <w:r>
        <w:t>&gt; clause 2.1</w:t>
      </w:r>
    </w:p>
  </w:footnote>
  <w:footnote w:id="6">
    <w:p w:rsidR="003744EE" w:rsidRDefault="004F56AD">
      <w:pPr>
        <w:spacing w:after="0"/>
      </w:pPr>
      <w:r>
        <w:rPr>
          <w:vertAlign w:val="superscript"/>
        </w:rPr>
        <w:footnoteRef/>
      </w:r>
      <w:r>
        <w:t xml:space="preserve"> </w:t>
      </w:r>
      <w:r>
        <w:t>The names community will need to identify an appropriate legal entity to enter into this agreement on behalf of the names community.</w:t>
      </w:r>
    </w:p>
  </w:footnote>
  <w:footnote w:id="7">
    <w:p w:rsidR="003744EE" w:rsidRDefault="004F56AD">
      <w:pPr>
        <w:spacing w:after="0"/>
      </w:pPr>
      <w:r>
        <w:rPr>
          <w:vertAlign w:val="superscript"/>
        </w:rPr>
        <w:footnoteRef/>
      </w:r>
      <w:r>
        <w:t xml:space="preserve"> ICANN legal will need to r</w:t>
      </w:r>
      <w:r>
        <w:t>eview and comment on this.</w:t>
      </w:r>
    </w:p>
  </w:footnote>
  <w:footnote w:id="8">
    <w:p w:rsidR="003744EE" w:rsidRDefault="004F56AD">
      <w:pPr>
        <w:spacing w:after="0"/>
      </w:pPr>
      <w:r>
        <w:rPr>
          <w:vertAlign w:val="superscript"/>
        </w:rPr>
        <w:footnoteRef/>
      </w:r>
      <w:r>
        <w:t xml:space="preserve"> </w:t>
      </w:r>
      <w:proofErr w:type="spellStart"/>
      <w:r>
        <w:t>IANA</w:t>
      </w:r>
      <w:proofErr w:type="spellEnd"/>
      <w:r>
        <w:t xml:space="preserve"> Transition should be defined.</w:t>
      </w:r>
    </w:p>
  </w:footnote>
  <w:footnote w:id="9">
    <w:p w:rsidR="003744EE" w:rsidRDefault="004F56AD">
      <w:pPr>
        <w:spacing w:after="0"/>
      </w:pPr>
      <w:r>
        <w:rPr>
          <w:vertAlign w:val="superscript"/>
        </w:rPr>
        <w:footnoteRef/>
      </w:r>
      <w:r>
        <w:t xml:space="preserve"> We should determine if there are any specific obligations or liabilities.</w:t>
      </w:r>
    </w:p>
  </w:footnote>
  <w:footnote w:id="10">
    <w:p w:rsidR="003744EE" w:rsidRDefault="004F56AD">
      <w:pPr>
        <w:spacing w:after="0"/>
      </w:pPr>
      <w:r>
        <w:rPr>
          <w:vertAlign w:val="superscript"/>
        </w:rPr>
        <w:footnoteRef/>
      </w:r>
      <w:r>
        <w:t xml:space="preserve"> There are three basic types of trademark licenses: exclusive, non-exclusive and sole.  In an exclusive license, only the licensee can use the marks as a brand for the particular goods or services covered by the license.  The licensor cannot use the marks </w:t>
      </w:r>
      <w:r>
        <w:t xml:space="preserve">and cannot license the marks to others for the same goods and services.  In a non-exclusive license, the licensor can use the mark for particular goods and services and can license the mark to multiple licensees for the same goods and services.  In a sole </w:t>
      </w:r>
      <w:r>
        <w:t xml:space="preserve">license, the licensor and licensee can use the mark for the same goods and services, but the licensor cannot grant any other licenses for the same marks for the same goods and services.  Trademark licenses only cover use of the marks as brands and in some </w:t>
      </w:r>
      <w:r>
        <w:t>cases, in the tradename of the licensee.  Non-trademark uses do not require a license.  For instance, the communities will not need a license, since the communities will not be using the marks as brands for their services. Rather, the communities will be u</w:t>
      </w:r>
      <w:r>
        <w:t>sing the marks in a descriptive or “nominative” (naming) sense.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ED" w:rsidRDefault="005027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ED" w:rsidRDefault="005027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7ED" w:rsidRDefault="00502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D032D"/>
    <w:multiLevelType w:val="multilevel"/>
    <w:tmpl w:val="0838913E"/>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6DF94729"/>
    <w:multiLevelType w:val="multilevel"/>
    <w:tmpl w:val="83E0B34A"/>
    <w:lvl w:ilvl="0">
      <w:start w:val="1"/>
      <w:numFmt w:val="upperLetter"/>
      <w:lvlText w:val="%1."/>
      <w:lvlJc w:val="left"/>
      <w:pPr>
        <w:ind w:left="720" w:firstLine="360"/>
      </w:pPr>
      <w:rPr>
        <w:b/>
      </w:rPr>
    </w:lvl>
    <w:lvl w:ilvl="1">
      <w:start w:val="1"/>
      <w:numFmt w:val="decimal"/>
      <w:lvlText w:val="%2."/>
      <w:lvlJc w:val="left"/>
      <w:pPr>
        <w:ind w:left="1440" w:firstLine="1080"/>
      </w:pPr>
    </w:lvl>
    <w:lvl w:ilvl="2">
      <w:start w:val="1"/>
      <w:numFmt w:val="lowerLetter"/>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744EE"/>
    <w:rsid w:val="003744EE"/>
    <w:rsid w:val="004F56AD"/>
    <w:rsid w:val="0050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222222"/>
        <w:highlight w:val="white"/>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360"/>
      <w:contextualSpacing/>
      <w:outlineLvl w:val="0"/>
    </w:pPr>
    <w:rPr>
      <w:b/>
    </w:rPr>
  </w:style>
  <w:style w:type="paragraph" w:styleId="Heading2">
    <w:name w:val="heading 2"/>
    <w:basedOn w:val="Normal"/>
    <w:next w:val="Normal"/>
    <w:pPr>
      <w:keepNext/>
      <w:keepLines/>
      <w:ind w:left="720" w:hanging="360"/>
      <w:contextualSpacing/>
      <w:outlineLvl w:val="1"/>
    </w:pPr>
    <w:rPr>
      <w:b/>
    </w:rPr>
  </w:style>
  <w:style w:type="paragraph" w:styleId="Heading3">
    <w:name w:val="heading 3"/>
    <w:basedOn w:val="Normal"/>
    <w:next w:val="Normal"/>
    <w:pPr>
      <w:keepNext/>
      <w:keepLines/>
      <w:spacing w:before="200" w:after="0" w:line="276" w:lineRule="auto"/>
      <w:outlineLvl w:val="2"/>
    </w:pPr>
    <w:rPr>
      <w:rFonts w:ascii="Cambria" w:eastAsia="Cambria" w:hAnsi="Cambria" w:cs="Cambria"/>
      <w:b/>
      <w:color w:val="4F81BD"/>
      <w:sz w:val="22"/>
      <w:szCs w:val="22"/>
    </w:rPr>
  </w:style>
  <w:style w:type="paragraph" w:styleId="Heading4">
    <w:name w:val="heading 4"/>
    <w:basedOn w:val="Normal"/>
    <w:next w:val="Normal"/>
    <w:pPr>
      <w:keepNext/>
      <w:keepLines/>
      <w:spacing w:before="200" w:after="0" w:line="276" w:lineRule="auto"/>
      <w:ind w:left="2160"/>
      <w:outlineLvl w:val="3"/>
    </w:pPr>
    <w:rPr>
      <w:rFonts w:ascii="Cambria" w:eastAsia="Cambria" w:hAnsi="Cambria" w:cs="Cambria"/>
      <w:b/>
      <w:i/>
      <w:color w:val="4F81BD"/>
      <w:sz w:val="22"/>
      <w:szCs w:val="22"/>
    </w:rPr>
  </w:style>
  <w:style w:type="paragraph" w:styleId="Heading5">
    <w:name w:val="heading 5"/>
    <w:basedOn w:val="Normal"/>
    <w:next w:val="Normal"/>
    <w:pPr>
      <w:keepNext/>
      <w:keepLines/>
      <w:spacing w:before="200" w:after="0" w:line="276" w:lineRule="auto"/>
      <w:ind w:left="2880"/>
      <w:outlineLvl w:val="4"/>
    </w:pPr>
    <w:rPr>
      <w:rFonts w:ascii="Cambria" w:eastAsia="Cambria" w:hAnsi="Cambria" w:cs="Cambria"/>
      <w:color w:val="243F61"/>
      <w:sz w:val="22"/>
      <w:szCs w:val="22"/>
    </w:rPr>
  </w:style>
  <w:style w:type="paragraph" w:styleId="Heading6">
    <w:name w:val="heading 6"/>
    <w:basedOn w:val="Normal"/>
    <w:next w:val="Normal"/>
    <w:pPr>
      <w:keepNext/>
      <w:keepLines/>
      <w:spacing w:before="200" w:after="0" w:line="276" w:lineRule="auto"/>
      <w:ind w:left="3600"/>
      <w:outlineLvl w:val="5"/>
    </w:pPr>
    <w:rPr>
      <w:rFonts w:ascii="Cambria" w:eastAsia="Cambria" w:hAnsi="Cambria" w:cs="Cambria"/>
      <w:i/>
      <w:color w:val="243F6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027ED"/>
    <w:pPr>
      <w:tabs>
        <w:tab w:val="center" w:pos="4680"/>
        <w:tab w:val="right" w:pos="9360"/>
      </w:tabs>
      <w:spacing w:after="0"/>
    </w:pPr>
  </w:style>
  <w:style w:type="character" w:customStyle="1" w:styleId="HeaderChar">
    <w:name w:val="Header Char"/>
    <w:basedOn w:val="DefaultParagraphFont"/>
    <w:link w:val="Header"/>
    <w:uiPriority w:val="99"/>
    <w:rsid w:val="005027ED"/>
  </w:style>
  <w:style w:type="paragraph" w:styleId="Footer">
    <w:name w:val="footer"/>
    <w:basedOn w:val="Normal"/>
    <w:link w:val="FooterChar"/>
    <w:uiPriority w:val="99"/>
    <w:unhideWhenUsed/>
    <w:rsid w:val="005027ED"/>
    <w:pPr>
      <w:tabs>
        <w:tab w:val="center" w:pos="4680"/>
        <w:tab w:val="right" w:pos="9360"/>
      </w:tabs>
      <w:spacing w:after="0"/>
    </w:pPr>
  </w:style>
  <w:style w:type="character" w:customStyle="1" w:styleId="FooterChar">
    <w:name w:val="Footer Char"/>
    <w:basedOn w:val="DefaultParagraphFont"/>
    <w:link w:val="Footer"/>
    <w:uiPriority w:val="99"/>
    <w:rsid w:val="005027ED"/>
  </w:style>
  <w:style w:type="paragraph" w:styleId="BalloonText">
    <w:name w:val="Balloon Text"/>
    <w:basedOn w:val="Normal"/>
    <w:link w:val="BalloonTextChar"/>
    <w:uiPriority w:val="99"/>
    <w:semiHidden/>
    <w:unhideWhenUsed/>
    <w:rsid w:val="005027ED"/>
    <w:pPr>
      <w:spacing w:after="0"/>
    </w:pPr>
    <w:rPr>
      <w:sz w:val="16"/>
      <w:szCs w:val="16"/>
    </w:rPr>
  </w:style>
  <w:style w:type="character" w:customStyle="1" w:styleId="BalloonTextChar">
    <w:name w:val="Balloon Text Char"/>
    <w:basedOn w:val="DefaultParagraphFont"/>
    <w:link w:val="BalloonText"/>
    <w:uiPriority w:val="99"/>
    <w:semiHidden/>
    <w:rsid w:val="005027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222222"/>
        <w:highlight w:val="white"/>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360"/>
      <w:contextualSpacing/>
      <w:outlineLvl w:val="0"/>
    </w:pPr>
    <w:rPr>
      <w:b/>
    </w:rPr>
  </w:style>
  <w:style w:type="paragraph" w:styleId="Heading2">
    <w:name w:val="heading 2"/>
    <w:basedOn w:val="Normal"/>
    <w:next w:val="Normal"/>
    <w:pPr>
      <w:keepNext/>
      <w:keepLines/>
      <w:ind w:left="720" w:hanging="360"/>
      <w:contextualSpacing/>
      <w:outlineLvl w:val="1"/>
    </w:pPr>
    <w:rPr>
      <w:b/>
    </w:rPr>
  </w:style>
  <w:style w:type="paragraph" w:styleId="Heading3">
    <w:name w:val="heading 3"/>
    <w:basedOn w:val="Normal"/>
    <w:next w:val="Normal"/>
    <w:pPr>
      <w:keepNext/>
      <w:keepLines/>
      <w:spacing w:before="200" w:after="0" w:line="276" w:lineRule="auto"/>
      <w:outlineLvl w:val="2"/>
    </w:pPr>
    <w:rPr>
      <w:rFonts w:ascii="Cambria" w:eastAsia="Cambria" w:hAnsi="Cambria" w:cs="Cambria"/>
      <w:b/>
      <w:color w:val="4F81BD"/>
      <w:sz w:val="22"/>
      <w:szCs w:val="22"/>
    </w:rPr>
  </w:style>
  <w:style w:type="paragraph" w:styleId="Heading4">
    <w:name w:val="heading 4"/>
    <w:basedOn w:val="Normal"/>
    <w:next w:val="Normal"/>
    <w:pPr>
      <w:keepNext/>
      <w:keepLines/>
      <w:spacing w:before="200" w:after="0" w:line="276" w:lineRule="auto"/>
      <w:ind w:left="2160"/>
      <w:outlineLvl w:val="3"/>
    </w:pPr>
    <w:rPr>
      <w:rFonts w:ascii="Cambria" w:eastAsia="Cambria" w:hAnsi="Cambria" w:cs="Cambria"/>
      <w:b/>
      <w:i/>
      <w:color w:val="4F81BD"/>
      <w:sz w:val="22"/>
      <w:szCs w:val="22"/>
    </w:rPr>
  </w:style>
  <w:style w:type="paragraph" w:styleId="Heading5">
    <w:name w:val="heading 5"/>
    <w:basedOn w:val="Normal"/>
    <w:next w:val="Normal"/>
    <w:pPr>
      <w:keepNext/>
      <w:keepLines/>
      <w:spacing w:before="200" w:after="0" w:line="276" w:lineRule="auto"/>
      <w:ind w:left="2880"/>
      <w:outlineLvl w:val="4"/>
    </w:pPr>
    <w:rPr>
      <w:rFonts w:ascii="Cambria" w:eastAsia="Cambria" w:hAnsi="Cambria" w:cs="Cambria"/>
      <w:color w:val="243F61"/>
      <w:sz w:val="22"/>
      <w:szCs w:val="22"/>
    </w:rPr>
  </w:style>
  <w:style w:type="paragraph" w:styleId="Heading6">
    <w:name w:val="heading 6"/>
    <w:basedOn w:val="Normal"/>
    <w:next w:val="Normal"/>
    <w:pPr>
      <w:keepNext/>
      <w:keepLines/>
      <w:spacing w:before="200" w:after="0" w:line="276" w:lineRule="auto"/>
      <w:ind w:left="3600"/>
      <w:outlineLvl w:val="5"/>
    </w:pPr>
    <w:rPr>
      <w:rFonts w:ascii="Cambria" w:eastAsia="Cambria" w:hAnsi="Cambria" w:cs="Cambria"/>
      <w:i/>
      <w:color w:val="243F6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027ED"/>
    <w:pPr>
      <w:tabs>
        <w:tab w:val="center" w:pos="4680"/>
        <w:tab w:val="right" w:pos="9360"/>
      </w:tabs>
      <w:spacing w:after="0"/>
    </w:pPr>
  </w:style>
  <w:style w:type="character" w:customStyle="1" w:styleId="HeaderChar">
    <w:name w:val="Header Char"/>
    <w:basedOn w:val="DefaultParagraphFont"/>
    <w:link w:val="Header"/>
    <w:uiPriority w:val="99"/>
    <w:rsid w:val="005027ED"/>
  </w:style>
  <w:style w:type="paragraph" w:styleId="Footer">
    <w:name w:val="footer"/>
    <w:basedOn w:val="Normal"/>
    <w:link w:val="FooterChar"/>
    <w:uiPriority w:val="99"/>
    <w:unhideWhenUsed/>
    <w:rsid w:val="005027ED"/>
    <w:pPr>
      <w:tabs>
        <w:tab w:val="center" w:pos="4680"/>
        <w:tab w:val="right" w:pos="9360"/>
      </w:tabs>
      <w:spacing w:after="0"/>
    </w:pPr>
  </w:style>
  <w:style w:type="character" w:customStyle="1" w:styleId="FooterChar">
    <w:name w:val="Footer Char"/>
    <w:basedOn w:val="DefaultParagraphFont"/>
    <w:link w:val="Footer"/>
    <w:uiPriority w:val="99"/>
    <w:rsid w:val="005027ED"/>
  </w:style>
  <w:style w:type="paragraph" w:styleId="BalloonText">
    <w:name w:val="Balloon Text"/>
    <w:basedOn w:val="Normal"/>
    <w:link w:val="BalloonTextChar"/>
    <w:uiPriority w:val="99"/>
    <w:semiHidden/>
    <w:unhideWhenUsed/>
    <w:rsid w:val="005027ED"/>
    <w:pPr>
      <w:spacing w:after="0"/>
    </w:pPr>
    <w:rPr>
      <w:sz w:val="16"/>
      <w:szCs w:val="16"/>
    </w:rPr>
  </w:style>
  <w:style w:type="character" w:customStyle="1" w:styleId="BalloonTextChar">
    <w:name w:val="Balloon Text Char"/>
    <w:basedOn w:val="DefaultParagraphFont"/>
    <w:link w:val="BalloonText"/>
    <w:uiPriority w:val="99"/>
    <w:semiHidden/>
    <w:rsid w:val="005027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ana.org/"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an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a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ana.ne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trustee.ietf.org/trust-agreement-2014.html" TargetMode="External"/><Relationship Id="rId2" Type="http://schemas.openxmlformats.org/officeDocument/2006/relationships/hyperlink" Target="http://trustee.ietf.org/trust-agreement-2014.html" TargetMode="External"/><Relationship Id="rId1" Type="http://schemas.openxmlformats.org/officeDocument/2006/relationships/hyperlink" Target="http://mm.icann.org/pipermail/cwg-stewardship/2016-January/0046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McCarter &amp; English, LLP</Company>
  <LinksUpToDate>false</LinksUpToDate>
  <CharactersWithSpaces>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Gregory S. Shatan</cp:lastModifiedBy>
  <cp:revision>2</cp:revision>
  <dcterms:created xsi:type="dcterms:W3CDTF">2016-05-12T14:49:00Z</dcterms:created>
  <dcterms:modified xsi:type="dcterms:W3CDTF">2016-05-12T14:49:00Z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