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2" w:type="dxa"/>
        <w:tblInd w:w="-6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tblPr>
      <w:tblGrid>
        <w:gridCol w:w="2988"/>
        <w:gridCol w:w="6510"/>
        <w:gridCol w:w="284"/>
      </w:tblGrid>
      <w:tr w:rsidR="00E36C67" w:rsidTr="00951DDF">
        <w:tc>
          <w:tcPr>
            <w:tcW w:w="2988" w:type="dxa"/>
            <w:tcBorders>
              <w:top w:val="single" w:sz="4" w:space="0" w:color="00000A"/>
              <w:left w:val="single" w:sz="4" w:space="0" w:color="00000A"/>
              <w:bottom w:val="single" w:sz="4" w:space="0" w:color="00000A"/>
              <w:right w:val="single" w:sz="4" w:space="0" w:color="00000A"/>
            </w:tcBorders>
            <w:shd w:val="clear" w:color="auto" w:fill="B3B3B3"/>
            <w:tcMar>
              <w:left w:w="98" w:type="dxa"/>
            </w:tcMar>
          </w:tcPr>
          <w:p w:rsidR="00E36C67" w:rsidRDefault="00E36C67">
            <w:pPr>
              <w:pStyle w:val="ListParagraph"/>
              <w:widowControl w:val="0"/>
              <w:numPr>
                <w:ilvl w:val="0"/>
                <w:numId w:val="2"/>
              </w:numPr>
              <w:spacing w:after="0"/>
              <w:rPr>
                <w:b/>
                <w:bCs/>
                <w:szCs w:val="24"/>
                <w:lang w:val="en-US"/>
              </w:rPr>
            </w:pPr>
            <w:bookmarkStart w:id="0" w:name="_GoBack"/>
            <w:bookmarkEnd w:id="0"/>
          </w:p>
        </w:tc>
        <w:tc>
          <w:tcPr>
            <w:tcW w:w="6794" w:type="dxa"/>
            <w:gridSpan w:val="2"/>
            <w:tcBorders>
              <w:top w:val="single" w:sz="4" w:space="0" w:color="00000A"/>
              <w:left w:val="single" w:sz="4" w:space="0" w:color="00000A"/>
              <w:bottom w:val="single" w:sz="4" w:space="0" w:color="00000A"/>
              <w:right w:val="single" w:sz="4" w:space="0" w:color="00000A"/>
            </w:tcBorders>
            <w:shd w:val="clear" w:color="auto" w:fill="B3B3B3"/>
            <w:tcMar>
              <w:left w:w="98" w:type="dxa"/>
            </w:tcMar>
          </w:tcPr>
          <w:p w:rsidR="00E36C67" w:rsidRPr="00951DDF" w:rsidRDefault="003953C4">
            <w:pPr>
              <w:spacing w:after="0"/>
              <w:rPr>
                <w:b/>
                <w:sz w:val="24"/>
                <w:szCs w:val="24"/>
                <w:lang w:val="en-US"/>
              </w:rPr>
            </w:pPr>
            <w:r w:rsidRPr="00951DDF">
              <w:rPr>
                <w:b/>
                <w:sz w:val="24"/>
                <w:szCs w:val="24"/>
                <w:lang w:val="en-US"/>
              </w:rPr>
              <w:t>Authorization Function</w:t>
            </w:r>
          </w:p>
        </w:tc>
      </w:tr>
      <w:tr w:rsidR="00E36C67" w:rsidTr="00951DDF">
        <w:trPr>
          <w:gridAfter w:val="1"/>
          <w:wAfter w:w="284" w:type="dxa"/>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Draft Transition Proposal Reference</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rFonts w:cs="Times New Roman"/>
                <w:sz w:val="20"/>
                <w:szCs w:val="20"/>
                <w:lang w:val="en-US"/>
              </w:rPr>
            </w:pPr>
            <w:r>
              <w:rPr>
                <w:color w:val="000000"/>
                <w:lang w:val="en-US"/>
              </w:rPr>
              <w:t xml:space="preserve">III.A.2 - </w:t>
            </w:r>
            <w:r>
              <w:rPr>
                <w:rFonts w:cs="Times New Roman"/>
                <w:sz w:val="20"/>
                <w:szCs w:val="20"/>
                <w:lang w:val="en-US"/>
              </w:rPr>
              <w:t>Oversight and Accountability - NTIA acting as Root Zone Management Process Administrator</w:t>
            </w:r>
          </w:p>
        </w:tc>
      </w:tr>
      <w:tr w:rsidR="00E36C67" w:rsidTr="00951DDF">
        <w:trPr>
          <w:gridAfter w:val="1"/>
          <w:wAfter w:w="284" w:type="dxa"/>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Summary Description</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spacing w:after="0"/>
              <w:rPr>
                <w:sz w:val="20"/>
                <w:szCs w:val="20"/>
                <w:lang w:val="en-US"/>
              </w:rPr>
            </w:pPr>
            <w:r>
              <w:rPr>
                <w:sz w:val="20"/>
                <w:szCs w:val="20"/>
                <w:lang w:val="en-US"/>
              </w:rPr>
              <w:t xml:space="preserve">Currently the NTIA acting as the Root Zone Management Process Administrator must approve all changes to the Root Zone itself or the Root Zone </w:t>
            </w:r>
            <w:proofErr w:type="spellStart"/>
            <w:r>
              <w:rPr>
                <w:sz w:val="20"/>
                <w:szCs w:val="20"/>
                <w:lang w:val="en-US"/>
              </w:rPr>
              <w:t>Whois</w:t>
            </w:r>
            <w:proofErr w:type="spellEnd"/>
            <w:r>
              <w:rPr>
                <w:sz w:val="20"/>
                <w:szCs w:val="20"/>
                <w:lang w:val="en-US"/>
              </w:rPr>
              <w:t xml:space="preserve"> database that are proposed by IANA before they can be implemented.</w:t>
            </w:r>
          </w:p>
          <w:p w:rsidR="00E36C67" w:rsidRDefault="003953C4">
            <w:pPr>
              <w:spacing w:after="0"/>
              <w:rPr>
                <w:sz w:val="20"/>
                <w:szCs w:val="20"/>
                <w:lang w:val="en-US"/>
              </w:rPr>
            </w:pPr>
            <w:r>
              <w:rPr>
                <w:sz w:val="20"/>
                <w:szCs w:val="20"/>
                <w:lang w:val="en-US"/>
              </w:rPr>
              <w:t>The CWG needs to decide if this function needs to be replaced post-transition and if so how.</w:t>
            </w:r>
          </w:p>
          <w:p w:rsidR="00E36C67" w:rsidRDefault="003953C4">
            <w:pPr>
              <w:spacing w:after="0"/>
              <w:rPr>
                <w:sz w:val="20"/>
                <w:szCs w:val="20"/>
                <w:lang w:val="en-US"/>
              </w:rPr>
            </w:pPr>
            <w:r>
              <w:rPr>
                <w:sz w:val="20"/>
                <w:szCs w:val="20"/>
                <w:lang w:val="en-US"/>
              </w:rPr>
              <w:t>.</w:t>
            </w:r>
          </w:p>
        </w:tc>
      </w:tr>
      <w:tr w:rsidR="00E36C67" w:rsidTr="00951DDF">
        <w:trPr>
          <w:gridAfter w:val="1"/>
          <w:wAfter w:w="284" w:type="dxa"/>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Detailed description</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spacing w:after="0"/>
              <w:rPr>
                <w:sz w:val="20"/>
                <w:szCs w:val="20"/>
                <w:lang w:val="en-US"/>
              </w:rPr>
            </w:pPr>
            <w:r>
              <w:rPr>
                <w:sz w:val="20"/>
                <w:szCs w:val="20"/>
                <w:lang w:val="en-US"/>
              </w:rPr>
              <w:t>The design team is expected to review the current process and role of NTIA in relation to authorization and recommend whether or not to replace the NTIA</w:t>
            </w:r>
            <w:r w:rsidR="0077627B">
              <w:rPr>
                <w:sz w:val="20"/>
                <w:szCs w:val="20"/>
                <w:lang w:val="en-US"/>
              </w:rPr>
              <w:t xml:space="preserve"> </w:t>
            </w:r>
            <w:r>
              <w:rPr>
                <w:sz w:val="20"/>
                <w:szCs w:val="20"/>
                <w:lang w:val="en-US"/>
              </w:rPr>
              <w:t>for the authorization of IANA requests. As the DT considers the options it should note that:</w:t>
            </w:r>
          </w:p>
          <w:p w:rsidR="00E36C67" w:rsidRDefault="003953C4">
            <w:pPr>
              <w:pStyle w:val="ListParagraph"/>
              <w:numPr>
                <w:ilvl w:val="0"/>
                <w:numId w:val="1"/>
              </w:numPr>
              <w:spacing w:after="0"/>
              <w:ind w:left="252"/>
              <w:rPr>
                <w:sz w:val="20"/>
                <w:szCs w:val="20"/>
                <w:lang w:val="en-US"/>
              </w:rPr>
            </w:pPr>
            <w:r>
              <w:rPr>
                <w:sz w:val="20"/>
                <w:szCs w:val="20"/>
                <w:lang w:val="en-US"/>
              </w:rPr>
              <w:t xml:space="preserve">If the recommendation is not to replace the NTIA authorization function, IANA will submit its change requests for the Root Zone directly to the Root Zone Maintainer for implementation and will implement changes to the Root Zone </w:t>
            </w:r>
            <w:proofErr w:type="spellStart"/>
            <w:r>
              <w:rPr>
                <w:sz w:val="20"/>
                <w:szCs w:val="20"/>
                <w:lang w:val="en-US"/>
              </w:rPr>
              <w:t>Whois</w:t>
            </w:r>
            <w:proofErr w:type="spellEnd"/>
            <w:r>
              <w:rPr>
                <w:sz w:val="20"/>
                <w:szCs w:val="20"/>
                <w:lang w:val="en-US"/>
              </w:rPr>
              <w:t xml:space="preserve"> database directly.</w:t>
            </w:r>
          </w:p>
          <w:p w:rsidR="00E36C67" w:rsidRDefault="003953C4">
            <w:pPr>
              <w:pStyle w:val="ListParagraph"/>
              <w:numPr>
                <w:ilvl w:val="0"/>
                <w:numId w:val="1"/>
              </w:numPr>
              <w:spacing w:after="0"/>
              <w:ind w:left="252"/>
              <w:rPr>
                <w:sz w:val="20"/>
                <w:szCs w:val="20"/>
                <w:lang w:val="en-US"/>
              </w:rPr>
            </w:pPr>
            <w:r>
              <w:rPr>
                <w:sz w:val="20"/>
                <w:szCs w:val="20"/>
                <w:lang w:val="en-US"/>
              </w:rPr>
              <w:t xml:space="preserve">If the recommendation is to replace the NTIA authorization function IANA will submit its proposed changes to the Root Zone or the Root Zone </w:t>
            </w:r>
            <w:proofErr w:type="spellStart"/>
            <w:r>
              <w:rPr>
                <w:sz w:val="20"/>
                <w:szCs w:val="20"/>
                <w:lang w:val="en-US"/>
              </w:rPr>
              <w:t>Whois</w:t>
            </w:r>
            <w:proofErr w:type="spellEnd"/>
            <w:r>
              <w:rPr>
                <w:sz w:val="20"/>
                <w:szCs w:val="20"/>
                <w:lang w:val="en-US"/>
              </w:rPr>
              <w:t xml:space="preserve"> database to the NTIA replacement for approval in a process that is expected to be similar to what is currently in place.</w:t>
            </w:r>
          </w:p>
          <w:p w:rsidR="00E36C67" w:rsidRDefault="00E36C67">
            <w:pPr>
              <w:spacing w:after="0"/>
              <w:rPr>
                <w:sz w:val="20"/>
                <w:szCs w:val="20"/>
                <w:lang w:val="en-US"/>
              </w:rPr>
            </w:pPr>
          </w:p>
          <w:p w:rsidR="00E36C67" w:rsidRDefault="003953C4">
            <w:pPr>
              <w:spacing w:after="0"/>
              <w:rPr>
                <w:sz w:val="20"/>
                <w:szCs w:val="20"/>
                <w:lang w:val="en-US"/>
              </w:rPr>
            </w:pPr>
            <w:r>
              <w:rPr>
                <w:sz w:val="20"/>
                <w:szCs w:val="20"/>
                <w:lang w:val="en-US"/>
              </w:rPr>
              <w:t>If the DT recommends not replacing the NTIA authorization function, the DT is expected to detail what additional verifications, if any, should be implemented by IANA as a result of removing the NTIA authorization function.</w:t>
            </w:r>
          </w:p>
          <w:p w:rsidR="00E36C67" w:rsidRDefault="00E36C67">
            <w:pPr>
              <w:widowControl w:val="0"/>
              <w:spacing w:after="0"/>
              <w:rPr>
                <w:sz w:val="20"/>
                <w:szCs w:val="20"/>
                <w:lang w:val="en-US"/>
              </w:rPr>
            </w:pPr>
          </w:p>
          <w:p w:rsidR="00E36C67" w:rsidRDefault="003953C4">
            <w:pPr>
              <w:widowControl w:val="0"/>
              <w:spacing w:after="0"/>
              <w:rPr>
                <w:sz w:val="20"/>
                <w:szCs w:val="20"/>
                <w:lang w:val="en-US"/>
              </w:rPr>
            </w:pPr>
            <w:r>
              <w:rPr>
                <w:sz w:val="20"/>
                <w:szCs w:val="20"/>
                <w:lang w:val="en-US"/>
              </w:rPr>
              <w:t>If the DT recommends replacing the NTIA authorization function, the DT is expected to propose a draft process for the selection of the replacement(s) that include a list of desired characteristics for the replacement entity.</w:t>
            </w:r>
          </w:p>
        </w:tc>
      </w:tr>
      <w:tr w:rsidR="00E36C67" w:rsidTr="00951DDF">
        <w:trPr>
          <w:gridAfter w:val="1"/>
          <w:wAfter w:w="284" w:type="dxa"/>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Proposed Membership</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pStyle w:val="ListParagraph"/>
              <w:widowControl w:val="0"/>
              <w:numPr>
                <w:ilvl w:val="0"/>
                <w:numId w:val="3"/>
              </w:numPr>
              <w:spacing w:after="0"/>
              <w:rPr>
                <w:bCs/>
                <w:lang w:val="en-US"/>
              </w:rPr>
            </w:pPr>
            <w:r>
              <w:rPr>
                <w:bCs/>
                <w:lang w:val="en-US"/>
              </w:rPr>
              <w:t xml:space="preserve">At a minimum one </w:t>
            </w:r>
            <w:proofErr w:type="spellStart"/>
            <w:r>
              <w:rPr>
                <w:bCs/>
                <w:lang w:val="en-US"/>
              </w:rPr>
              <w:t>gTLD</w:t>
            </w:r>
            <w:proofErr w:type="spellEnd"/>
            <w:r>
              <w:rPr>
                <w:bCs/>
                <w:lang w:val="en-US"/>
              </w:rPr>
              <w:t xml:space="preserve"> registry representatives with operational knowledge of IANA Functions </w:t>
            </w:r>
            <w:r w:rsidR="0077627B">
              <w:rPr>
                <w:bCs/>
                <w:lang w:val="en-US"/>
              </w:rPr>
              <w:t xml:space="preserve"> </w:t>
            </w:r>
          </w:p>
          <w:p w:rsidR="00E36C67" w:rsidRDefault="003953C4">
            <w:pPr>
              <w:pStyle w:val="ListParagraph"/>
              <w:widowControl w:val="0"/>
              <w:numPr>
                <w:ilvl w:val="0"/>
                <w:numId w:val="3"/>
              </w:numPr>
              <w:spacing w:after="0"/>
              <w:rPr>
                <w:bCs/>
                <w:lang w:val="en-US"/>
              </w:rPr>
            </w:pPr>
            <w:r>
              <w:rPr>
                <w:bCs/>
                <w:lang w:val="en-US"/>
              </w:rPr>
              <w:t xml:space="preserve">At a minimum one </w:t>
            </w:r>
            <w:proofErr w:type="spellStart"/>
            <w:r>
              <w:rPr>
                <w:bCs/>
                <w:lang w:val="en-US"/>
              </w:rPr>
              <w:t>ccTLD</w:t>
            </w:r>
            <w:proofErr w:type="spellEnd"/>
            <w:r>
              <w:rPr>
                <w:bCs/>
                <w:lang w:val="en-US"/>
              </w:rPr>
              <w:t xml:space="preserve"> registry representatives with operational knowledge of IANA Functions </w:t>
            </w:r>
            <w:r w:rsidR="0077627B">
              <w:rPr>
                <w:bCs/>
                <w:lang w:val="en-US"/>
              </w:rPr>
              <w:t xml:space="preserve"> </w:t>
            </w:r>
          </w:p>
          <w:p w:rsidR="00E36C67" w:rsidRDefault="003953C4">
            <w:pPr>
              <w:pStyle w:val="ListParagraph"/>
              <w:widowControl w:val="0"/>
              <w:numPr>
                <w:ilvl w:val="0"/>
                <w:numId w:val="3"/>
              </w:numPr>
              <w:spacing w:after="0"/>
              <w:rPr>
                <w:bCs/>
                <w:lang w:val="en-US"/>
              </w:rPr>
            </w:pPr>
            <w:r>
              <w:rPr>
                <w:bCs/>
                <w:lang w:val="en-US"/>
              </w:rPr>
              <w:t>One IANA staff member (current or former)</w:t>
            </w:r>
            <w:r w:rsidR="0077627B">
              <w:rPr>
                <w:bCs/>
                <w:lang w:val="en-US"/>
              </w:rPr>
              <w:t xml:space="preserve"> </w:t>
            </w:r>
          </w:p>
          <w:p w:rsidR="00E36C67" w:rsidRDefault="003953C4">
            <w:pPr>
              <w:pStyle w:val="ListParagraph"/>
              <w:widowControl w:val="0"/>
              <w:numPr>
                <w:ilvl w:val="0"/>
                <w:numId w:val="3"/>
              </w:numPr>
              <w:spacing w:after="0"/>
              <w:rPr>
                <w:bCs/>
                <w:lang w:val="en-US"/>
              </w:rPr>
            </w:pPr>
            <w:r>
              <w:rPr>
                <w:bCs/>
                <w:lang w:val="en-US"/>
              </w:rPr>
              <w:t>At a minimum one non-direct customer representative with operational knowledge of IANA Functions</w:t>
            </w:r>
          </w:p>
        </w:tc>
      </w:tr>
      <w:tr w:rsidR="00E36C67" w:rsidTr="00951DDF">
        <w:trPr>
          <w:gridAfter w:val="1"/>
          <w:wAfter w:w="284" w:type="dxa"/>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C86C9C">
            <w:pPr>
              <w:widowControl w:val="0"/>
              <w:spacing w:after="0"/>
              <w:rPr>
                <w:b/>
                <w:bCs/>
                <w:lang w:val="en-US"/>
              </w:rPr>
            </w:pPr>
            <w:r>
              <w:rPr>
                <w:b/>
                <w:bCs/>
                <w:lang w:val="en-US"/>
              </w:rPr>
              <w:t>Members</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rsidP="00ED3F90">
            <w:pPr>
              <w:widowControl w:val="0"/>
              <w:spacing w:after="0"/>
              <w:rPr>
                <w:bCs/>
                <w:lang w:val="en-US"/>
              </w:rPr>
            </w:pPr>
            <w:r>
              <w:rPr>
                <w:bCs/>
                <w:lang w:val="en-US"/>
              </w:rPr>
              <w:t>Danny Younger (At-Large</w:t>
            </w:r>
            <w:r w:rsidR="0077627B">
              <w:rPr>
                <w:bCs/>
                <w:lang w:val="en-US"/>
              </w:rPr>
              <w:t xml:space="preserve"> CWG Participant</w:t>
            </w:r>
            <w:r>
              <w:rPr>
                <w:bCs/>
                <w:lang w:val="en-US"/>
              </w:rPr>
              <w:t xml:space="preserve">), </w:t>
            </w:r>
            <w:proofErr w:type="spellStart"/>
            <w:r>
              <w:rPr>
                <w:bCs/>
                <w:lang w:val="en-US"/>
              </w:rPr>
              <w:t>Jaap</w:t>
            </w:r>
            <w:proofErr w:type="spellEnd"/>
            <w:r>
              <w:rPr>
                <w:bCs/>
                <w:lang w:val="en-US"/>
              </w:rPr>
              <w:t xml:space="preserve"> </w:t>
            </w:r>
            <w:proofErr w:type="spellStart"/>
            <w:r>
              <w:rPr>
                <w:bCs/>
                <w:lang w:val="en-US"/>
              </w:rPr>
              <w:t>Akkerhuis</w:t>
            </w:r>
            <w:proofErr w:type="spellEnd"/>
            <w:r>
              <w:rPr>
                <w:bCs/>
                <w:lang w:val="en-US"/>
              </w:rPr>
              <w:t xml:space="preserve"> (SSAC</w:t>
            </w:r>
            <w:r w:rsidR="0077627B">
              <w:rPr>
                <w:bCs/>
                <w:lang w:val="en-US"/>
              </w:rPr>
              <w:t xml:space="preserve"> Member of the CWG</w:t>
            </w:r>
            <w:r>
              <w:rPr>
                <w:bCs/>
                <w:lang w:val="en-US"/>
              </w:rPr>
              <w:t xml:space="preserve">), </w:t>
            </w:r>
            <w:r w:rsidR="00ED3F90" w:rsidRPr="00C86C9C">
              <w:rPr>
                <w:bCs/>
                <w:sz w:val="24"/>
                <w:szCs w:val="24"/>
                <w:lang w:val="en-US"/>
              </w:rPr>
              <w:t>Milton Mueller (G</w:t>
            </w:r>
            <w:r w:rsidR="00951DDF">
              <w:rPr>
                <w:bCs/>
                <w:sz w:val="24"/>
                <w:szCs w:val="24"/>
                <w:lang w:val="en-US"/>
              </w:rPr>
              <w:t>NSO</w:t>
            </w:r>
            <w:r w:rsidR="00ED3F90" w:rsidRPr="00C86C9C">
              <w:rPr>
                <w:bCs/>
                <w:sz w:val="24"/>
                <w:szCs w:val="24"/>
                <w:lang w:val="en-US"/>
              </w:rPr>
              <w:t xml:space="preserve"> </w:t>
            </w:r>
            <w:r w:rsidR="00951DDF">
              <w:rPr>
                <w:bCs/>
                <w:sz w:val="24"/>
                <w:szCs w:val="24"/>
                <w:lang w:val="en-US"/>
              </w:rPr>
              <w:t>CWG P</w:t>
            </w:r>
            <w:r w:rsidR="00C86C9C" w:rsidRPr="00C86C9C">
              <w:rPr>
                <w:bCs/>
                <w:sz w:val="24"/>
                <w:szCs w:val="24"/>
                <w:lang w:val="en-US"/>
              </w:rPr>
              <w:t>articipant</w:t>
            </w:r>
            <w:r w:rsidR="00ED3F90" w:rsidRPr="00C86C9C">
              <w:rPr>
                <w:bCs/>
                <w:sz w:val="24"/>
                <w:szCs w:val="24"/>
                <w:lang w:val="en-US"/>
              </w:rPr>
              <w:t xml:space="preserve"> and ICG Member),David Conrad ( IANA Expertise CWG Participant),  Maarten Simon (</w:t>
            </w:r>
            <w:proofErr w:type="spellStart"/>
            <w:r w:rsidR="00ED3F90" w:rsidRPr="00C86C9C">
              <w:rPr>
                <w:bCs/>
                <w:sz w:val="24"/>
                <w:szCs w:val="24"/>
                <w:lang w:val="en-US"/>
              </w:rPr>
              <w:t>ccTLD</w:t>
            </w:r>
            <w:proofErr w:type="spellEnd"/>
            <w:r w:rsidR="00ED3F90" w:rsidRPr="00C86C9C">
              <w:rPr>
                <w:bCs/>
                <w:sz w:val="24"/>
                <w:szCs w:val="24"/>
                <w:lang w:val="en-US"/>
              </w:rPr>
              <w:t xml:space="preserve"> </w:t>
            </w:r>
            <w:r w:rsidR="00C86C9C" w:rsidRPr="00C86C9C">
              <w:rPr>
                <w:bCs/>
                <w:sz w:val="24"/>
                <w:szCs w:val="24"/>
                <w:lang w:val="en-US"/>
              </w:rPr>
              <w:t>Registry</w:t>
            </w:r>
            <w:r w:rsidR="00ED3F90" w:rsidRPr="00C86C9C">
              <w:rPr>
                <w:bCs/>
                <w:sz w:val="24"/>
                <w:szCs w:val="24"/>
                <w:lang w:val="en-US"/>
              </w:rPr>
              <w:t xml:space="preserve"> Representative</w:t>
            </w:r>
            <w:r w:rsidR="00951DDF">
              <w:rPr>
                <w:bCs/>
                <w:sz w:val="24"/>
                <w:szCs w:val="24"/>
                <w:lang w:val="en-US"/>
              </w:rPr>
              <w:t xml:space="preserve"> and CWG Participant)</w:t>
            </w:r>
            <w:r w:rsidR="00ED3F90" w:rsidRPr="00C86C9C">
              <w:rPr>
                <w:bCs/>
                <w:sz w:val="24"/>
                <w:szCs w:val="24"/>
                <w:lang w:val="en-US"/>
              </w:rPr>
              <w:t xml:space="preserve">,  </w:t>
            </w:r>
            <w:proofErr w:type="spellStart"/>
            <w:r w:rsidR="00ED3F90" w:rsidRPr="00C86C9C">
              <w:rPr>
                <w:bCs/>
                <w:sz w:val="24"/>
                <w:szCs w:val="24"/>
                <w:lang w:val="en-US"/>
              </w:rPr>
              <w:t>Jian</w:t>
            </w:r>
            <w:proofErr w:type="spellEnd"/>
            <w:r w:rsidR="00ED3F90" w:rsidRPr="00C86C9C">
              <w:rPr>
                <w:bCs/>
                <w:sz w:val="24"/>
                <w:szCs w:val="24"/>
                <w:lang w:val="en-US"/>
              </w:rPr>
              <w:t>-</w:t>
            </w:r>
            <w:r w:rsidR="00ED3F90" w:rsidRPr="00C86C9C">
              <w:rPr>
                <w:color w:val="000000"/>
                <w:sz w:val="24"/>
                <w:szCs w:val="24"/>
                <w:shd w:val="clear" w:color="auto" w:fill="FFFFFF"/>
              </w:rPr>
              <w:t xml:space="preserve"> Chuang Chang (</w:t>
            </w:r>
            <w:proofErr w:type="spellStart"/>
            <w:r w:rsidR="00ED3F90" w:rsidRPr="00C86C9C">
              <w:rPr>
                <w:color w:val="000000"/>
                <w:sz w:val="24"/>
                <w:szCs w:val="24"/>
                <w:shd w:val="clear" w:color="auto" w:fill="FFFFFF"/>
              </w:rPr>
              <w:t>gTLD</w:t>
            </w:r>
            <w:proofErr w:type="spellEnd"/>
            <w:r w:rsidR="00ED3F90" w:rsidRPr="00C86C9C">
              <w:rPr>
                <w:color w:val="000000"/>
                <w:sz w:val="24"/>
                <w:szCs w:val="24"/>
                <w:shd w:val="clear" w:color="auto" w:fill="FFFFFF"/>
              </w:rPr>
              <w:t xml:space="preserve"> Registry Representative) </w:t>
            </w:r>
          </w:p>
        </w:tc>
      </w:tr>
      <w:tr w:rsidR="00E36C67" w:rsidTr="00951DDF">
        <w:trPr>
          <w:gridAfter w:val="1"/>
          <w:wAfter w:w="284" w:type="dxa"/>
          <w:trHeight w:val="951"/>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Proposed by / Lead</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Cs/>
                <w:lang w:val="en-US"/>
              </w:rPr>
            </w:pPr>
            <w:r>
              <w:rPr>
                <w:bCs/>
                <w:lang w:val="en-US"/>
              </w:rPr>
              <w:t xml:space="preserve">Cheryl Langdon-Orr (ALAC – </w:t>
            </w:r>
            <w:proofErr w:type="spellStart"/>
            <w:r>
              <w:rPr>
                <w:bCs/>
                <w:lang w:val="en-US"/>
              </w:rPr>
              <w:t>APRegional</w:t>
            </w:r>
            <w:proofErr w:type="spellEnd"/>
            <w:r>
              <w:rPr>
                <w:bCs/>
                <w:lang w:val="en-US"/>
              </w:rPr>
              <w:t xml:space="preserve"> Member of CWG)</w:t>
            </w:r>
          </w:p>
        </w:tc>
      </w:tr>
      <w:tr w:rsidR="00E36C67" w:rsidTr="00951DDF">
        <w:trPr>
          <w:gridAfter w:val="1"/>
          <w:wAfter w:w="284" w:type="dxa"/>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Status</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 xml:space="preserve">Step </w:t>
            </w:r>
            <w:r w:rsidR="00ED3F90">
              <w:rPr>
                <w:b/>
                <w:bCs/>
                <w:lang w:val="en-US"/>
              </w:rPr>
              <w:t xml:space="preserve">  TBC</w:t>
            </w:r>
          </w:p>
        </w:tc>
      </w:tr>
      <w:tr w:rsidR="00E36C67" w:rsidTr="00951DDF">
        <w:trPr>
          <w:gridAfter w:val="1"/>
          <w:wAfter w:w="284" w:type="dxa"/>
        </w:trPr>
        <w:tc>
          <w:tcPr>
            <w:tcW w:w="298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Determination by CWG Chairs</w:t>
            </w:r>
          </w:p>
        </w:tc>
        <w:tc>
          <w:tcPr>
            <w:tcW w:w="651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rsidR="00E36C67" w:rsidRDefault="003953C4">
            <w:pPr>
              <w:widowControl w:val="0"/>
              <w:spacing w:after="0"/>
              <w:rPr>
                <w:b/>
                <w:bCs/>
                <w:lang w:val="en-US"/>
              </w:rPr>
            </w:pPr>
            <w:r>
              <w:rPr>
                <w:b/>
                <w:bCs/>
                <w:lang w:val="en-US"/>
              </w:rPr>
              <w:t>Priority 1 (Provisional)</w:t>
            </w:r>
          </w:p>
        </w:tc>
      </w:tr>
    </w:tbl>
    <w:p w:rsidR="00E36C67" w:rsidRDefault="00E36C67"/>
    <w:sectPr w:rsidR="00E36C67" w:rsidSect="00951DDF">
      <w:pgSz w:w="12240" w:h="15840"/>
      <w:pgMar w:top="993" w:right="1440" w:bottom="851"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roid Sans Fallback">
    <w:panose1 w:val="00000000000000000000"/>
    <w:charset w:val="00"/>
    <w:family w:val="roman"/>
    <w:notTrueType/>
    <w:pitch w:val="default"/>
    <w:sig w:usb0="00000000" w:usb1="00000000" w:usb2="00000000" w:usb3="00000000" w:csb0="00000000" w:csb1="00000000"/>
  </w:font>
  <w:font w:name="Lucida Grande">
    <w:altName w:val="Times New Roman"/>
    <w:charset w:val="01"/>
    <w:family w:val="roman"/>
    <w:pitch w:val="variable"/>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61641E"/>
    <w:multiLevelType w:val="multilevel"/>
    <w:tmpl w:val="35DA6D4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nsid w:val="434440E6"/>
    <w:multiLevelType w:val="multilevel"/>
    <w:tmpl w:val="CF64D1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61E42BB4"/>
    <w:multiLevelType w:val="multilevel"/>
    <w:tmpl w:val="A066DDD2"/>
    <w:lvl w:ilvl="0">
      <w:start w:val="4"/>
      <w:numFmt w:val="upperLetter"/>
      <w:lvlText w:val="Design Team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67212A93"/>
    <w:multiLevelType w:val="multilevel"/>
    <w:tmpl w:val="073279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proofState w:spelling="clean" w:grammar="clean"/>
  <w:trackRevisions/>
  <w:defaultTabStop w:val="720"/>
  <w:characterSpacingControl w:val="doNotCompress"/>
  <w:savePreviewPicture/>
  <w:compat/>
  <w:rsids>
    <w:rsidRoot w:val="00E36C67"/>
    <w:rsid w:val="00145542"/>
    <w:rsid w:val="003953C4"/>
    <w:rsid w:val="0077627B"/>
    <w:rsid w:val="00951DDF"/>
    <w:rsid w:val="009D17FE"/>
    <w:rsid w:val="00C86C9C"/>
    <w:rsid w:val="00D723EF"/>
    <w:rsid w:val="00E36C67"/>
    <w:rsid w:val="00ED3F9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sz w:val="22"/>
        <w:szCs w:val="22"/>
        <w:lang w:val="en-CA"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C67"/>
    <w:pPr>
      <w:suppressAutoHyphens/>
      <w:spacing w:after="16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F4880"/>
    <w:rPr>
      <w:color w:val="0563C1"/>
      <w:u w:val="single"/>
    </w:rPr>
  </w:style>
  <w:style w:type="character" w:styleId="CommentReference">
    <w:name w:val="annotation reference"/>
    <w:basedOn w:val="DefaultParagraphFont"/>
    <w:uiPriority w:val="99"/>
    <w:semiHidden/>
    <w:unhideWhenUsed/>
    <w:rsid w:val="00816A28"/>
    <w:rPr>
      <w:sz w:val="18"/>
      <w:szCs w:val="18"/>
    </w:rPr>
  </w:style>
  <w:style w:type="character" w:customStyle="1" w:styleId="CommentTextChar">
    <w:name w:val="Comment Text Char"/>
    <w:basedOn w:val="DefaultParagraphFont"/>
    <w:link w:val="CommentText"/>
    <w:uiPriority w:val="99"/>
    <w:semiHidden/>
    <w:rsid w:val="00816A28"/>
    <w:rPr>
      <w:sz w:val="24"/>
      <w:szCs w:val="24"/>
    </w:rPr>
  </w:style>
  <w:style w:type="character" w:customStyle="1" w:styleId="CommentSubjectChar">
    <w:name w:val="Comment Subject Char"/>
    <w:basedOn w:val="CommentTextChar"/>
    <w:link w:val="CommentSubject"/>
    <w:uiPriority w:val="99"/>
    <w:semiHidden/>
    <w:rsid w:val="00816A28"/>
    <w:rPr>
      <w:b/>
      <w:bCs/>
      <w:sz w:val="20"/>
      <w:szCs w:val="20"/>
    </w:rPr>
  </w:style>
  <w:style w:type="character" w:customStyle="1" w:styleId="BalloonTextChar">
    <w:name w:val="Balloon Text Char"/>
    <w:basedOn w:val="DefaultParagraphFont"/>
    <w:link w:val="BalloonText"/>
    <w:uiPriority w:val="99"/>
    <w:semiHidden/>
    <w:rsid w:val="00816A28"/>
    <w:rPr>
      <w:rFonts w:ascii="Lucida Grande" w:hAnsi="Lucida Grande" w:cs="Lucida Grande"/>
      <w:sz w:val="18"/>
      <w:szCs w:val="18"/>
    </w:rPr>
  </w:style>
  <w:style w:type="character" w:customStyle="1" w:styleId="ListLabel1">
    <w:name w:val="ListLabel 1"/>
    <w:rsid w:val="00E36C67"/>
    <w:rPr>
      <w:rFonts w:cs="Courier New"/>
    </w:rPr>
  </w:style>
  <w:style w:type="character" w:customStyle="1" w:styleId="ListLabel2">
    <w:name w:val="ListLabel 2"/>
    <w:rsid w:val="00E36C67"/>
    <w:rPr>
      <w:rFonts w:cs="Symbol"/>
    </w:rPr>
  </w:style>
  <w:style w:type="character" w:customStyle="1" w:styleId="ListLabel3">
    <w:name w:val="ListLabel 3"/>
    <w:rsid w:val="00E36C67"/>
    <w:rPr>
      <w:rFonts w:cs="Courier New"/>
    </w:rPr>
  </w:style>
  <w:style w:type="character" w:customStyle="1" w:styleId="ListLabel4">
    <w:name w:val="ListLabel 4"/>
    <w:rsid w:val="00E36C67"/>
    <w:rPr>
      <w:rFonts w:cs="Wingdings"/>
    </w:rPr>
  </w:style>
  <w:style w:type="character" w:customStyle="1" w:styleId="ListLabel5">
    <w:name w:val="ListLabel 5"/>
    <w:rsid w:val="00E36C67"/>
    <w:rPr>
      <w:rFonts w:cs="Symbol"/>
    </w:rPr>
  </w:style>
  <w:style w:type="character" w:customStyle="1" w:styleId="ListLabel6">
    <w:name w:val="ListLabel 6"/>
    <w:rsid w:val="00E36C67"/>
    <w:rPr>
      <w:rFonts w:cs="Courier New"/>
    </w:rPr>
  </w:style>
  <w:style w:type="character" w:customStyle="1" w:styleId="ListLabel7">
    <w:name w:val="ListLabel 7"/>
    <w:rsid w:val="00E36C67"/>
    <w:rPr>
      <w:rFonts w:cs="Wingdings"/>
    </w:rPr>
  </w:style>
  <w:style w:type="paragraph" w:customStyle="1" w:styleId="Heading">
    <w:name w:val="Heading"/>
    <w:basedOn w:val="Normal"/>
    <w:next w:val="TextBody"/>
    <w:rsid w:val="00E36C67"/>
    <w:pPr>
      <w:keepNext/>
      <w:spacing w:before="240" w:after="120"/>
    </w:pPr>
    <w:rPr>
      <w:rFonts w:ascii="Liberation Sans" w:hAnsi="Liberation Sans" w:cs="FreeSans"/>
      <w:sz w:val="28"/>
      <w:szCs w:val="28"/>
    </w:rPr>
  </w:style>
  <w:style w:type="paragraph" w:customStyle="1" w:styleId="TextBody">
    <w:name w:val="Text Body"/>
    <w:basedOn w:val="Normal"/>
    <w:rsid w:val="00E36C67"/>
    <w:pPr>
      <w:spacing w:after="140" w:line="288" w:lineRule="auto"/>
    </w:pPr>
  </w:style>
  <w:style w:type="paragraph" w:styleId="List">
    <w:name w:val="List"/>
    <w:basedOn w:val="TextBody"/>
    <w:rsid w:val="00E36C67"/>
    <w:rPr>
      <w:rFonts w:cs="FreeSans"/>
    </w:rPr>
  </w:style>
  <w:style w:type="paragraph" w:styleId="Caption">
    <w:name w:val="caption"/>
    <w:basedOn w:val="Normal"/>
    <w:rsid w:val="00E36C67"/>
    <w:pPr>
      <w:suppressLineNumbers/>
      <w:spacing w:before="120" w:after="120"/>
    </w:pPr>
    <w:rPr>
      <w:rFonts w:cs="FreeSans"/>
      <w:i/>
      <w:iCs/>
      <w:sz w:val="24"/>
      <w:szCs w:val="24"/>
    </w:rPr>
  </w:style>
  <w:style w:type="paragraph" w:customStyle="1" w:styleId="Index">
    <w:name w:val="Index"/>
    <w:basedOn w:val="Normal"/>
    <w:rsid w:val="00E36C67"/>
    <w:pPr>
      <w:suppressLineNumbers/>
    </w:pPr>
    <w:rPr>
      <w:rFonts w:cs="FreeSans"/>
    </w:rPr>
  </w:style>
  <w:style w:type="paragraph" w:styleId="ListParagraph">
    <w:name w:val="List Paragraph"/>
    <w:basedOn w:val="Normal"/>
    <w:uiPriority w:val="34"/>
    <w:qFormat/>
    <w:rsid w:val="000F4880"/>
    <w:pPr>
      <w:ind w:left="720"/>
      <w:contextualSpacing/>
    </w:pPr>
  </w:style>
  <w:style w:type="paragraph" w:styleId="CommentText">
    <w:name w:val="annotation text"/>
    <w:basedOn w:val="Normal"/>
    <w:link w:val="CommentTextChar"/>
    <w:uiPriority w:val="99"/>
    <w:semiHidden/>
    <w:unhideWhenUsed/>
    <w:rsid w:val="00816A28"/>
    <w:pPr>
      <w:spacing w:line="240" w:lineRule="auto"/>
    </w:pPr>
    <w:rPr>
      <w:sz w:val="24"/>
      <w:szCs w:val="24"/>
    </w:rPr>
  </w:style>
  <w:style w:type="paragraph" w:styleId="CommentSubject">
    <w:name w:val="annotation subject"/>
    <w:basedOn w:val="CommentText"/>
    <w:link w:val="CommentSubjectChar"/>
    <w:uiPriority w:val="99"/>
    <w:semiHidden/>
    <w:unhideWhenUsed/>
    <w:rsid w:val="00816A28"/>
    <w:rPr>
      <w:b/>
      <w:bCs/>
      <w:sz w:val="20"/>
      <w:szCs w:val="20"/>
    </w:rPr>
  </w:style>
  <w:style w:type="paragraph" w:styleId="BalloonText">
    <w:name w:val="Balloon Text"/>
    <w:basedOn w:val="Normal"/>
    <w:link w:val="BalloonTextChar"/>
    <w:uiPriority w:val="99"/>
    <w:semiHidden/>
    <w:unhideWhenUsed/>
    <w:rsid w:val="00816A28"/>
    <w:pPr>
      <w:spacing w:after="0" w:line="240" w:lineRule="auto"/>
    </w:pPr>
    <w:rPr>
      <w:rFonts w:ascii="Lucida Grande" w:hAnsi="Lucida Grande" w:cs="Lucida Grande"/>
      <w:sz w:val="18"/>
      <w:szCs w:val="18"/>
    </w:rPr>
  </w:style>
  <w:style w:type="table" w:styleId="TableGrid">
    <w:name w:val="Table Grid"/>
    <w:basedOn w:val="TableNormal"/>
    <w:uiPriority w:val="59"/>
    <w:rsid w:val="00816A28"/>
    <w:pPr>
      <w:spacing w:line="240" w:lineRule="auto"/>
    </w:pPr>
    <w:rPr>
      <w:rFonts w:eastAsiaTheme="minorEastAsia"/>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838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1718C-115B-437F-A2C4-2E6BFAC3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CLO;Bernard</dc:creator>
  <cp:lastModifiedBy>graham</cp:lastModifiedBy>
  <cp:revision>2</cp:revision>
  <dcterms:created xsi:type="dcterms:W3CDTF">2015-03-17T07:49:00Z</dcterms:created>
  <dcterms:modified xsi:type="dcterms:W3CDTF">2015-03-17T07:49:00Z</dcterms:modified>
  <dc:language>en-AU</dc:language>
</cp:coreProperties>
</file>