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F75745" w14:textId="77777777" w:rsidR="008D6368" w:rsidRDefault="008D6368" w:rsidP="004A42AC"/>
    <w:p w14:paraId="21DBE888" w14:textId="77777777" w:rsidR="004A42AC" w:rsidRDefault="004A42AC" w:rsidP="004A42AC">
      <w:pPr>
        <w:rPr>
          <w:rStyle w:val="a6"/>
        </w:rPr>
      </w:pPr>
      <w:r w:rsidRPr="004A42AC">
        <w:rPr>
          <w:rStyle w:val="a6"/>
        </w:rPr>
        <w:t xml:space="preserve">Integration Panel Comments on the </w:t>
      </w:r>
      <w:r>
        <w:rPr>
          <w:rStyle w:val="a6"/>
        </w:rPr>
        <w:t>“</w:t>
      </w:r>
      <w:r w:rsidRPr="004A42AC">
        <w:rPr>
          <w:rStyle w:val="a6"/>
        </w:rPr>
        <w:t>Proposal for the Generation Panel for the Cyrillic Script Label Generation Ruleset for the Root Zone</w:t>
      </w:r>
      <w:r>
        <w:rPr>
          <w:rStyle w:val="a6"/>
        </w:rPr>
        <w:t>”</w:t>
      </w:r>
    </w:p>
    <w:p w14:paraId="0C7463A1" w14:textId="77777777" w:rsidR="008D6368" w:rsidRDefault="004A42AC" w:rsidP="004A42AC">
      <w:r w:rsidRPr="004A42AC">
        <w:t>Date</w:t>
      </w:r>
      <w:r w:rsidR="00296533">
        <w:t>: 2015-05-</w:t>
      </w:r>
      <w:r w:rsidR="00134D16">
        <w:t>2</w:t>
      </w:r>
      <w:r w:rsidR="00BC1CC5">
        <w:t>1</w:t>
      </w:r>
    </w:p>
    <w:p w14:paraId="681ED022" w14:textId="77777777" w:rsidR="00CA0324" w:rsidRDefault="004A42AC" w:rsidP="004A42AC">
      <w:r w:rsidRPr="004A42AC">
        <w:rPr>
          <w:rStyle w:val="10"/>
        </w:rPr>
        <w:t>Overall</w:t>
      </w:r>
      <w:r>
        <w:rPr>
          <w:rStyle w:val="10"/>
        </w:rPr>
        <w:t xml:space="preserve"> Comments</w:t>
      </w:r>
    </w:p>
    <w:p w14:paraId="01238E7C" w14:textId="77777777" w:rsidR="00C94051" w:rsidRDefault="00C94051" w:rsidP="004A42AC">
      <w:r w:rsidRPr="00C94051">
        <w:t xml:space="preserve">The Integration Panel </w:t>
      </w:r>
      <w:r w:rsidR="00134D16">
        <w:t>considers</w:t>
      </w:r>
      <w:r w:rsidRPr="00C94051">
        <w:t xml:space="preserve"> the Cyrillic Generation Panel Proposal not yet ready for the seating of the generation panel. As such, the document requires </w:t>
      </w:r>
      <w:r>
        <w:t>content and editorial changes</w:t>
      </w:r>
      <w:r w:rsidRPr="00C94051">
        <w:t xml:space="preserve"> as described below</w:t>
      </w:r>
      <w:r>
        <w:t>.</w:t>
      </w:r>
    </w:p>
    <w:p w14:paraId="4C1DCE43" w14:textId="77777777" w:rsidR="004A42AC" w:rsidRDefault="00CA0324" w:rsidP="004A42AC">
      <w:r>
        <w:t>Overall, t</w:t>
      </w:r>
      <w:r w:rsidR="00F40BAA">
        <w:t xml:space="preserve">he </w:t>
      </w:r>
      <w:r w:rsidR="00134D16">
        <w:t xml:space="preserve">proposal </w:t>
      </w:r>
      <w:r w:rsidR="00F40BAA">
        <w:t xml:space="preserve">document could benefit from editing for correct use of English. </w:t>
      </w:r>
      <w:r w:rsidR="00C66BA9">
        <w:t xml:space="preserve">The Integration Panel </w:t>
      </w:r>
      <w:r w:rsidR="00F40BAA">
        <w:t>note</w:t>
      </w:r>
      <w:r w:rsidR="00C66BA9">
        <w:t>s</w:t>
      </w:r>
      <w:r w:rsidR="00F40BAA">
        <w:t xml:space="preserve"> the</w:t>
      </w:r>
      <w:r w:rsidR="004A42AC">
        <w:t xml:space="preserve"> many errors with articles, prepositions, auxiliary verbs (especially in passives with "be"), </w:t>
      </w:r>
      <w:proofErr w:type="spellStart"/>
      <w:r w:rsidR="004A42AC">
        <w:t>pluralization</w:t>
      </w:r>
      <w:proofErr w:type="spellEnd"/>
      <w:r w:rsidR="004A42AC">
        <w:t xml:space="preserve">, ordinal suffixes on numbers, and other morphological endings in English. Some of these (especially </w:t>
      </w:r>
      <w:proofErr w:type="spellStart"/>
      <w:r w:rsidR="004A42AC">
        <w:t>pluralization</w:t>
      </w:r>
      <w:proofErr w:type="spellEnd"/>
      <w:r w:rsidR="004A42AC">
        <w:t>) confuse</w:t>
      </w:r>
      <w:r w:rsidR="00F40BAA">
        <w:t xml:space="preserve"> the meaning of the claims made and make it a bit more difficult to review.</w:t>
      </w:r>
      <w:r w:rsidR="004A42AC">
        <w:t xml:space="preserve"> T</w:t>
      </w:r>
      <w:r w:rsidR="004A42AC" w:rsidRPr="004A42AC">
        <w:t xml:space="preserve">his </w:t>
      </w:r>
      <w:r w:rsidR="004A42AC">
        <w:t xml:space="preserve">may be harmless in a first draft, </w:t>
      </w:r>
      <w:r w:rsidR="00DB530A">
        <w:t>but while this document is admittedly</w:t>
      </w:r>
      <w:r w:rsidR="00A862AB">
        <w:t xml:space="preserve"> rather more of an administrative document as opposed to </w:t>
      </w:r>
      <w:r w:rsidR="00F40BAA">
        <w:t>a technical specification,</w:t>
      </w:r>
      <w:r w:rsidR="00A862AB">
        <w:t xml:space="preserve"> </w:t>
      </w:r>
      <w:r w:rsidR="00F40BAA">
        <w:t>it would be useful if it could be improved</w:t>
      </w:r>
      <w:r w:rsidR="00DB530A">
        <w:t xml:space="preserve"> in this regard</w:t>
      </w:r>
      <w:r w:rsidR="00A862AB">
        <w:t xml:space="preserve"> before it will be published for the record</w:t>
      </w:r>
      <w:r w:rsidR="004A42AC">
        <w:t>.</w:t>
      </w:r>
    </w:p>
    <w:p w14:paraId="2E7EC86B" w14:textId="77777777" w:rsidR="00137E6A" w:rsidRDefault="00F40BAA" w:rsidP="00137E6A">
      <w:pPr>
        <w:pStyle w:val="2"/>
        <w:rPr>
          <w:rStyle w:val="10"/>
        </w:rPr>
      </w:pPr>
      <w:r>
        <w:rPr>
          <w:rStyle w:val="10"/>
        </w:rPr>
        <w:t>Comments on the</w:t>
      </w:r>
      <w:r w:rsidR="004A42AC" w:rsidRPr="00F40BAA">
        <w:rPr>
          <w:rStyle w:val="10"/>
        </w:rPr>
        <w:t xml:space="preserve"> </w:t>
      </w:r>
      <w:r>
        <w:rPr>
          <w:rStyle w:val="10"/>
        </w:rPr>
        <w:t>specific sections</w:t>
      </w:r>
    </w:p>
    <w:p w14:paraId="50DB7B46" w14:textId="77777777" w:rsidR="00137E6A" w:rsidRDefault="008D6368" w:rsidP="00137E6A">
      <w:pPr>
        <w:pStyle w:val="2"/>
        <w:rPr>
          <w:rStyle w:val="10"/>
          <w:color w:val="4F81BD" w:themeColor="accent1"/>
          <w:sz w:val="26"/>
        </w:rPr>
      </w:pPr>
      <w:r>
        <w:rPr>
          <w:rStyle w:val="10"/>
          <w:color w:val="4F81BD" w:themeColor="accent1"/>
          <w:sz w:val="26"/>
        </w:rPr>
        <w:t>Section 1</w:t>
      </w:r>
      <w:r w:rsidR="00137E6A">
        <w:rPr>
          <w:rStyle w:val="10"/>
          <w:color w:val="4F81BD" w:themeColor="accent1"/>
          <w:sz w:val="26"/>
        </w:rPr>
        <w:t xml:space="preserve"> General Information</w:t>
      </w:r>
    </w:p>
    <w:p w14:paraId="0F15146F" w14:textId="77777777" w:rsidR="00137E6A" w:rsidRPr="00137E6A" w:rsidRDefault="00137E6A" w:rsidP="00137E6A">
      <w:r>
        <w:t>The focus of this section should be on providing any essential background necessary to understand the issues face</w:t>
      </w:r>
      <w:r w:rsidR="00DB530A">
        <w:t>d</w:t>
      </w:r>
      <w:r>
        <w:t xml:space="preserve"> by the proposed Generation Panel. Measured by this, the content of this section appear</w:t>
      </w:r>
      <w:r w:rsidR="00DB530A">
        <w:t>s</w:t>
      </w:r>
      <w:r>
        <w:t xml:space="preserve"> somewhat </w:t>
      </w:r>
      <w:commentRangeStart w:id="0"/>
      <w:r>
        <w:t xml:space="preserve">uneven </w:t>
      </w:r>
      <w:commentRangeEnd w:id="0"/>
      <w:r w:rsidR="000137A6">
        <w:rPr>
          <w:rStyle w:val="a9"/>
        </w:rPr>
        <w:commentReference w:id="0"/>
      </w:r>
      <w:r>
        <w:t>to Integration Panel reviewers.</w:t>
      </w:r>
    </w:p>
    <w:p w14:paraId="36BD9E4C" w14:textId="77777777" w:rsidR="00137E6A" w:rsidRDefault="00137E6A" w:rsidP="00137E6A">
      <w:pPr>
        <w:pStyle w:val="4"/>
      </w:pPr>
      <w:r>
        <w:t>§§111-116. Glagolitic and Cyrillic</w:t>
      </w:r>
    </w:p>
    <w:p w14:paraId="236E9763" w14:textId="77777777" w:rsidR="008D6368" w:rsidRDefault="00137E6A" w:rsidP="00137E6A">
      <w:commentRangeStart w:id="1"/>
      <w:r>
        <w:t xml:space="preserve">This section appears primarily to recognize </w:t>
      </w:r>
      <w:proofErr w:type="spellStart"/>
      <w:r>
        <w:t>Glagolitic's</w:t>
      </w:r>
      <w:proofErr w:type="spellEnd"/>
      <w:r>
        <w:t xml:space="preserve"> existence as a historical predecessor, but it is given no relevance to the task of this GP</w:t>
      </w:r>
      <w:r w:rsidR="00DB530A">
        <w:t>. I</w:t>
      </w:r>
      <w:r w:rsidR="00296533">
        <w:t>t</w:t>
      </w:r>
      <w:r w:rsidR="00DB530A">
        <w:t xml:space="preserve"> appears surprising that this section features a full listing of Glagolitic forms when no such listing for modern</w:t>
      </w:r>
      <w:r w:rsidR="00743636">
        <w:t xml:space="preserve"> (or indeed ancient)</w:t>
      </w:r>
      <w:r w:rsidR="00DB530A">
        <w:t xml:space="preserve"> Cyrillic forms is provided</w:t>
      </w:r>
      <w:r>
        <w:t>.</w:t>
      </w:r>
      <w:r w:rsidR="00DB530A">
        <w:t xml:space="preserve"> </w:t>
      </w:r>
    </w:p>
    <w:p w14:paraId="64B27945" w14:textId="77777777" w:rsidR="00DB530A" w:rsidRDefault="00DB530A" w:rsidP="00137E6A">
      <w:r>
        <w:t>For example some other Generation Panels have extracted the relevant pages from the MSR-2 documentation to illustrate the set of code points from which they plan to select a repertoire.</w:t>
      </w:r>
      <w:r w:rsidR="00743636">
        <w:t xml:space="preserve"> This is </w:t>
      </w:r>
      <w:r w:rsidR="0014373D">
        <w:t>particularly</w:t>
      </w:r>
      <w:r w:rsidR="00743636">
        <w:t xml:space="preserve"> relevant for Cyrillic, in that the (subsequent) choice of languages to support will affect the boundaries of the code point repertoire to be included/excluded.</w:t>
      </w:r>
      <w:commentRangeEnd w:id="1"/>
      <w:r w:rsidR="000137A6">
        <w:rPr>
          <w:rStyle w:val="a9"/>
        </w:rPr>
        <w:commentReference w:id="1"/>
      </w:r>
    </w:p>
    <w:p w14:paraId="2DE330C5" w14:textId="77777777" w:rsidR="008D6368" w:rsidRDefault="008D6368" w:rsidP="00137E6A">
      <w:pPr>
        <w:pStyle w:val="2"/>
        <w:rPr>
          <w:rStyle w:val="10"/>
          <w:color w:val="4F81BD" w:themeColor="accent1"/>
          <w:sz w:val="26"/>
        </w:rPr>
      </w:pPr>
      <w:r>
        <w:rPr>
          <w:rStyle w:val="10"/>
          <w:color w:val="4F81BD" w:themeColor="accent1"/>
          <w:sz w:val="26"/>
        </w:rPr>
        <w:lastRenderedPageBreak/>
        <w:t>Section 1.1 Panel diversity</w:t>
      </w:r>
    </w:p>
    <w:p w14:paraId="7FD2D433" w14:textId="77777777" w:rsidR="008D6368" w:rsidRDefault="008D6368" w:rsidP="008D6368">
      <w:commentRangeStart w:id="2"/>
      <w:r w:rsidRPr="004A42AC">
        <w:t xml:space="preserve">This section makes a case for not attempting to represent the vast majority of the languages spoken in the Russian Federation, but </w:t>
      </w:r>
      <w:r w:rsidR="00743636">
        <w:t xml:space="preserve">does not offer a reasoned </w:t>
      </w:r>
      <w:r w:rsidRPr="004A42AC">
        <w:t xml:space="preserve">scope </w:t>
      </w:r>
      <w:r w:rsidR="00743636">
        <w:t xml:space="preserve">for </w:t>
      </w:r>
      <w:r w:rsidRPr="004A42AC">
        <w:t>the remaining major task. It says:</w:t>
      </w:r>
    </w:p>
    <w:p w14:paraId="5623922D" w14:textId="77777777" w:rsidR="008D6368" w:rsidRDefault="008D6368" w:rsidP="00DB530A">
      <w:pPr>
        <w:ind w:left="720"/>
      </w:pPr>
      <w:r w:rsidRPr="004A42AC">
        <w:t xml:space="preserve">...it makes sense to organize 4 small working groups "The Balkans", "Russian-Ukrainian-Belarusian", "Central Asia" and "Mongolian". </w:t>
      </w:r>
    </w:p>
    <w:p w14:paraId="2DABA6AF" w14:textId="77777777" w:rsidR="008D6368" w:rsidRDefault="008D6368" w:rsidP="008D6368">
      <w:r w:rsidRPr="004A42AC">
        <w:t xml:space="preserve">But this proposal </w:t>
      </w:r>
      <w:r w:rsidR="0014373D">
        <w:t>seems</w:t>
      </w:r>
      <w:r w:rsidR="00355220">
        <w:t xml:space="preserve"> not adequately comprehensive</w:t>
      </w:r>
      <w:r w:rsidRPr="004A42AC">
        <w:t xml:space="preserve"> in its design. Notably, it </w:t>
      </w:r>
      <w:r w:rsidR="00355220">
        <w:t>would exclude</w:t>
      </w:r>
      <w:r w:rsidR="00355220" w:rsidRPr="004A42AC">
        <w:t xml:space="preserve"> </w:t>
      </w:r>
      <w:r w:rsidRPr="004A42AC">
        <w:t xml:space="preserve">the </w:t>
      </w:r>
      <w:r w:rsidR="00355220">
        <w:t xml:space="preserve">other </w:t>
      </w:r>
      <w:r w:rsidRPr="004A42AC">
        <w:t>languages</w:t>
      </w:r>
      <w:r w:rsidR="00355220" w:rsidRPr="00355220">
        <w:t xml:space="preserve"> </w:t>
      </w:r>
      <w:r w:rsidR="00355220">
        <w:t xml:space="preserve">in </w:t>
      </w:r>
      <w:r w:rsidR="00355220" w:rsidRPr="004A42AC">
        <w:t>European</w:t>
      </w:r>
      <w:r w:rsidR="00355220">
        <w:t xml:space="preserve"> Russia, even though they have</w:t>
      </w:r>
      <w:r w:rsidR="00355220" w:rsidRPr="004A42AC">
        <w:t xml:space="preserve"> </w:t>
      </w:r>
      <w:r w:rsidR="00355220">
        <w:t xml:space="preserve">EGIDS scores </w:t>
      </w:r>
      <w:r w:rsidR="00BC1CC5">
        <w:t xml:space="preserve">better </w:t>
      </w:r>
      <w:r w:rsidR="00355220">
        <w:t xml:space="preserve">than 5. (Such languages are </w:t>
      </w:r>
      <w:r w:rsidR="00355220" w:rsidRPr="004A42AC">
        <w:t xml:space="preserve">listed </w:t>
      </w:r>
      <w:r w:rsidR="00355220">
        <w:t>below</w:t>
      </w:r>
      <w:r w:rsidRPr="004A42AC">
        <w:t>.</w:t>
      </w:r>
      <w:r w:rsidR="00355220">
        <w:t>)</w:t>
      </w:r>
      <w:r w:rsidRPr="004A42AC">
        <w:t xml:space="preserve"> </w:t>
      </w:r>
      <w:proofErr w:type="gramStart"/>
      <w:r w:rsidRPr="004A42AC">
        <w:t>And</w:t>
      </w:r>
      <w:proofErr w:type="gramEnd"/>
      <w:r w:rsidR="00DB530A">
        <w:t xml:space="preserve"> by not providing a more detailed listing of the</w:t>
      </w:r>
      <w:r w:rsidRPr="004A42AC">
        <w:t xml:space="preserve"> language coverage of each group, it cloaks the fact that "Central Asia" -- especially if it includes the Caucasus and the Turkic steppes -- is likely to be a vast, unwieldy entity.</w:t>
      </w:r>
      <w:commentRangeEnd w:id="2"/>
      <w:r w:rsidR="003D66C3">
        <w:rPr>
          <w:rStyle w:val="a9"/>
        </w:rPr>
        <w:commentReference w:id="2"/>
      </w:r>
    </w:p>
    <w:p w14:paraId="2D26555A" w14:textId="77777777" w:rsidR="008D6368" w:rsidRDefault="008D6368" w:rsidP="008D6368">
      <w:commentRangeStart w:id="4"/>
      <w:r w:rsidRPr="004A42AC">
        <w:t>It woul</w:t>
      </w:r>
      <w:r w:rsidR="00DB530A">
        <w:t>d be desirable for the Cyri</w:t>
      </w:r>
      <w:r w:rsidR="00355220">
        <w:t>l</w:t>
      </w:r>
      <w:r w:rsidR="00DB530A">
        <w:t xml:space="preserve">lic </w:t>
      </w:r>
      <w:r w:rsidRPr="004A42AC">
        <w:t>GP to list the languages</w:t>
      </w:r>
      <w:r w:rsidR="00355220">
        <w:t xml:space="preserve"> (or at least the </w:t>
      </w:r>
      <w:r w:rsidR="0014373D">
        <w:t>geographical</w:t>
      </w:r>
      <w:r w:rsidR="00355220">
        <w:t xml:space="preserve"> regions)</w:t>
      </w:r>
      <w:r w:rsidRPr="004A42AC">
        <w:t xml:space="preserve"> for which each working group will be responsible (possibly adding a group for European Russia), and also to assign the members of the Panel who will make up each group. </w:t>
      </w:r>
      <w:r w:rsidR="00355220">
        <w:t xml:space="preserve">Giving a </w:t>
      </w:r>
      <w:r w:rsidR="00355220" w:rsidRPr="004A42AC">
        <w:t xml:space="preserve">regional focus </w:t>
      </w:r>
      <w:r w:rsidR="00355220">
        <w:t>to</w:t>
      </w:r>
      <w:r w:rsidRPr="004A42AC">
        <w:t xml:space="preserve"> </w:t>
      </w:r>
      <w:r w:rsidR="00355220">
        <w:t xml:space="preserve">each </w:t>
      </w:r>
      <w:r w:rsidRPr="004A42AC">
        <w:t xml:space="preserve">group </w:t>
      </w:r>
      <w:r w:rsidR="00355220">
        <w:t xml:space="preserve">would </w:t>
      </w:r>
      <w:r w:rsidR="00355220" w:rsidRPr="004A42AC">
        <w:t>be more practical</w:t>
      </w:r>
      <w:r w:rsidRPr="004A42AC">
        <w:t xml:space="preserve">, than </w:t>
      </w:r>
      <w:r w:rsidR="00355220">
        <w:t>using</w:t>
      </w:r>
      <w:r w:rsidRPr="004A42AC">
        <w:t xml:space="preserve"> genetic families of languages.</w:t>
      </w:r>
      <w:commentRangeEnd w:id="4"/>
      <w:r w:rsidR="003D66C3">
        <w:rPr>
          <w:rStyle w:val="a9"/>
        </w:rPr>
        <w:commentReference w:id="4"/>
      </w:r>
    </w:p>
    <w:p w14:paraId="32A52601" w14:textId="77777777" w:rsidR="008D6368" w:rsidRDefault="00DB530A" w:rsidP="008D6368">
      <w:r>
        <w:t>If this kind of detailed information were provided it would be easier to</w:t>
      </w:r>
      <w:r w:rsidR="008D6368" w:rsidRPr="004A42AC">
        <w:t xml:space="preserve"> judge the adequacy of the groups both for language coverage, and for assembled expertise.</w:t>
      </w:r>
    </w:p>
    <w:p w14:paraId="04AFB2B5" w14:textId="77777777" w:rsidR="00296533" w:rsidRPr="00296533" w:rsidRDefault="00296533" w:rsidP="00296533">
      <w:pPr>
        <w:ind w:left="720"/>
        <w:rPr>
          <w:rFonts w:eastAsia="Calibri" w:cs="Arial"/>
          <w:i/>
        </w:rPr>
      </w:pPr>
      <w:r w:rsidRPr="00296533">
        <w:rPr>
          <w:i/>
        </w:rPr>
        <w:t xml:space="preserve">§119. </w:t>
      </w:r>
      <w:r w:rsidRPr="00296533">
        <w:rPr>
          <w:rFonts w:eastAsia="Calibri" w:cs="Arial"/>
          <w:i/>
        </w:rPr>
        <w:t>It is not possible in framework of exist possibilities of Cyrillic Generation Panel covered all languages, more than 9 languages group, and more than 100 Cyrillic scripts which they used...</w:t>
      </w:r>
    </w:p>
    <w:p w14:paraId="63678206" w14:textId="77777777" w:rsidR="00296533" w:rsidRDefault="00296533" w:rsidP="008D6368">
      <w:r>
        <w:t xml:space="preserve">This may be true, but </w:t>
      </w:r>
      <w:r w:rsidR="00355220">
        <w:t xml:space="preserve">it is a sweeping claim that is </w:t>
      </w:r>
      <w:r>
        <w:t xml:space="preserve">not so easily established. It would be better to remark first that the range of languages is daunting, but that the GP's approach will be to establish adequacy to the four main regional variants of the Cyrillic Script, </w:t>
      </w:r>
      <w:commentRangeStart w:id="5"/>
      <w:r>
        <w:t>and then to assess the degree of refinement needed to cover less prominent languages and their special script requirements. At this point, it will be far easier to establish cost/benefit situation for adaptations to each uncovered script.</w:t>
      </w:r>
      <w:commentRangeEnd w:id="5"/>
      <w:r w:rsidR="00A11633">
        <w:rPr>
          <w:rStyle w:val="a9"/>
        </w:rPr>
        <w:commentReference w:id="5"/>
      </w:r>
    </w:p>
    <w:p w14:paraId="14F409D5" w14:textId="77777777" w:rsidR="00DB530A" w:rsidRDefault="008D6368" w:rsidP="008D6368">
      <w:r w:rsidRPr="004A42AC">
        <w:t>Even if the decision is taken not to cover the vast majority of languages written within the Russian Federation, they should not be passed over in silence (as they are now), but explicitly excluded for explicit, practical, reasons</w:t>
      </w:r>
      <w:r w:rsidR="00134D16">
        <w:t xml:space="preserve"> and individually listed as such</w:t>
      </w:r>
      <w:r w:rsidRPr="004A42AC">
        <w:t>.</w:t>
      </w:r>
      <w:r w:rsidR="00DB530A">
        <w:t xml:space="preserve"> (That is, an explicit justification for their exclusion, or deferral should be provided). </w:t>
      </w:r>
      <w:commentRangeStart w:id="6"/>
      <w:r w:rsidR="00DB530A">
        <w:t>One suggestion might be for the GP to recruit academic experts for the languages in question</w:t>
      </w:r>
      <w:r w:rsidR="00C66BA9">
        <w:t>, either as members of or advisors to the panel.</w:t>
      </w:r>
      <w:commentRangeEnd w:id="6"/>
      <w:r w:rsidR="00A11633">
        <w:rPr>
          <w:rStyle w:val="a9"/>
        </w:rPr>
        <w:commentReference w:id="6"/>
      </w:r>
    </w:p>
    <w:p w14:paraId="7129E833" w14:textId="77777777" w:rsidR="00137E6A" w:rsidRDefault="00137E6A" w:rsidP="00137E6A">
      <w:pPr>
        <w:pStyle w:val="4"/>
      </w:pPr>
      <w:r w:rsidRPr="004A42AC">
        <w:rPr>
          <w:rFonts w:eastAsia="Times New Roman"/>
        </w:rPr>
        <w:t>§ 117</w:t>
      </w:r>
      <w:r>
        <w:rPr>
          <w:rFonts w:eastAsia="Times New Roman"/>
        </w:rPr>
        <w:t xml:space="preserve"> Feedback on the MSR</w:t>
      </w:r>
    </w:p>
    <w:p w14:paraId="6FBDD2BA" w14:textId="77777777" w:rsidR="00137E6A" w:rsidRDefault="00137E6A" w:rsidP="00137E6A">
      <w:commentRangeStart w:id="7"/>
      <w:r w:rsidRPr="004A42AC">
        <w:t xml:space="preserve">§ 117 states as </w:t>
      </w:r>
      <w:r>
        <w:t xml:space="preserve">one of the </w:t>
      </w:r>
      <w:r w:rsidRPr="004A42AC">
        <w:t>aim</w:t>
      </w:r>
      <w:r>
        <w:t>s of the Generation Panel</w:t>
      </w:r>
      <w:r w:rsidRPr="004A42AC">
        <w:t xml:space="preserve"> the feedback on the MSR. </w:t>
      </w:r>
      <w:r w:rsidR="0077418A">
        <w:t xml:space="preserve">This is unfortunate, because </w:t>
      </w:r>
      <w:r>
        <w:t xml:space="preserve">MSR-2 is </w:t>
      </w:r>
      <w:r w:rsidR="0077418A">
        <w:t xml:space="preserve">already </w:t>
      </w:r>
      <w:r>
        <w:t>final</w:t>
      </w:r>
      <w:r w:rsidR="0077418A">
        <w:t>ized</w:t>
      </w:r>
      <w:r>
        <w:t xml:space="preserve">, </w:t>
      </w:r>
      <w:r w:rsidR="0077418A">
        <w:t xml:space="preserve">and so </w:t>
      </w:r>
      <w:r>
        <w:t>the earliest this could be done would be for</w:t>
      </w:r>
      <w:r w:rsidRPr="004A42AC">
        <w:t xml:space="preserve"> MSR</w:t>
      </w:r>
      <w:r>
        <w:t>-3. In turn, this would put</w:t>
      </w:r>
      <w:r w:rsidRPr="004A42AC">
        <w:t xml:space="preserve"> </w:t>
      </w:r>
      <w:r w:rsidR="0077418A">
        <w:t xml:space="preserve">off </w:t>
      </w:r>
      <w:r w:rsidRPr="004A42AC">
        <w:t>t</w:t>
      </w:r>
      <w:r>
        <w:t>he earliest Cyrillic LGR to a</w:t>
      </w:r>
      <w:r w:rsidRPr="004A42AC">
        <w:t xml:space="preserve"> point</w:t>
      </w:r>
      <w:r>
        <w:t xml:space="preserve"> after the release of MSR-3, or mid-2016.</w:t>
      </w:r>
      <w:r w:rsidRPr="004A42AC">
        <w:t xml:space="preserve"> </w:t>
      </w:r>
      <w:commentRangeEnd w:id="7"/>
      <w:r w:rsidR="00A11633">
        <w:rPr>
          <w:rStyle w:val="a9"/>
        </w:rPr>
        <w:commentReference w:id="7"/>
      </w:r>
    </w:p>
    <w:p w14:paraId="604A207B" w14:textId="77777777" w:rsidR="003E2874" w:rsidRPr="003E2874" w:rsidRDefault="00137E6A" w:rsidP="00137E6A">
      <w:pPr>
        <w:pStyle w:val="2"/>
      </w:pPr>
      <w:r>
        <w:lastRenderedPageBreak/>
        <w:t xml:space="preserve">Section 1.2 </w:t>
      </w:r>
      <w:r w:rsidR="003E2874" w:rsidRPr="003E2874">
        <w:t>Script for which the panel is to be established</w:t>
      </w:r>
      <w:r w:rsidR="00010A8F">
        <w:t>:</w:t>
      </w:r>
      <w:r w:rsidR="003E2874" w:rsidRPr="003E2874">
        <w:t xml:space="preserve"> </w:t>
      </w:r>
      <w:r w:rsidR="004A42AC" w:rsidRPr="003E2874">
        <w:t xml:space="preserve">Scope </w:t>
      </w:r>
    </w:p>
    <w:p w14:paraId="16CCF2B7" w14:textId="77777777" w:rsidR="003E2874" w:rsidRDefault="003E2874" w:rsidP="00137E6A">
      <w:pPr>
        <w:pStyle w:val="4"/>
      </w:pPr>
      <w:r w:rsidRPr="004A42AC">
        <w:t xml:space="preserve">TABLE 1. List </w:t>
      </w:r>
      <w:r w:rsidR="00137E6A">
        <w:t xml:space="preserve">of </w:t>
      </w:r>
      <w:r w:rsidRPr="004A42AC">
        <w:t>ISO 15924 script code</w:t>
      </w:r>
    </w:p>
    <w:p w14:paraId="4F881CC3" w14:textId="77777777" w:rsidR="003E2874" w:rsidRDefault="003E2874" w:rsidP="003E2874">
      <w:commentRangeStart w:id="8"/>
      <w:r w:rsidRPr="004A42AC">
        <w:t xml:space="preserve">This table should only contain </w:t>
      </w:r>
      <w:proofErr w:type="spellStart"/>
      <w:r w:rsidRPr="008D6368">
        <w:rPr>
          <w:b/>
        </w:rPr>
        <w:t>Cyrl</w:t>
      </w:r>
      <w:proofErr w:type="spellEnd"/>
      <w:r w:rsidRPr="004A42AC">
        <w:t xml:space="preserve"> 220, and</w:t>
      </w:r>
      <w:r w:rsidR="00137E6A">
        <w:t xml:space="preserve"> not </w:t>
      </w:r>
      <w:proofErr w:type="spellStart"/>
      <w:r w:rsidR="00137E6A" w:rsidRPr="008D6368">
        <w:rPr>
          <w:b/>
        </w:rPr>
        <w:t>Cyrs</w:t>
      </w:r>
      <w:proofErr w:type="spellEnd"/>
      <w:r w:rsidR="00137E6A">
        <w:t xml:space="preserve"> 221,</w:t>
      </w:r>
      <w:r w:rsidRPr="004A42AC">
        <w:t xml:space="preserve"> since </w:t>
      </w:r>
      <w:proofErr w:type="spellStart"/>
      <w:r w:rsidRPr="004A42AC">
        <w:t>Cyrs</w:t>
      </w:r>
      <w:proofErr w:type="spellEnd"/>
      <w:r w:rsidRPr="004A42AC">
        <w:t xml:space="preserve"> 221 [Cyrillic (Old Church Slavonic variant)] is used exclusively for religious or liturgical </w:t>
      </w:r>
      <w:proofErr w:type="gramStart"/>
      <w:r w:rsidRPr="004A42AC">
        <w:t>purposes ,</w:t>
      </w:r>
      <w:proofErr w:type="gramEnd"/>
      <w:r w:rsidRPr="004A42AC">
        <w:t xml:space="preserve"> and should therefore</w:t>
      </w:r>
      <w:r w:rsidR="00137E6A" w:rsidRPr="004A42AC">
        <w:t xml:space="preserve"> be omitted from the Root</w:t>
      </w:r>
      <w:r w:rsidRPr="004A42AC">
        <w:t xml:space="preserve"> (according to §5.10 of MSR-2 Overview and Rationale). Such characters (0460-0489), listed as a separate table "Historic Letters" by Unicode, </w:t>
      </w:r>
      <w:proofErr w:type="gramStart"/>
      <w:r w:rsidRPr="004A42AC">
        <w:t>have in fact been omitted</w:t>
      </w:r>
      <w:proofErr w:type="gramEnd"/>
      <w:r w:rsidRPr="004A42AC">
        <w:t xml:space="preserve"> from MSR-2.</w:t>
      </w:r>
      <w:commentRangeEnd w:id="8"/>
      <w:r w:rsidR="00BC7721">
        <w:rPr>
          <w:rStyle w:val="a9"/>
        </w:rPr>
        <w:commentReference w:id="8"/>
      </w:r>
    </w:p>
    <w:p w14:paraId="33C44D37" w14:textId="77777777" w:rsidR="004A42AC" w:rsidRPr="004A42AC" w:rsidRDefault="00F40BAA" w:rsidP="004A42AC">
      <w:r>
        <w:t>The IP does not endorse</w:t>
      </w:r>
      <w:r w:rsidR="004A42AC" w:rsidRPr="004A42AC">
        <w:t xml:space="preserve"> </w:t>
      </w:r>
      <w:r>
        <w:t>any</w:t>
      </w:r>
      <w:r w:rsidR="004A42AC" w:rsidRPr="004A42AC">
        <w:t xml:space="preserve"> plan</w:t>
      </w:r>
      <w:r>
        <w:t>s</w:t>
      </w:r>
      <w:r w:rsidR="004A42AC" w:rsidRPr="004A42AC">
        <w:t xml:space="preserve"> to create an LGR for </w:t>
      </w:r>
      <w:proofErr w:type="spellStart"/>
      <w:r w:rsidR="004A42AC" w:rsidRPr="008D6368">
        <w:rPr>
          <w:b/>
        </w:rPr>
        <w:t>Cyrs</w:t>
      </w:r>
      <w:proofErr w:type="spellEnd"/>
      <w:r w:rsidR="004A42AC" w:rsidRPr="004A42AC">
        <w:t xml:space="preserve"> (Old Church Slavonic). </w:t>
      </w:r>
      <w:r>
        <w:t>The proposal contains no</w:t>
      </w:r>
      <w:r w:rsidR="004A42AC" w:rsidRPr="004A42AC">
        <w:t xml:space="preserve"> justification that this would be germane for modern everyday use (</w:t>
      </w:r>
      <w:r>
        <w:t xml:space="preserve">for example, </w:t>
      </w:r>
      <w:r w:rsidR="004A42AC" w:rsidRPr="004A42AC">
        <w:t>§107 cites modern liturgical</w:t>
      </w:r>
      <w:r>
        <w:t xml:space="preserve"> use only). Wikipedia has this:</w:t>
      </w:r>
    </w:p>
    <w:p w14:paraId="0CD311CC" w14:textId="77777777" w:rsidR="004A42AC" w:rsidRDefault="004A42AC" w:rsidP="00F40BAA">
      <w:pPr>
        <w:ind w:left="720"/>
      </w:pPr>
      <w:bookmarkStart w:id="9" w:name="OLE_LINK2"/>
      <w:r w:rsidRPr="004A42AC">
        <w:rPr>
          <w:b/>
          <w:bCs/>
        </w:rPr>
        <w:t>Old Church Slavonic</w:t>
      </w:r>
      <w:r w:rsidRPr="004A42AC">
        <w:t xml:space="preserve"> </w:t>
      </w:r>
      <w:bookmarkEnd w:id="9"/>
      <w:r w:rsidRPr="004A42AC">
        <w:t>(</w:t>
      </w:r>
      <w:r w:rsidRPr="004A42AC">
        <w:rPr>
          <w:sz w:val="20"/>
        </w:rPr>
        <w:t>pronunciation:</w:t>
      </w:r>
      <w:r w:rsidRPr="004A42AC">
        <w:t xml:space="preserve"> </w:t>
      </w:r>
      <w:hyperlink r:id="rId6" w:tooltip="Help:IPA for English" w:history="1">
        <w:r w:rsidRPr="004A42AC">
          <w:rPr>
            <w:color w:val="0000FF"/>
            <w:u w:val="single"/>
          </w:rPr>
          <w:t>/</w:t>
        </w:r>
      </w:hyperlink>
      <w:hyperlink r:id="rId7" w:anchor="Key" w:tooltip="Help:IPA for English" w:history="1">
        <w:r w:rsidRPr="004A42AC">
          <w:rPr>
            <w:color w:val="0000FF"/>
            <w:u w:val="single"/>
          </w:rPr>
          <w:t>ˌ</w:t>
        </w:r>
        <w:proofErr w:type="spellStart"/>
      </w:hyperlink>
      <w:hyperlink r:id="rId8" w:anchor="Key" w:tooltip="Help:IPA for English" w:history="1">
        <w:r w:rsidRPr="004A42AC">
          <w:rPr>
            <w:color w:val="0000FF"/>
            <w:u w:val="single"/>
          </w:rPr>
          <w:t>oʊ</w:t>
        </w:r>
      </w:hyperlink>
      <w:hyperlink r:id="rId9" w:anchor="Key" w:tooltip="Help:IPA for English" w:history="1">
        <w:r w:rsidRPr="004A42AC">
          <w:rPr>
            <w:color w:val="0000FF"/>
            <w:u w:val="single"/>
          </w:rPr>
          <w:t>l</w:t>
        </w:r>
      </w:hyperlink>
      <w:hyperlink r:id="rId10" w:anchor="Key" w:tooltip="Help:IPA for English" w:history="1">
        <w:r w:rsidRPr="004A42AC">
          <w:rPr>
            <w:color w:val="0000FF"/>
            <w:u w:val="single"/>
          </w:rPr>
          <w:t>d</w:t>
        </w:r>
        <w:proofErr w:type="spellEnd"/>
      </w:hyperlink>
      <w:r w:rsidRPr="004A42AC">
        <w:t xml:space="preserve"> </w:t>
      </w:r>
      <w:hyperlink r:id="rId11" w:anchor="Key" w:tooltip="Help:IPA for English" w:history="1">
        <w:proofErr w:type="spellStart"/>
        <w:r w:rsidRPr="004A42AC">
          <w:rPr>
            <w:color w:val="0000FF"/>
            <w:u w:val="single"/>
          </w:rPr>
          <w:t>tʃ</w:t>
        </w:r>
      </w:hyperlink>
      <w:hyperlink r:id="rId12" w:anchor="Key" w:tooltip="Help:IPA for English" w:history="1">
        <w:r w:rsidRPr="004A42AC">
          <w:rPr>
            <w:color w:val="0000FF"/>
            <w:u w:val="single"/>
          </w:rPr>
          <w:t>ɜr</w:t>
        </w:r>
      </w:hyperlink>
      <w:hyperlink r:id="rId13" w:anchor="Key" w:tooltip="Help:IPA for English" w:history="1">
        <w:r w:rsidRPr="004A42AC">
          <w:rPr>
            <w:color w:val="0000FF"/>
            <w:u w:val="single"/>
          </w:rPr>
          <w:t>tʃ</w:t>
        </w:r>
        <w:proofErr w:type="spellEnd"/>
      </w:hyperlink>
      <w:r w:rsidRPr="004A42AC">
        <w:t xml:space="preserve"> </w:t>
      </w:r>
      <w:hyperlink r:id="rId14" w:anchor="Key" w:tooltip="Help:IPA for English" w:history="1">
        <w:proofErr w:type="spellStart"/>
        <w:r w:rsidRPr="004A42AC">
          <w:rPr>
            <w:color w:val="0000FF"/>
            <w:u w:val="single"/>
          </w:rPr>
          <w:t>s</w:t>
        </w:r>
      </w:hyperlink>
      <w:hyperlink r:id="rId15" w:anchor="Key" w:tooltip="Help:IPA for English" w:history="1">
        <w:r w:rsidRPr="004A42AC">
          <w:rPr>
            <w:color w:val="0000FF"/>
            <w:u w:val="single"/>
          </w:rPr>
          <w:t>l</w:t>
        </w:r>
      </w:hyperlink>
      <w:hyperlink r:id="rId16" w:anchor="Key" w:tooltip="Help:IPA for English" w:history="1">
        <w:r w:rsidRPr="004A42AC">
          <w:rPr>
            <w:color w:val="0000FF"/>
            <w:u w:val="single"/>
          </w:rPr>
          <w:t>ə</w:t>
        </w:r>
      </w:hyperlink>
      <w:hyperlink r:id="rId17" w:anchor="Key" w:tooltip="Help:IPA for English" w:history="1">
        <w:r w:rsidRPr="004A42AC">
          <w:rPr>
            <w:color w:val="0000FF"/>
            <w:u w:val="single"/>
          </w:rPr>
          <w:t>ˈ</w:t>
        </w:r>
      </w:hyperlink>
      <w:hyperlink r:id="rId18" w:anchor="Key" w:tooltip="Help:IPA for English" w:history="1">
        <w:r w:rsidRPr="004A42AC">
          <w:rPr>
            <w:color w:val="0000FF"/>
            <w:u w:val="single"/>
          </w:rPr>
          <w:t>v</w:t>
        </w:r>
      </w:hyperlink>
      <w:hyperlink r:id="rId19" w:anchor="Key" w:tooltip="Help:IPA for English" w:history="1">
        <w:r w:rsidRPr="004A42AC">
          <w:rPr>
            <w:color w:val="0000FF"/>
            <w:u w:val="single"/>
          </w:rPr>
          <w:t>ɒ</w:t>
        </w:r>
      </w:hyperlink>
      <w:hyperlink r:id="rId20" w:anchor="Key" w:tooltip="Help:IPA for English" w:history="1">
        <w:r w:rsidRPr="004A42AC">
          <w:rPr>
            <w:color w:val="0000FF"/>
            <w:u w:val="single"/>
          </w:rPr>
          <w:t>n</w:t>
        </w:r>
      </w:hyperlink>
      <w:hyperlink r:id="rId21" w:anchor="Key" w:tooltip="Help:IPA for English" w:history="1">
        <w:r w:rsidRPr="004A42AC">
          <w:rPr>
            <w:color w:val="0000FF"/>
            <w:u w:val="single"/>
          </w:rPr>
          <w:t>ɪ</w:t>
        </w:r>
      </w:hyperlink>
      <w:hyperlink r:id="rId22" w:anchor="Key" w:tooltip="Help:IPA for English" w:history="1">
        <w:r w:rsidRPr="004A42AC">
          <w:rPr>
            <w:color w:val="0000FF"/>
            <w:u w:val="single"/>
          </w:rPr>
          <w:t>k</w:t>
        </w:r>
        <w:proofErr w:type="spellEnd"/>
      </w:hyperlink>
      <w:hyperlink r:id="rId23" w:tooltip="Help:IPA for English" w:history="1">
        <w:r w:rsidRPr="004A42AC">
          <w:rPr>
            <w:color w:val="0000FF"/>
            <w:u w:val="single"/>
          </w:rPr>
          <w:t>/</w:t>
        </w:r>
      </w:hyperlink>
      <w:r w:rsidRPr="004A42AC">
        <w:t xml:space="preserve">, </w:t>
      </w:r>
      <w:hyperlink r:id="rId24" w:tooltip="Help:IPA for English" w:history="1">
        <w:r w:rsidRPr="004A42AC">
          <w:rPr>
            <w:color w:val="0000FF"/>
            <w:u w:val="single"/>
          </w:rPr>
          <w:t>/</w:t>
        </w:r>
      </w:hyperlink>
      <w:hyperlink r:id="rId25" w:anchor="Key" w:tooltip="Help:IPA for English" w:history="1">
        <w:r w:rsidRPr="004A42AC">
          <w:rPr>
            <w:color w:val="0000FF"/>
            <w:u w:val="single"/>
          </w:rPr>
          <w:t>-</w:t>
        </w:r>
        <w:proofErr w:type="spellStart"/>
      </w:hyperlink>
      <w:hyperlink r:id="rId26" w:anchor="Key" w:tooltip="Help:IPA for English" w:history="1">
        <w:r w:rsidRPr="004A42AC">
          <w:rPr>
            <w:color w:val="0000FF"/>
            <w:u w:val="single"/>
          </w:rPr>
          <w:t>s</w:t>
        </w:r>
      </w:hyperlink>
      <w:hyperlink r:id="rId27" w:anchor="Key" w:tooltip="Help:IPA for English" w:history="1">
        <w:r w:rsidRPr="004A42AC">
          <w:rPr>
            <w:color w:val="0000FF"/>
            <w:u w:val="single"/>
          </w:rPr>
          <w:t>l</w:t>
        </w:r>
      </w:hyperlink>
      <w:hyperlink r:id="rId28" w:anchor="Key" w:tooltip="Help:IPA for English" w:history="1">
        <w:r w:rsidRPr="004A42AC">
          <w:rPr>
            <w:color w:val="0000FF"/>
            <w:u w:val="single"/>
          </w:rPr>
          <w:t>æ</w:t>
        </w:r>
        <w:proofErr w:type="spellEnd"/>
      </w:hyperlink>
      <w:hyperlink r:id="rId29" w:anchor="Key" w:tooltip="Help:IPA for English" w:history="1">
        <w:r w:rsidRPr="004A42AC">
          <w:rPr>
            <w:color w:val="0000FF"/>
            <w:u w:val="single"/>
          </w:rPr>
          <w:t>ˈ</w:t>
        </w:r>
      </w:hyperlink>
      <w:hyperlink r:id="rId30" w:anchor="Key" w:tooltip="Help:IPA for English" w:history="1">
        <w:r w:rsidRPr="004A42AC">
          <w:rPr>
            <w:color w:val="0000FF"/>
            <w:u w:val="single"/>
          </w:rPr>
          <w:t>-</w:t>
        </w:r>
      </w:hyperlink>
      <w:hyperlink r:id="rId31" w:tooltip="Help:IPA for English" w:history="1">
        <w:r w:rsidRPr="004A42AC">
          <w:rPr>
            <w:color w:val="0000FF"/>
            <w:u w:val="single"/>
          </w:rPr>
          <w:t>/</w:t>
        </w:r>
      </w:hyperlink>
      <w:r w:rsidRPr="004A42AC">
        <w:t>),</w:t>
      </w:r>
      <w:hyperlink r:id="rId32" w:anchor="cite_note-lpd-2" w:history="1">
        <w:r w:rsidRPr="004A42AC">
          <w:rPr>
            <w:color w:val="0000FF"/>
            <w:u w:val="single"/>
            <w:vertAlign w:val="superscript"/>
          </w:rPr>
          <w:t>[2]</w:t>
        </w:r>
      </w:hyperlink>
      <w:r w:rsidRPr="004A42AC">
        <w:t xml:space="preserve"> also known as </w:t>
      </w:r>
      <w:r w:rsidRPr="004A42AC">
        <w:rPr>
          <w:b/>
          <w:bCs/>
        </w:rPr>
        <w:t>Old Church Slavic</w:t>
      </w:r>
      <w:r w:rsidRPr="004A42AC">
        <w:t xml:space="preserve"> (</w:t>
      </w:r>
      <w:hyperlink r:id="rId33" w:tooltip="Help:IPA for English" w:history="1">
        <w:r w:rsidRPr="004A42AC">
          <w:rPr>
            <w:color w:val="0000FF"/>
            <w:u w:val="single"/>
          </w:rPr>
          <w:t>/</w:t>
        </w:r>
      </w:hyperlink>
      <w:hyperlink r:id="rId34" w:anchor="Key" w:tooltip="Help:IPA for English" w:history="1">
        <w:r w:rsidRPr="004A42AC">
          <w:rPr>
            <w:color w:val="0000FF"/>
            <w:u w:val="single"/>
          </w:rPr>
          <w:t>ˌ</w:t>
        </w:r>
        <w:proofErr w:type="spellStart"/>
      </w:hyperlink>
      <w:hyperlink r:id="rId35" w:anchor="Key" w:tooltip="Help:IPA for English" w:history="1">
        <w:r w:rsidRPr="004A42AC">
          <w:rPr>
            <w:color w:val="0000FF"/>
            <w:u w:val="single"/>
          </w:rPr>
          <w:t>oʊ</w:t>
        </w:r>
      </w:hyperlink>
      <w:hyperlink r:id="rId36" w:anchor="Key" w:tooltip="Help:IPA for English" w:history="1">
        <w:r w:rsidRPr="004A42AC">
          <w:rPr>
            <w:color w:val="0000FF"/>
            <w:u w:val="single"/>
          </w:rPr>
          <w:t>l</w:t>
        </w:r>
      </w:hyperlink>
      <w:hyperlink r:id="rId37" w:anchor="Key" w:tooltip="Help:IPA for English" w:history="1">
        <w:r w:rsidRPr="004A42AC">
          <w:rPr>
            <w:color w:val="0000FF"/>
            <w:u w:val="single"/>
          </w:rPr>
          <w:t>d</w:t>
        </w:r>
        <w:proofErr w:type="spellEnd"/>
      </w:hyperlink>
      <w:r w:rsidRPr="004A42AC">
        <w:t xml:space="preserve"> </w:t>
      </w:r>
      <w:hyperlink r:id="rId38" w:anchor="Key" w:tooltip="Help:IPA for English" w:history="1">
        <w:proofErr w:type="spellStart"/>
        <w:r w:rsidRPr="004A42AC">
          <w:rPr>
            <w:color w:val="0000FF"/>
            <w:u w:val="single"/>
          </w:rPr>
          <w:t>tʃ</w:t>
        </w:r>
      </w:hyperlink>
      <w:hyperlink r:id="rId39" w:anchor="Key" w:tooltip="Help:IPA for English" w:history="1">
        <w:r w:rsidRPr="004A42AC">
          <w:rPr>
            <w:color w:val="0000FF"/>
            <w:u w:val="single"/>
          </w:rPr>
          <w:t>ɜr</w:t>
        </w:r>
      </w:hyperlink>
      <w:hyperlink r:id="rId40" w:anchor="Key" w:tooltip="Help:IPA for English" w:history="1">
        <w:r w:rsidRPr="004A42AC">
          <w:rPr>
            <w:color w:val="0000FF"/>
            <w:u w:val="single"/>
          </w:rPr>
          <w:t>tʃ</w:t>
        </w:r>
        <w:proofErr w:type="spellEnd"/>
      </w:hyperlink>
      <w:r w:rsidRPr="004A42AC">
        <w:t xml:space="preserve"> </w:t>
      </w:r>
      <w:hyperlink r:id="rId41" w:anchor="Key" w:tooltip="Help:IPA for English" w:history="1">
        <w:r w:rsidRPr="004A42AC">
          <w:rPr>
            <w:color w:val="0000FF"/>
            <w:u w:val="single"/>
          </w:rPr>
          <w:t>ˈ</w:t>
        </w:r>
        <w:proofErr w:type="spellStart"/>
      </w:hyperlink>
      <w:hyperlink r:id="rId42" w:anchor="Key" w:tooltip="Help:IPA for English" w:history="1">
        <w:r w:rsidRPr="004A42AC">
          <w:rPr>
            <w:color w:val="0000FF"/>
            <w:u w:val="single"/>
          </w:rPr>
          <w:t>s</w:t>
        </w:r>
      </w:hyperlink>
      <w:hyperlink r:id="rId43" w:anchor="Key" w:tooltip="Help:IPA for English" w:history="1">
        <w:r w:rsidRPr="004A42AC">
          <w:rPr>
            <w:color w:val="0000FF"/>
            <w:u w:val="single"/>
          </w:rPr>
          <w:t>l</w:t>
        </w:r>
      </w:hyperlink>
      <w:hyperlink r:id="rId44" w:anchor="Key" w:tooltip="Help:IPA for English" w:history="1">
        <w:r w:rsidRPr="004A42AC">
          <w:rPr>
            <w:color w:val="0000FF"/>
            <w:u w:val="single"/>
          </w:rPr>
          <w:t>aː</w:t>
        </w:r>
      </w:hyperlink>
      <w:hyperlink r:id="rId45" w:anchor="Key" w:tooltip="Help:IPA for English" w:history="1">
        <w:r w:rsidRPr="004A42AC">
          <w:rPr>
            <w:color w:val="0000FF"/>
            <w:u w:val="single"/>
          </w:rPr>
          <w:t>v</w:t>
        </w:r>
      </w:hyperlink>
      <w:hyperlink r:id="rId46" w:anchor="Key" w:tooltip="Help:IPA for English" w:history="1">
        <w:r w:rsidRPr="004A42AC">
          <w:rPr>
            <w:color w:val="0000FF"/>
            <w:u w:val="single"/>
          </w:rPr>
          <w:t>ɪ</w:t>
        </w:r>
      </w:hyperlink>
      <w:hyperlink r:id="rId47" w:anchor="Key" w:tooltip="Help:IPA for English" w:history="1">
        <w:r w:rsidRPr="004A42AC">
          <w:rPr>
            <w:color w:val="0000FF"/>
            <w:u w:val="single"/>
          </w:rPr>
          <w:t>k</w:t>
        </w:r>
        <w:proofErr w:type="spellEnd"/>
      </w:hyperlink>
      <w:hyperlink r:id="rId48" w:tooltip="Help:IPA for English" w:history="1">
        <w:r w:rsidRPr="004A42AC">
          <w:rPr>
            <w:color w:val="0000FF"/>
            <w:u w:val="single"/>
          </w:rPr>
          <w:t>/</w:t>
        </w:r>
      </w:hyperlink>
      <w:r w:rsidRPr="004A42AC">
        <w:t>;</w:t>
      </w:r>
      <w:hyperlink r:id="rId49" w:anchor="cite_note-lpd-2" w:history="1">
        <w:r w:rsidRPr="004A42AC">
          <w:rPr>
            <w:color w:val="0000FF"/>
            <w:u w:val="single"/>
            <w:vertAlign w:val="superscript"/>
          </w:rPr>
          <w:t>[2]</w:t>
        </w:r>
      </w:hyperlink>
      <w:r w:rsidRPr="004A42AC">
        <w:t xml:space="preserve"> often abbreviated to </w:t>
      </w:r>
      <w:r w:rsidRPr="004A42AC">
        <w:rPr>
          <w:b/>
          <w:bCs/>
        </w:rPr>
        <w:t>OCS</w:t>
      </w:r>
      <w:r w:rsidRPr="004A42AC">
        <w:t xml:space="preserve">; self-name </w:t>
      </w:r>
      <w:proofErr w:type="spellStart"/>
      <w:r w:rsidRPr="004A42AC">
        <w:t>словѣ́ньскъ</w:t>
      </w:r>
      <w:proofErr w:type="spellEnd"/>
      <w:r w:rsidRPr="004A42AC">
        <w:t xml:space="preserve"> </w:t>
      </w:r>
      <w:proofErr w:type="spellStart"/>
      <w:r w:rsidRPr="004A42AC">
        <w:t>ѩз</w:t>
      </w:r>
      <w:proofErr w:type="spellEnd"/>
      <w:r w:rsidRPr="004A42AC">
        <w:rPr>
          <w:rFonts w:ascii="Cambria" w:hAnsi="Cambria" w:cs="Cambria"/>
        </w:rPr>
        <w:t>ꙑ́</w:t>
      </w:r>
      <w:proofErr w:type="spellStart"/>
      <w:r w:rsidRPr="004A42AC">
        <w:rPr>
          <w:rFonts w:ascii="Cambria" w:hAnsi="Cambria" w:cs="Cambria"/>
        </w:rPr>
        <w:t>къ</w:t>
      </w:r>
      <w:proofErr w:type="spellEnd"/>
      <w:r w:rsidRPr="004A42AC">
        <w:t xml:space="preserve">, </w:t>
      </w:r>
      <w:proofErr w:type="spellStart"/>
      <w:r w:rsidRPr="004A42AC">
        <w:rPr>
          <w:i/>
          <w:iCs/>
        </w:rPr>
        <w:t>slověnĭskŭ</w:t>
      </w:r>
      <w:proofErr w:type="spellEnd"/>
      <w:r w:rsidRPr="004A42AC">
        <w:rPr>
          <w:i/>
          <w:iCs/>
        </w:rPr>
        <w:t xml:space="preserve"> </w:t>
      </w:r>
      <w:proofErr w:type="spellStart"/>
      <w:r w:rsidRPr="004A42AC">
        <w:rPr>
          <w:i/>
          <w:iCs/>
        </w:rPr>
        <w:t>językŭ</w:t>
      </w:r>
      <w:proofErr w:type="spellEnd"/>
      <w:r w:rsidRPr="004A42AC">
        <w:t xml:space="preserve">), was the first </w:t>
      </w:r>
      <w:hyperlink r:id="rId50" w:tooltip="Slavic languages" w:history="1">
        <w:r w:rsidRPr="004A42AC">
          <w:rPr>
            <w:color w:val="0000FF"/>
            <w:u w:val="single"/>
          </w:rPr>
          <w:t>Slavic</w:t>
        </w:r>
      </w:hyperlink>
      <w:r w:rsidRPr="004A42AC">
        <w:t xml:space="preserve"> </w:t>
      </w:r>
      <w:hyperlink r:id="rId51" w:tooltip="Literary language" w:history="1">
        <w:r w:rsidRPr="004A42AC">
          <w:rPr>
            <w:color w:val="0000FF"/>
            <w:u w:val="single"/>
          </w:rPr>
          <w:t>literary language</w:t>
        </w:r>
      </w:hyperlink>
      <w:r w:rsidRPr="004A42AC">
        <w:t xml:space="preserve">. The 9th-century </w:t>
      </w:r>
      <w:hyperlink r:id="rId52" w:tooltip="Byzantine Greeks" w:history="1">
        <w:r w:rsidRPr="004A42AC">
          <w:rPr>
            <w:color w:val="0000FF"/>
            <w:u w:val="single"/>
          </w:rPr>
          <w:t>Byzantine Greek</w:t>
        </w:r>
      </w:hyperlink>
      <w:r w:rsidRPr="004A42AC">
        <w:t xml:space="preserve"> missionaries </w:t>
      </w:r>
      <w:hyperlink r:id="rId53" w:tooltip="Saints Cyril and Methodius" w:history="1">
        <w:r w:rsidRPr="004A42AC">
          <w:rPr>
            <w:color w:val="0000FF"/>
            <w:u w:val="single"/>
          </w:rPr>
          <w:t>Saints Cyril and Methodius</w:t>
        </w:r>
      </w:hyperlink>
      <w:r w:rsidRPr="004A42AC">
        <w:t xml:space="preserve"> are credited with </w:t>
      </w:r>
      <w:hyperlink r:id="rId54" w:tooltip="Standard language" w:history="1">
        <w:r w:rsidRPr="004A42AC">
          <w:rPr>
            <w:color w:val="0000FF"/>
            <w:u w:val="single"/>
          </w:rPr>
          <w:t>standardizing</w:t>
        </w:r>
      </w:hyperlink>
      <w:r w:rsidRPr="004A42AC">
        <w:t xml:space="preserve"> the language and using it in translating the </w:t>
      </w:r>
      <w:hyperlink r:id="rId55" w:tooltip="Bible" w:history="1">
        <w:r w:rsidRPr="004A42AC">
          <w:rPr>
            <w:color w:val="0000FF"/>
            <w:u w:val="single"/>
          </w:rPr>
          <w:t>Bible</w:t>
        </w:r>
      </w:hyperlink>
      <w:r w:rsidRPr="004A42AC">
        <w:t xml:space="preserve"> and other </w:t>
      </w:r>
      <w:hyperlink r:id="rId56" w:tooltip="Ancient Greek language" w:history="1">
        <w:r w:rsidRPr="004A42AC">
          <w:rPr>
            <w:color w:val="0000FF"/>
            <w:u w:val="single"/>
          </w:rPr>
          <w:t>Ancient Greek</w:t>
        </w:r>
      </w:hyperlink>
      <w:r w:rsidRPr="004A42AC">
        <w:t xml:space="preserve"> ecclesiastical texts as part of the </w:t>
      </w:r>
      <w:hyperlink r:id="rId57" w:tooltip="Christianisation" w:history="1">
        <w:proofErr w:type="spellStart"/>
        <w:r w:rsidRPr="004A42AC">
          <w:rPr>
            <w:color w:val="0000FF"/>
            <w:u w:val="single"/>
          </w:rPr>
          <w:t>Christianisation</w:t>
        </w:r>
        <w:proofErr w:type="spellEnd"/>
      </w:hyperlink>
      <w:r w:rsidRPr="004A42AC">
        <w:t xml:space="preserve"> of the </w:t>
      </w:r>
      <w:hyperlink r:id="rId58" w:tooltip="Slavic peoples" w:history="1">
        <w:r w:rsidRPr="004A42AC">
          <w:rPr>
            <w:color w:val="0000FF"/>
            <w:u w:val="single"/>
          </w:rPr>
          <w:t>Slavic peoples</w:t>
        </w:r>
      </w:hyperlink>
      <w:r w:rsidRPr="004A42AC">
        <w:t>.</w:t>
      </w:r>
      <w:hyperlink r:id="rId59" w:anchor="cite_note-3" w:history="1">
        <w:r w:rsidRPr="004A42AC">
          <w:rPr>
            <w:color w:val="0000FF"/>
            <w:u w:val="single"/>
            <w:vertAlign w:val="superscript"/>
          </w:rPr>
          <w:t>[3]</w:t>
        </w:r>
      </w:hyperlink>
      <w:r w:rsidRPr="004A42AC">
        <w:t xml:space="preserve"> It is thought to have been based primarily on the dialect of the 9th century </w:t>
      </w:r>
      <w:hyperlink r:id="rId60" w:tooltip="Sclaveni" w:history="1">
        <w:r w:rsidRPr="004A42AC">
          <w:rPr>
            <w:color w:val="0000FF"/>
            <w:u w:val="single"/>
          </w:rPr>
          <w:t>Byzantine Slavs</w:t>
        </w:r>
      </w:hyperlink>
      <w:r w:rsidRPr="004A42AC">
        <w:t xml:space="preserve"> living in the </w:t>
      </w:r>
      <w:hyperlink r:id="rId61" w:tooltip="Thessalonica (theme)" w:history="1">
        <w:r w:rsidRPr="004A42AC">
          <w:rPr>
            <w:color w:val="0000FF"/>
            <w:u w:val="single"/>
          </w:rPr>
          <w:t>Province of Thessalonica</w:t>
        </w:r>
      </w:hyperlink>
      <w:r w:rsidRPr="004A42AC">
        <w:t xml:space="preserve"> (now in </w:t>
      </w:r>
      <w:hyperlink r:id="rId62" w:tooltip="Greek Macedonia" w:history="1">
        <w:r w:rsidRPr="004A42AC">
          <w:rPr>
            <w:color w:val="0000FF"/>
            <w:u w:val="single"/>
          </w:rPr>
          <w:t>Greek Macedonia</w:t>
        </w:r>
      </w:hyperlink>
      <w:r w:rsidRPr="004A42AC">
        <w:t xml:space="preserve">). It played an important role in the history of the Slavic languages and served as a basis and model for later </w:t>
      </w:r>
      <w:hyperlink r:id="rId63" w:tooltip="Church Slavonic language" w:history="1">
        <w:r w:rsidRPr="004A42AC">
          <w:rPr>
            <w:color w:val="0000FF"/>
            <w:u w:val="single"/>
          </w:rPr>
          <w:t>Church Slavonic</w:t>
        </w:r>
      </w:hyperlink>
      <w:r w:rsidRPr="004A42AC">
        <w:t xml:space="preserve"> traditions, and some </w:t>
      </w:r>
      <w:hyperlink r:id="rId64" w:tooltip="Eastern Orthodoxy" w:history="1">
        <w:r w:rsidRPr="004A42AC">
          <w:rPr>
            <w:color w:val="0000FF"/>
            <w:u w:val="single"/>
          </w:rPr>
          <w:t>Eastern Orthodox</w:t>
        </w:r>
      </w:hyperlink>
      <w:r w:rsidRPr="004A42AC">
        <w:t xml:space="preserve"> and </w:t>
      </w:r>
      <w:hyperlink r:id="rId65" w:tooltip="Eastern Catholic Churches" w:history="1">
        <w:r w:rsidRPr="004A42AC">
          <w:rPr>
            <w:color w:val="0000FF"/>
            <w:u w:val="single"/>
          </w:rPr>
          <w:t>Eastern Catholic</w:t>
        </w:r>
      </w:hyperlink>
      <w:r w:rsidRPr="004A42AC">
        <w:t xml:space="preserve"> churches use this later Church Slavonic as a </w:t>
      </w:r>
      <w:hyperlink r:id="rId66" w:tooltip="Liturgical language" w:history="1">
        <w:r w:rsidRPr="004A42AC">
          <w:rPr>
            <w:color w:val="0000FF"/>
            <w:u w:val="single"/>
          </w:rPr>
          <w:t>liturgical language</w:t>
        </w:r>
      </w:hyperlink>
      <w:r w:rsidRPr="004A42AC">
        <w:t xml:space="preserve"> to this day. As the oldest attested Slavic language, OCS provides important evidence for the features of </w:t>
      </w:r>
      <w:hyperlink r:id="rId67" w:tooltip="Proto-Slavic" w:history="1">
        <w:r w:rsidRPr="004A42AC">
          <w:rPr>
            <w:color w:val="0000FF"/>
            <w:u w:val="single"/>
          </w:rPr>
          <w:t>Proto-Slavic</w:t>
        </w:r>
      </w:hyperlink>
      <w:r w:rsidRPr="004A42AC">
        <w:t>, the reconstructed common ancestor of all Slavic languages.</w:t>
      </w:r>
    </w:p>
    <w:p w14:paraId="185E7848" w14:textId="77777777" w:rsidR="008D6368" w:rsidRDefault="00F40BAA" w:rsidP="00F40BAA">
      <w:commentRangeStart w:id="10"/>
      <w:r>
        <w:t>If this characterization is accurate, OCS does not satisfy the requirements for inclusion in the Root Zone.</w:t>
      </w:r>
      <w:commentRangeEnd w:id="10"/>
      <w:r w:rsidR="002C79D5">
        <w:rPr>
          <w:rStyle w:val="a9"/>
        </w:rPr>
        <w:commentReference w:id="10"/>
      </w:r>
    </w:p>
    <w:p w14:paraId="7B392C55" w14:textId="77777777" w:rsidR="008D6368" w:rsidRDefault="00137E6A" w:rsidP="00137E6A">
      <w:pPr>
        <w:pStyle w:val="2"/>
      </w:pPr>
      <w:r w:rsidRPr="004A42AC">
        <w:t>1.3 Princ</w:t>
      </w:r>
      <w:r>
        <w:t>ipal languages using the script</w:t>
      </w:r>
    </w:p>
    <w:p w14:paraId="5B66B256" w14:textId="77777777" w:rsidR="008D6368" w:rsidRDefault="00137E6A" w:rsidP="00137E6A">
      <w:r w:rsidRPr="004A42AC">
        <w:t>There are some inconsistencies in this table, which partly reflect the fractious politics of the region. Also it does not do justice to the languages of Russian Federation: their</w:t>
      </w:r>
      <w:r>
        <w:t xml:space="preserve"> modern</w:t>
      </w:r>
      <w:r w:rsidRPr="004A42AC">
        <w:t xml:space="preserve"> literate use extends far beyond Russian alone.</w:t>
      </w:r>
    </w:p>
    <w:p w14:paraId="0DD47805" w14:textId="77777777" w:rsidR="008D6368" w:rsidRDefault="00137E6A" w:rsidP="00DB530A">
      <w:pPr>
        <w:pStyle w:val="3"/>
      </w:pPr>
      <w:r w:rsidRPr="004A42AC">
        <w:t>a. Languages of former Yugoslavia</w:t>
      </w:r>
    </w:p>
    <w:p w14:paraId="2B0D0513" w14:textId="77777777" w:rsidR="00137E6A" w:rsidRPr="004A42AC" w:rsidRDefault="00137E6A" w:rsidP="00137E6A">
      <w:r w:rsidRPr="004A42AC">
        <w:t xml:space="preserve">In the current states of the Balkans, Serbia, Croatia, Bosnia and Montenegro all speak versions of what used to be known as </w:t>
      </w:r>
      <w:proofErr w:type="spellStart"/>
      <w:r w:rsidRPr="004A42AC">
        <w:t>Serbo</w:t>
      </w:r>
      <w:proofErr w:type="spellEnd"/>
      <w:r w:rsidRPr="004A42AC">
        <w:t>-Croat. However, they call their languages (by the local word for) Serbian, Croat, Bosnian and Montenegrin respectively. Of these (for historical-religious reasons) Croat is written in Latin script, Serbian in Cyrillic, and both Bosnian and Montenegrin languages in either Latin or Cyrillic script. Therefore, ideally, the table should treat Bosnian and Montenegrin on a par. Hence add:</w:t>
      </w:r>
    </w:p>
    <w:tbl>
      <w:tblPr>
        <w:tblW w:w="8400" w:type="dxa"/>
        <w:tblCellMar>
          <w:left w:w="0" w:type="dxa"/>
          <w:right w:w="0" w:type="dxa"/>
        </w:tblCellMar>
        <w:tblLook w:val="04A0" w:firstRow="1" w:lastRow="0" w:firstColumn="1" w:lastColumn="0" w:noHBand="0" w:noVBand="1"/>
      </w:tblPr>
      <w:tblGrid>
        <w:gridCol w:w="1166"/>
        <w:gridCol w:w="1151"/>
        <w:gridCol w:w="1167"/>
        <w:gridCol w:w="3039"/>
        <w:gridCol w:w="1877"/>
      </w:tblGrid>
      <w:tr w:rsidR="00296533" w:rsidRPr="004A42AC" w14:paraId="3382C5D3" w14:textId="77777777" w:rsidTr="00296533">
        <w:trPr>
          <w:trHeight w:val="300"/>
        </w:trPr>
        <w:tc>
          <w:tcPr>
            <w:tcW w:w="1166" w:type="dxa"/>
            <w:tcBorders>
              <w:bottom w:val="single" w:sz="4" w:space="0" w:color="auto"/>
            </w:tcBorders>
            <w:vAlign w:val="center"/>
            <w:hideMark/>
          </w:tcPr>
          <w:p w14:paraId="2D8878A7" w14:textId="77777777" w:rsidR="00296533" w:rsidRPr="00DB530A" w:rsidRDefault="00296533" w:rsidP="00743636">
            <w:pPr>
              <w:pStyle w:val="a4"/>
              <w:rPr>
                <w:b/>
              </w:rPr>
            </w:pPr>
            <w:r w:rsidRPr="00DB530A">
              <w:rPr>
                <w:b/>
              </w:rPr>
              <w:t>639-3</w:t>
            </w:r>
          </w:p>
        </w:tc>
        <w:tc>
          <w:tcPr>
            <w:tcW w:w="1151" w:type="dxa"/>
            <w:tcBorders>
              <w:bottom w:val="single" w:sz="4" w:space="0" w:color="auto"/>
            </w:tcBorders>
            <w:vAlign w:val="center"/>
            <w:hideMark/>
          </w:tcPr>
          <w:p w14:paraId="678974D5" w14:textId="77777777" w:rsidR="00296533" w:rsidRPr="00DB530A" w:rsidRDefault="00296533" w:rsidP="00743636">
            <w:pPr>
              <w:pStyle w:val="a4"/>
              <w:rPr>
                <w:b/>
              </w:rPr>
            </w:pPr>
            <w:r w:rsidRPr="00DB530A">
              <w:rPr>
                <w:b/>
              </w:rPr>
              <w:t>639-1</w:t>
            </w:r>
          </w:p>
        </w:tc>
        <w:tc>
          <w:tcPr>
            <w:tcW w:w="1167" w:type="dxa"/>
            <w:tcBorders>
              <w:bottom w:val="single" w:sz="4" w:space="0" w:color="auto"/>
            </w:tcBorders>
            <w:vAlign w:val="center"/>
            <w:hideMark/>
          </w:tcPr>
          <w:p w14:paraId="1F540B3D" w14:textId="77777777" w:rsidR="00296533" w:rsidRPr="00DB530A" w:rsidRDefault="00296533" w:rsidP="00743636">
            <w:pPr>
              <w:pStyle w:val="a4"/>
              <w:rPr>
                <w:b/>
              </w:rPr>
            </w:pPr>
            <w:r w:rsidRPr="00DB530A">
              <w:rPr>
                <w:b/>
              </w:rPr>
              <w:t>639-2B</w:t>
            </w:r>
          </w:p>
        </w:tc>
        <w:tc>
          <w:tcPr>
            <w:tcW w:w="3039" w:type="dxa"/>
            <w:tcBorders>
              <w:bottom w:val="single" w:sz="4" w:space="0" w:color="auto"/>
            </w:tcBorders>
            <w:vAlign w:val="center"/>
            <w:hideMark/>
          </w:tcPr>
          <w:p w14:paraId="763FE04C" w14:textId="77777777" w:rsidR="00296533" w:rsidRPr="00DB530A" w:rsidRDefault="00296533" w:rsidP="00743636">
            <w:pPr>
              <w:pStyle w:val="a4"/>
              <w:rPr>
                <w:b/>
              </w:rPr>
            </w:pPr>
            <w:r w:rsidRPr="00DB530A">
              <w:rPr>
                <w:b/>
              </w:rPr>
              <w:t>Native</w:t>
            </w:r>
          </w:p>
        </w:tc>
        <w:tc>
          <w:tcPr>
            <w:tcW w:w="1877" w:type="dxa"/>
            <w:tcBorders>
              <w:bottom w:val="single" w:sz="4" w:space="0" w:color="auto"/>
            </w:tcBorders>
            <w:vAlign w:val="center"/>
            <w:hideMark/>
          </w:tcPr>
          <w:p w14:paraId="0B8CCC35" w14:textId="77777777" w:rsidR="00296533" w:rsidRPr="00DB530A" w:rsidRDefault="00296533" w:rsidP="00743636">
            <w:pPr>
              <w:pStyle w:val="a4"/>
              <w:rPr>
                <w:b/>
              </w:rPr>
            </w:pPr>
            <w:r w:rsidRPr="00DB530A">
              <w:rPr>
                <w:b/>
              </w:rPr>
              <w:t>English</w:t>
            </w:r>
          </w:p>
        </w:tc>
      </w:tr>
      <w:tr w:rsidR="00137E6A" w:rsidRPr="004A42AC" w14:paraId="46DCB4E2" w14:textId="77777777" w:rsidTr="00296533">
        <w:trPr>
          <w:trHeight w:val="300"/>
        </w:trPr>
        <w:tc>
          <w:tcPr>
            <w:tcW w:w="1166" w:type="dxa"/>
            <w:tcBorders>
              <w:top w:val="single" w:sz="4" w:space="0" w:color="auto"/>
            </w:tcBorders>
            <w:vAlign w:val="center"/>
            <w:hideMark/>
          </w:tcPr>
          <w:p w14:paraId="3AEC0ED0" w14:textId="77777777" w:rsidR="00137E6A" w:rsidRPr="004A42AC" w:rsidRDefault="00137E6A" w:rsidP="00743636">
            <w:pPr>
              <w:pStyle w:val="a4"/>
            </w:pPr>
            <w:proofErr w:type="spellStart"/>
            <w:r w:rsidRPr="004A42AC">
              <w:t>bos</w:t>
            </w:r>
            <w:proofErr w:type="spellEnd"/>
          </w:p>
        </w:tc>
        <w:tc>
          <w:tcPr>
            <w:tcW w:w="1151" w:type="dxa"/>
            <w:tcBorders>
              <w:top w:val="single" w:sz="4" w:space="0" w:color="auto"/>
            </w:tcBorders>
            <w:vAlign w:val="center"/>
            <w:hideMark/>
          </w:tcPr>
          <w:p w14:paraId="0D010F44" w14:textId="77777777" w:rsidR="00137E6A" w:rsidRPr="004A42AC" w:rsidRDefault="00137E6A" w:rsidP="00743636">
            <w:pPr>
              <w:pStyle w:val="a4"/>
            </w:pPr>
            <w:proofErr w:type="spellStart"/>
            <w:r w:rsidRPr="004A42AC">
              <w:t>bs</w:t>
            </w:r>
            <w:proofErr w:type="spellEnd"/>
          </w:p>
        </w:tc>
        <w:tc>
          <w:tcPr>
            <w:tcW w:w="1167" w:type="dxa"/>
            <w:tcBorders>
              <w:top w:val="single" w:sz="4" w:space="0" w:color="auto"/>
            </w:tcBorders>
            <w:vAlign w:val="center"/>
            <w:hideMark/>
          </w:tcPr>
          <w:p w14:paraId="7CB3650A" w14:textId="77777777" w:rsidR="00137E6A" w:rsidRPr="004A42AC" w:rsidRDefault="00137E6A" w:rsidP="00743636">
            <w:pPr>
              <w:pStyle w:val="a4"/>
            </w:pPr>
            <w:proofErr w:type="spellStart"/>
            <w:r w:rsidRPr="004A42AC">
              <w:t>bos</w:t>
            </w:r>
            <w:proofErr w:type="spellEnd"/>
          </w:p>
        </w:tc>
        <w:tc>
          <w:tcPr>
            <w:tcW w:w="3039" w:type="dxa"/>
            <w:tcBorders>
              <w:top w:val="single" w:sz="4" w:space="0" w:color="auto"/>
            </w:tcBorders>
            <w:vAlign w:val="center"/>
            <w:hideMark/>
          </w:tcPr>
          <w:p w14:paraId="09381976" w14:textId="77777777" w:rsidR="00137E6A" w:rsidRPr="004A42AC" w:rsidRDefault="00137E6A" w:rsidP="00743636">
            <w:pPr>
              <w:pStyle w:val="a4"/>
            </w:pPr>
            <w:proofErr w:type="spellStart"/>
            <w:r w:rsidRPr="004A42AC">
              <w:t>Босански</w:t>
            </w:r>
            <w:proofErr w:type="spellEnd"/>
            <w:r w:rsidRPr="004A42AC">
              <w:t xml:space="preserve"> </w:t>
            </w:r>
          </w:p>
        </w:tc>
        <w:tc>
          <w:tcPr>
            <w:tcW w:w="1877" w:type="dxa"/>
            <w:tcBorders>
              <w:top w:val="single" w:sz="4" w:space="0" w:color="auto"/>
            </w:tcBorders>
            <w:vAlign w:val="center"/>
            <w:hideMark/>
          </w:tcPr>
          <w:p w14:paraId="48357BD7" w14:textId="77777777" w:rsidR="00137E6A" w:rsidRPr="004A42AC" w:rsidRDefault="00137E6A" w:rsidP="00743636">
            <w:pPr>
              <w:pStyle w:val="a4"/>
            </w:pPr>
            <w:r w:rsidRPr="004A42AC">
              <w:t>Bosnian</w:t>
            </w:r>
          </w:p>
        </w:tc>
      </w:tr>
    </w:tbl>
    <w:p w14:paraId="1C140A69" w14:textId="77777777" w:rsidR="00137E6A" w:rsidRDefault="00137E6A" w:rsidP="00137E6A"/>
    <w:p w14:paraId="47E01C7C" w14:textId="77777777" w:rsidR="00137E6A" w:rsidRDefault="00137E6A" w:rsidP="00137E6A">
      <w:r w:rsidRPr="004A42AC">
        <w:lastRenderedPageBreak/>
        <w:t xml:space="preserve">Unfortunately, </w:t>
      </w:r>
      <w:r w:rsidR="00010A8F">
        <w:t xml:space="preserve">as currently recognized politically, </w:t>
      </w:r>
      <w:r w:rsidRPr="004A42AC">
        <w:t>there is no equivalent for Montenegrin. Hence</w:t>
      </w:r>
      <w:r w:rsidR="00010A8F">
        <w:t xml:space="preserve"> we read:</w:t>
      </w:r>
    </w:p>
    <w:p w14:paraId="7BB19FAE" w14:textId="77777777" w:rsidR="0079320D" w:rsidRDefault="009F083A">
      <w:pPr>
        <w:ind w:left="720"/>
      </w:pPr>
      <w:proofErr w:type="spellStart"/>
      <w:r>
        <w:t>i</w:t>
      </w:r>
      <w:proofErr w:type="spellEnd"/>
      <w:r w:rsidR="00010A8F">
        <w:t xml:space="preserve">. </w:t>
      </w:r>
      <w:r w:rsidR="00137E6A" w:rsidRPr="004A42AC">
        <w:t>Re ISO:</w:t>
      </w:r>
    </w:p>
    <w:p w14:paraId="6847BFDC" w14:textId="77777777" w:rsidR="0079320D" w:rsidRDefault="00137E6A">
      <w:pPr>
        <w:ind w:left="720"/>
      </w:pPr>
      <w:r w:rsidRPr="004A42AC">
        <w:t xml:space="preserve">The International Standardization Organization has officially voted and rejected Montenegro's request to add a specific coding for the "Montenegrin language". Its Working Group has noted that </w:t>
      </w:r>
      <w:proofErr w:type="spellStart"/>
      <w:r w:rsidRPr="004A42AC">
        <w:t>srp</w:t>
      </w:r>
      <w:proofErr w:type="spellEnd"/>
      <w:r w:rsidRPr="004A42AC">
        <w:t xml:space="preserve"> will be used for literature written in Montenegrin, for the Library of Congress, there is no Montenegrin language as separate from Serbian.</w:t>
      </w:r>
    </w:p>
    <w:p w14:paraId="23983942" w14:textId="77777777" w:rsidR="0079320D" w:rsidRDefault="009F083A">
      <w:pPr>
        <w:ind w:left="720"/>
      </w:pPr>
      <w:r>
        <w:t>ii</w:t>
      </w:r>
      <w:r w:rsidR="00010A8F">
        <w:t xml:space="preserve">. In </w:t>
      </w:r>
      <w:r w:rsidR="00137E6A" w:rsidRPr="004A42AC">
        <w:t>Wikipedia:</w:t>
      </w:r>
    </w:p>
    <w:p w14:paraId="21D966C1" w14:textId="77777777" w:rsidR="0079320D" w:rsidRDefault="00137E6A">
      <w:pPr>
        <w:ind w:left="720"/>
      </w:pPr>
      <w:r w:rsidRPr="004A42AC">
        <w:t>There is no ISO-639 language code for Montenegrin, which is a strict requirement for eligibility. —</w:t>
      </w:r>
      <w:proofErr w:type="spellStart"/>
      <w:r w:rsidRPr="004A42AC">
        <w:t>Pathoschild</w:t>
      </w:r>
      <w:proofErr w:type="spellEnd"/>
      <w:r w:rsidRPr="004A42AC">
        <w:t xml:space="preserve"> 14:29:14, 16 December 2010 (UTC)</w:t>
      </w:r>
    </w:p>
    <w:p w14:paraId="2C47C26C" w14:textId="77777777" w:rsidR="00296533" w:rsidRPr="004A42AC" w:rsidRDefault="00137E6A" w:rsidP="00296533">
      <w:r w:rsidRPr="004A42AC">
        <w:t>To avoid confusion, it would be best to retain the 5th-from-bottom row as is (re the codes) but adjust the nam</w:t>
      </w:r>
      <w:r w:rsidR="00296533" w:rsidRPr="004A42AC">
        <w:t>es:</w:t>
      </w:r>
    </w:p>
    <w:p w14:paraId="57FA6793" w14:textId="77777777" w:rsidR="00296533" w:rsidRPr="004A42AC" w:rsidRDefault="00296533" w:rsidP="00137E6A"/>
    <w:tbl>
      <w:tblPr>
        <w:tblW w:w="8400" w:type="dxa"/>
        <w:tblCellMar>
          <w:left w:w="0" w:type="dxa"/>
          <w:right w:w="0" w:type="dxa"/>
        </w:tblCellMar>
        <w:tblLook w:val="04A0" w:firstRow="1" w:lastRow="0" w:firstColumn="1" w:lastColumn="0" w:noHBand="0" w:noVBand="1"/>
      </w:tblPr>
      <w:tblGrid>
        <w:gridCol w:w="1149"/>
        <w:gridCol w:w="17"/>
        <w:gridCol w:w="1114"/>
        <w:gridCol w:w="37"/>
        <w:gridCol w:w="1111"/>
        <w:gridCol w:w="56"/>
        <w:gridCol w:w="2987"/>
        <w:gridCol w:w="52"/>
        <w:gridCol w:w="1877"/>
      </w:tblGrid>
      <w:tr w:rsidR="00296533" w:rsidRPr="004A42AC" w14:paraId="06321641" w14:textId="77777777" w:rsidTr="00296533">
        <w:trPr>
          <w:trHeight w:val="300"/>
        </w:trPr>
        <w:tc>
          <w:tcPr>
            <w:tcW w:w="1166" w:type="dxa"/>
            <w:gridSpan w:val="2"/>
            <w:tcBorders>
              <w:bottom w:val="single" w:sz="4" w:space="0" w:color="auto"/>
            </w:tcBorders>
            <w:vAlign w:val="center"/>
            <w:hideMark/>
          </w:tcPr>
          <w:p w14:paraId="3C64510A" w14:textId="77777777" w:rsidR="00296533" w:rsidRPr="00DB530A" w:rsidRDefault="00296533" w:rsidP="00743636">
            <w:pPr>
              <w:pStyle w:val="a4"/>
              <w:rPr>
                <w:b/>
              </w:rPr>
            </w:pPr>
            <w:r w:rsidRPr="00DB530A">
              <w:rPr>
                <w:b/>
              </w:rPr>
              <w:t>639-3</w:t>
            </w:r>
          </w:p>
        </w:tc>
        <w:tc>
          <w:tcPr>
            <w:tcW w:w="1151" w:type="dxa"/>
            <w:gridSpan w:val="2"/>
            <w:tcBorders>
              <w:bottom w:val="single" w:sz="4" w:space="0" w:color="auto"/>
            </w:tcBorders>
            <w:vAlign w:val="center"/>
            <w:hideMark/>
          </w:tcPr>
          <w:p w14:paraId="6F85AFEA" w14:textId="77777777" w:rsidR="00296533" w:rsidRPr="00DB530A" w:rsidRDefault="00296533" w:rsidP="00743636">
            <w:pPr>
              <w:pStyle w:val="a4"/>
              <w:rPr>
                <w:b/>
              </w:rPr>
            </w:pPr>
            <w:r w:rsidRPr="00DB530A">
              <w:rPr>
                <w:b/>
              </w:rPr>
              <w:t>639-1</w:t>
            </w:r>
          </w:p>
        </w:tc>
        <w:tc>
          <w:tcPr>
            <w:tcW w:w="1167" w:type="dxa"/>
            <w:gridSpan w:val="2"/>
            <w:tcBorders>
              <w:bottom w:val="single" w:sz="4" w:space="0" w:color="auto"/>
            </w:tcBorders>
            <w:vAlign w:val="center"/>
            <w:hideMark/>
          </w:tcPr>
          <w:p w14:paraId="76BAA88E" w14:textId="77777777" w:rsidR="00296533" w:rsidRPr="00DB530A" w:rsidRDefault="00296533" w:rsidP="00743636">
            <w:pPr>
              <w:pStyle w:val="a4"/>
              <w:rPr>
                <w:b/>
              </w:rPr>
            </w:pPr>
            <w:r w:rsidRPr="00DB530A">
              <w:rPr>
                <w:b/>
              </w:rPr>
              <w:t>639-2B</w:t>
            </w:r>
          </w:p>
        </w:tc>
        <w:tc>
          <w:tcPr>
            <w:tcW w:w="3039" w:type="dxa"/>
            <w:gridSpan w:val="2"/>
            <w:tcBorders>
              <w:bottom w:val="single" w:sz="4" w:space="0" w:color="auto"/>
            </w:tcBorders>
            <w:vAlign w:val="center"/>
            <w:hideMark/>
          </w:tcPr>
          <w:p w14:paraId="71E135DC" w14:textId="77777777" w:rsidR="00296533" w:rsidRPr="00DB530A" w:rsidRDefault="00296533" w:rsidP="00743636">
            <w:pPr>
              <w:pStyle w:val="a4"/>
              <w:rPr>
                <w:b/>
              </w:rPr>
            </w:pPr>
            <w:r w:rsidRPr="00DB530A">
              <w:rPr>
                <w:b/>
              </w:rPr>
              <w:t>Native</w:t>
            </w:r>
          </w:p>
        </w:tc>
        <w:tc>
          <w:tcPr>
            <w:tcW w:w="1877" w:type="dxa"/>
            <w:tcBorders>
              <w:bottom w:val="single" w:sz="4" w:space="0" w:color="auto"/>
            </w:tcBorders>
            <w:vAlign w:val="center"/>
            <w:hideMark/>
          </w:tcPr>
          <w:p w14:paraId="67DC36E0" w14:textId="77777777" w:rsidR="00296533" w:rsidRPr="00DB530A" w:rsidRDefault="00296533" w:rsidP="00743636">
            <w:pPr>
              <w:pStyle w:val="a4"/>
              <w:rPr>
                <w:b/>
              </w:rPr>
            </w:pPr>
            <w:r w:rsidRPr="00DB530A">
              <w:rPr>
                <w:b/>
              </w:rPr>
              <w:t>English</w:t>
            </w:r>
          </w:p>
        </w:tc>
      </w:tr>
      <w:tr w:rsidR="00137E6A" w:rsidRPr="004A42AC" w14:paraId="33E3195D" w14:textId="77777777" w:rsidTr="00296533">
        <w:trPr>
          <w:trHeight w:val="300"/>
        </w:trPr>
        <w:tc>
          <w:tcPr>
            <w:tcW w:w="1149" w:type="dxa"/>
            <w:tcBorders>
              <w:top w:val="single" w:sz="4" w:space="0" w:color="auto"/>
            </w:tcBorders>
            <w:vAlign w:val="center"/>
            <w:hideMark/>
          </w:tcPr>
          <w:p w14:paraId="4A8C7E26" w14:textId="77777777" w:rsidR="00137E6A" w:rsidRPr="004A42AC" w:rsidRDefault="00137E6A" w:rsidP="00743636">
            <w:pPr>
              <w:pStyle w:val="a4"/>
            </w:pPr>
            <w:proofErr w:type="spellStart"/>
            <w:r w:rsidRPr="004A42AC">
              <w:t>srp</w:t>
            </w:r>
            <w:proofErr w:type="spellEnd"/>
          </w:p>
        </w:tc>
        <w:tc>
          <w:tcPr>
            <w:tcW w:w="1131" w:type="dxa"/>
            <w:gridSpan w:val="2"/>
            <w:tcBorders>
              <w:top w:val="single" w:sz="4" w:space="0" w:color="auto"/>
            </w:tcBorders>
            <w:vAlign w:val="center"/>
            <w:hideMark/>
          </w:tcPr>
          <w:p w14:paraId="0AD05D09" w14:textId="77777777" w:rsidR="00137E6A" w:rsidRPr="004A42AC" w:rsidRDefault="00137E6A" w:rsidP="00743636">
            <w:pPr>
              <w:pStyle w:val="a4"/>
            </w:pPr>
            <w:proofErr w:type="spellStart"/>
            <w:r w:rsidRPr="004A42AC">
              <w:t>sr</w:t>
            </w:r>
            <w:proofErr w:type="spellEnd"/>
          </w:p>
        </w:tc>
        <w:tc>
          <w:tcPr>
            <w:tcW w:w="1148" w:type="dxa"/>
            <w:gridSpan w:val="2"/>
            <w:tcBorders>
              <w:top w:val="single" w:sz="4" w:space="0" w:color="auto"/>
            </w:tcBorders>
            <w:vAlign w:val="center"/>
            <w:hideMark/>
          </w:tcPr>
          <w:p w14:paraId="768DE4F4" w14:textId="77777777" w:rsidR="00137E6A" w:rsidRPr="004A42AC" w:rsidRDefault="00137E6A" w:rsidP="00743636">
            <w:pPr>
              <w:pStyle w:val="a4"/>
            </w:pPr>
            <w:proofErr w:type="spellStart"/>
            <w:r w:rsidRPr="004A42AC">
              <w:t>srp</w:t>
            </w:r>
            <w:proofErr w:type="spellEnd"/>
          </w:p>
        </w:tc>
        <w:tc>
          <w:tcPr>
            <w:tcW w:w="3043" w:type="dxa"/>
            <w:gridSpan w:val="2"/>
            <w:tcBorders>
              <w:top w:val="single" w:sz="4" w:space="0" w:color="auto"/>
            </w:tcBorders>
            <w:vAlign w:val="center"/>
            <w:hideMark/>
          </w:tcPr>
          <w:p w14:paraId="3C9557CE" w14:textId="77777777" w:rsidR="00137E6A" w:rsidRPr="004A42AC" w:rsidRDefault="00137E6A" w:rsidP="00743636">
            <w:pPr>
              <w:pStyle w:val="a4"/>
            </w:pPr>
            <w:proofErr w:type="spellStart"/>
            <w:r w:rsidRPr="004A42AC">
              <w:t>Црногорски</w:t>
            </w:r>
            <w:proofErr w:type="spellEnd"/>
            <w:r w:rsidRPr="004A42AC">
              <w:t xml:space="preserve"> </w:t>
            </w:r>
          </w:p>
        </w:tc>
        <w:tc>
          <w:tcPr>
            <w:tcW w:w="1929" w:type="dxa"/>
            <w:gridSpan w:val="2"/>
            <w:tcBorders>
              <w:top w:val="single" w:sz="4" w:space="0" w:color="auto"/>
            </w:tcBorders>
            <w:vAlign w:val="center"/>
            <w:hideMark/>
          </w:tcPr>
          <w:p w14:paraId="48565AB8" w14:textId="77777777" w:rsidR="00137E6A" w:rsidRPr="004A42AC" w:rsidRDefault="00137E6A" w:rsidP="00743636">
            <w:pPr>
              <w:pStyle w:val="a4"/>
            </w:pPr>
            <w:r w:rsidRPr="004A42AC">
              <w:t>Montenegrin</w:t>
            </w:r>
          </w:p>
        </w:tc>
      </w:tr>
    </w:tbl>
    <w:p w14:paraId="2A50DA6E" w14:textId="77777777" w:rsidR="00137E6A" w:rsidRDefault="00137E6A" w:rsidP="00137E6A"/>
    <w:p w14:paraId="7AD87909" w14:textId="77777777" w:rsidR="008D6368" w:rsidRDefault="00137E6A" w:rsidP="00137E6A">
      <w:r w:rsidRPr="004A42AC">
        <w:t>(Note: All the other "native" names are language names given in Cyrillic; and "Montenegrin" is the language name, NOT, as currently written, "Montenegro").</w:t>
      </w:r>
    </w:p>
    <w:p w14:paraId="5DA84E9F" w14:textId="77777777" w:rsidR="008D6368" w:rsidRDefault="00137E6A" w:rsidP="00137E6A">
      <w:bookmarkStart w:id="11" w:name="OLE_LINK6"/>
      <w:bookmarkStart w:id="12" w:name="OLE_LINK7"/>
      <w:r w:rsidRPr="004A42AC">
        <w:t>In practice, neither Bosnian nor Montenegrin add letters to Serbian's repertoire of Cyrillic</w:t>
      </w:r>
      <w:bookmarkStart w:id="13" w:name="OLE_LINK4"/>
      <w:bookmarkStart w:id="14" w:name="OLE_LINK5"/>
      <w:bookmarkEnd w:id="11"/>
      <w:bookmarkEnd w:id="12"/>
      <w:r w:rsidR="009E4BF0">
        <w:t>. However,</w:t>
      </w:r>
      <w:r w:rsidR="009E4BF0" w:rsidRPr="004A42AC">
        <w:t xml:space="preserve"> </w:t>
      </w:r>
      <w:r w:rsidRPr="004A42AC">
        <w:t>if</w:t>
      </w:r>
      <w:r w:rsidR="009E4BF0">
        <w:t xml:space="preserve"> the</w:t>
      </w:r>
      <w:r w:rsidR="00010A8F">
        <w:t xml:space="preserve"> aim is to</w:t>
      </w:r>
      <w:r w:rsidRPr="004A42AC">
        <w:t xml:space="preserve"> list "languages that use the script", </w:t>
      </w:r>
      <w:r w:rsidR="00010A8F">
        <w:t>(</w:t>
      </w:r>
      <w:r w:rsidRPr="004A42AC">
        <w:t xml:space="preserve">as </w:t>
      </w:r>
      <w:r w:rsidR="00010A8F">
        <w:t>is reasonable)</w:t>
      </w:r>
      <w:r w:rsidRPr="004A42AC">
        <w:t xml:space="preserve"> </w:t>
      </w:r>
      <w:r w:rsidR="00C66BA9">
        <w:t>one</w:t>
      </w:r>
      <w:r w:rsidR="00C66BA9" w:rsidRPr="004A42AC">
        <w:t xml:space="preserve"> </w:t>
      </w:r>
      <w:r w:rsidRPr="004A42AC">
        <w:t>still need</w:t>
      </w:r>
      <w:r w:rsidR="00C66BA9">
        <w:t>s</w:t>
      </w:r>
      <w:r w:rsidRPr="004A42AC">
        <w:t xml:space="preserve"> to distinguish them for political reasons. </w:t>
      </w:r>
      <w:r w:rsidR="009E4BF0">
        <w:t xml:space="preserve">In any case, it should not </w:t>
      </w:r>
      <w:r w:rsidRPr="004A42AC">
        <w:t xml:space="preserve">include the historic (10th to 20th century) "Bosnian Cyrillic alphabet", which is different, but obsolete. (See e.g. </w:t>
      </w:r>
      <w:hyperlink r:id="rId68" w:history="1">
        <w:r w:rsidRPr="004A42AC">
          <w:t>http://www.omniglot.com/writing/bosnian.htm</w:t>
        </w:r>
      </w:hyperlink>
      <w:r w:rsidRPr="004A42AC">
        <w:t>)</w:t>
      </w:r>
      <w:bookmarkEnd w:id="13"/>
      <w:bookmarkEnd w:id="14"/>
    </w:p>
    <w:p w14:paraId="1CDD0973" w14:textId="77777777" w:rsidR="008D6368" w:rsidRDefault="00137E6A" w:rsidP="00DB530A">
      <w:pPr>
        <w:pStyle w:val="3"/>
      </w:pPr>
      <w:r w:rsidRPr="004A42AC">
        <w:t>b. Languages of the Russian Federation</w:t>
      </w:r>
    </w:p>
    <w:p w14:paraId="66C03287" w14:textId="77777777" w:rsidR="008D6368" w:rsidRDefault="00137E6A" w:rsidP="00137E6A">
      <w:r w:rsidRPr="004A42AC">
        <w:t>The table also needs to add the following rows, reflecting active written languages of Russia, written in Cyrillic:</w:t>
      </w:r>
    </w:p>
    <w:p w14:paraId="765F5642" w14:textId="77777777" w:rsidR="00137E6A" w:rsidRPr="004A42AC" w:rsidRDefault="00137E6A" w:rsidP="00137E6A">
      <w:r w:rsidRPr="004A42AC">
        <w:t>(</w:t>
      </w:r>
      <w:proofErr w:type="spellStart"/>
      <w:r w:rsidRPr="004A42AC">
        <w:t>Cf</w:t>
      </w:r>
      <w:proofErr w:type="spellEnd"/>
      <w:r w:rsidRPr="004A42AC">
        <w:t xml:space="preserve"> </w:t>
      </w:r>
      <w:hyperlink r:id="rId69" w:history="1">
        <w:r w:rsidRPr="004A42AC">
          <w:t>http://www.ethnologue.com/country/RU/status</w:t>
        </w:r>
      </w:hyperlink>
      <w:r w:rsidRPr="004A42AC">
        <w:t>)</w:t>
      </w:r>
    </w:p>
    <w:tbl>
      <w:tblPr>
        <w:tblW w:w="9340" w:type="dxa"/>
        <w:tblBorders>
          <w:bottom w:val="single" w:sz="4" w:space="0" w:color="auto"/>
        </w:tblBorders>
        <w:tblCellMar>
          <w:left w:w="0" w:type="dxa"/>
          <w:right w:w="0" w:type="dxa"/>
        </w:tblCellMar>
        <w:tblLook w:val="04A0" w:firstRow="1" w:lastRow="0" w:firstColumn="1" w:lastColumn="0" w:noHBand="0" w:noVBand="1"/>
      </w:tblPr>
      <w:tblGrid>
        <w:gridCol w:w="1300"/>
        <w:gridCol w:w="1300"/>
        <w:gridCol w:w="1300"/>
        <w:gridCol w:w="3380"/>
        <w:gridCol w:w="2060"/>
      </w:tblGrid>
      <w:tr w:rsidR="00137E6A" w:rsidRPr="00DB530A" w14:paraId="702DB6BD" w14:textId="77777777" w:rsidTr="00DB530A">
        <w:trPr>
          <w:trHeight w:val="300"/>
        </w:trPr>
        <w:tc>
          <w:tcPr>
            <w:tcW w:w="1300" w:type="dxa"/>
            <w:vAlign w:val="center"/>
            <w:hideMark/>
          </w:tcPr>
          <w:p w14:paraId="427D0D6D" w14:textId="77777777" w:rsidR="00137E6A" w:rsidRPr="00DB530A" w:rsidRDefault="00137E6A" w:rsidP="00743636">
            <w:pPr>
              <w:pStyle w:val="a4"/>
              <w:rPr>
                <w:b/>
              </w:rPr>
            </w:pPr>
            <w:r w:rsidRPr="00DB530A">
              <w:rPr>
                <w:b/>
              </w:rPr>
              <w:t>639-3</w:t>
            </w:r>
          </w:p>
        </w:tc>
        <w:tc>
          <w:tcPr>
            <w:tcW w:w="1300" w:type="dxa"/>
            <w:vAlign w:val="center"/>
            <w:hideMark/>
          </w:tcPr>
          <w:p w14:paraId="5278D45B" w14:textId="77777777" w:rsidR="00137E6A" w:rsidRPr="00DB530A" w:rsidRDefault="00137E6A" w:rsidP="00743636">
            <w:pPr>
              <w:pStyle w:val="a4"/>
              <w:rPr>
                <w:b/>
              </w:rPr>
            </w:pPr>
            <w:r w:rsidRPr="00DB530A">
              <w:rPr>
                <w:b/>
              </w:rPr>
              <w:t>639-1</w:t>
            </w:r>
          </w:p>
        </w:tc>
        <w:tc>
          <w:tcPr>
            <w:tcW w:w="1300" w:type="dxa"/>
            <w:vAlign w:val="center"/>
            <w:hideMark/>
          </w:tcPr>
          <w:p w14:paraId="00778506" w14:textId="77777777" w:rsidR="00137E6A" w:rsidRPr="00DB530A" w:rsidRDefault="00137E6A" w:rsidP="00743636">
            <w:pPr>
              <w:pStyle w:val="a4"/>
              <w:rPr>
                <w:b/>
              </w:rPr>
            </w:pPr>
            <w:r w:rsidRPr="00DB530A">
              <w:rPr>
                <w:b/>
              </w:rPr>
              <w:t>639-2B</w:t>
            </w:r>
          </w:p>
        </w:tc>
        <w:tc>
          <w:tcPr>
            <w:tcW w:w="3380" w:type="dxa"/>
            <w:vAlign w:val="center"/>
            <w:hideMark/>
          </w:tcPr>
          <w:p w14:paraId="0436E21E" w14:textId="77777777" w:rsidR="00137E6A" w:rsidRPr="00DB530A" w:rsidRDefault="00137E6A" w:rsidP="00743636">
            <w:pPr>
              <w:pStyle w:val="a4"/>
              <w:rPr>
                <w:b/>
              </w:rPr>
            </w:pPr>
            <w:r w:rsidRPr="00DB530A">
              <w:rPr>
                <w:b/>
              </w:rPr>
              <w:t>Native</w:t>
            </w:r>
          </w:p>
        </w:tc>
        <w:tc>
          <w:tcPr>
            <w:tcW w:w="2060" w:type="dxa"/>
            <w:vAlign w:val="center"/>
            <w:hideMark/>
          </w:tcPr>
          <w:p w14:paraId="488D4F72" w14:textId="77777777" w:rsidR="00137E6A" w:rsidRPr="00DB530A" w:rsidRDefault="00137E6A" w:rsidP="00743636">
            <w:pPr>
              <w:pStyle w:val="a4"/>
              <w:rPr>
                <w:b/>
              </w:rPr>
            </w:pPr>
            <w:r w:rsidRPr="00DB530A">
              <w:rPr>
                <w:b/>
              </w:rPr>
              <w:t>English</w:t>
            </w:r>
          </w:p>
        </w:tc>
      </w:tr>
    </w:tbl>
    <w:p w14:paraId="24C867F3" w14:textId="77777777" w:rsidR="00137E6A" w:rsidRDefault="00137E6A" w:rsidP="00137E6A">
      <w:pPr>
        <w:pStyle w:val="a4"/>
      </w:pPr>
    </w:p>
    <w:p w14:paraId="37488F59" w14:textId="77777777" w:rsidR="00137E6A" w:rsidRPr="00DB530A" w:rsidRDefault="00DB530A" w:rsidP="00137E6A">
      <w:pPr>
        <w:pStyle w:val="a4"/>
        <w:rPr>
          <w:b/>
          <w:i/>
        </w:rPr>
      </w:pPr>
      <w:commentRangeStart w:id="15"/>
      <w:r w:rsidRPr="00DB530A">
        <w:rPr>
          <w:b/>
          <w:i/>
        </w:rPr>
        <w:t>EGI</w:t>
      </w:r>
      <w:r w:rsidR="00BC1CC5">
        <w:rPr>
          <w:b/>
          <w:i/>
        </w:rPr>
        <w:t>D</w:t>
      </w:r>
      <w:r w:rsidRPr="00DB530A">
        <w:rPr>
          <w:b/>
          <w:i/>
        </w:rPr>
        <w:t>S level</w:t>
      </w:r>
      <w:r w:rsidR="00137E6A" w:rsidRPr="00DB530A">
        <w:rPr>
          <w:b/>
          <w:i/>
        </w:rPr>
        <w:t xml:space="preserve"> 2 (Provincial)</w:t>
      </w:r>
    </w:p>
    <w:tbl>
      <w:tblPr>
        <w:tblW w:w="9340" w:type="dxa"/>
        <w:tblCellMar>
          <w:left w:w="0" w:type="dxa"/>
          <w:right w:w="0" w:type="dxa"/>
        </w:tblCellMar>
        <w:tblLook w:val="04A0" w:firstRow="1" w:lastRow="0" w:firstColumn="1" w:lastColumn="0" w:noHBand="0" w:noVBand="1"/>
      </w:tblPr>
      <w:tblGrid>
        <w:gridCol w:w="1300"/>
        <w:gridCol w:w="1300"/>
        <w:gridCol w:w="1300"/>
        <w:gridCol w:w="3380"/>
        <w:gridCol w:w="2060"/>
      </w:tblGrid>
      <w:tr w:rsidR="00137E6A" w:rsidRPr="004A42AC" w14:paraId="1A01DAA7" w14:textId="77777777" w:rsidTr="00743636">
        <w:trPr>
          <w:trHeight w:val="340"/>
        </w:trPr>
        <w:tc>
          <w:tcPr>
            <w:tcW w:w="1300" w:type="dxa"/>
            <w:vAlign w:val="center"/>
            <w:hideMark/>
          </w:tcPr>
          <w:p w14:paraId="75B01A67" w14:textId="77777777" w:rsidR="00137E6A" w:rsidRPr="00296533" w:rsidRDefault="00137E6A" w:rsidP="00743636">
            <w:pPr>
              <w:pStyle w:val="a4"/>
              <w:rPr>
                <w:b/>
              </w:rPr>
            </w:pPr>
            <w:proofErr w:type="spellStart"/>
            <w:r w:rsidRPr="00296533">
              <w:rPr>
                <w:b/>
              </w:rPr>
              <w:t>ady</w:t>
            </w:r>
            <w:proofErr w:type="spellEnd"/>
          </w:p>
        </w:tc>
        <w:tc>
          <w:tcPr>
            <w:tcW w:w="1300" w:type="dxa"/>
            <w:vAlign w:val="center"/>
            <w:hideMark/>
          </w:tcPr>
          <w:p w14:paraId="7FF1CFC9" w14:textId="77777777" w:rsidR="00137E6A" w:rsidRPr="004A42AC" w:rsidRDefault="00137E6A" w:rsidP="00743636">
            <w:pPr>
              <w:pStyle w:val="a4"/>
            </w:pPr>
          </w:p>
        </w:tc>
        <w:tc>
          <w:tcPr>
            <w:tcW w:w="1300" w:type="dxa"/>
            <w:vAlign w:val="center"/>
            <w:hideMark/>
          </w:tcPr>
          <w:p w14:paraId="7ABD4149" w14:textId="77777777" w:rsidR="00137E6A" w:rsidRPr="004A42AC" w:rsidRDefault="00137E6A" w:rsidP="00743636">
            <w:pPr>
              <w:pStyle w:val="a4"/>
            </w:pPr>
            <w:proofErr w:type="spellStart"/>
            <w:r w:rsidRPr="004A42AC">
              <w:t>ady</w:t>
            </w:r>
            <w:proofErr w:type="spellEnd"/>
          </w:p>
        </w:tc>
        <w:tc>
          <w:tcPr>
            <w:tcW w:w="3380" w:type="dxa"/>
            <w:vAlign w:val="center"/>
            <w:hideMark/>
          </w:tcPr>
          <w:p w14:paraId="497E83AE" w14:textId="77777777" w:rsidR="00137E6A" w:rsidRPr="004A42AC" w:rsidRDefault="00137E6A" w:rsidP="00743636">
            <w:pPr>
              <w:pStyle w:val="a4"/>
            </w:pPr>
            <w:proofErr w:type="spellStart"/>
            <w:r w:rsidRPr="004A42AC">
              <w:t>Адыгaбзэ</w:t>
            </w:r>
            <w:proofErr w:type="spellEnd"/>
          </w:p>
        </w:tc>
        <w:tc>
          <w:tcPr>
            <w:tcW w:w="2060" w:type="dxa"/>
            <w:vAlign w:val="center"/>
            <w:hideMark/>
          </w:tcPr>
          <w:p w14:paraId="158E9549" w14:textId="77777777" w:rsidR="00137E6A" w:rsidRPr="004A42AC" w:rsidRDefault="00137E6A" w:rsidP="00743636">
            <w:pPr>
              <w:pStyle w:val="a4"/>
            </w:pPr>
            <w:proofErr w:type="spellStart"/>
            <w:r w:rsidRPr="004A42AC">
              <w:t>Adyghe</w:t>
            </w:r>
            <w:proofErr w:type="spellEnd"/>
          </w:p>
        </w:tc>
      </w:tr>
      <w:tr w:rsidR="00137E6A" w:rsidRPr="004A42AC" w14:paraId="2868DA16" w14:textId="77777777" w:rsidTr="00743636">
        <w:trPr>
          <w:trHeight w:val="340"/>
        </w:trPr>
        <w:tc>
          <w:tcPr>
            <w:tcW w:w="1300" w:type="dxa"/>
            <w:vAlign w:val="center"/>
            <w:hideMark/>
          </w:tcPr>
          <w:p w14:paraId="542DF6EF" w14:textId="77777777" w:rsidR="00137E6A" w:rsidRPr="00296533" w:rsidRDefault="00137E6A" w:rsidP="00743636">
            <w:pPr>
              <w:pStyle w:val="a4"/>
              <w:rPr>
                <w:b/>
              </w:rPr>
            </w:pPr>
            <w:r w:rsidRPr="00296533">
              <w:rPr>
                <w:b/>
              </w:rPr>
              <w:t>alt</w:t>
            </w:r>
          </w:p>
        </w:tc>
        <w:tc>
          <w:tcPr>
            <w:tcW w:w="1300" w:type="dxa"/>
            <w:vAlign w:val="center"/>
            <w:hideMark/>
          </w:tcPr>
          <w:p w14:paraId="0267067F" w14:textId="77777777" w:rsidR="00137E6A" w:rsidRPr="004A42AC" w:rsidRDefault="00137E6A" w:rsidP="00743636">
            <w:pPr>
              <w:pStyle w:val="a4"/>
            </w:pPr>
          </w:p>
        </w:tc>
        <w:tc>
          <w:tcPr>
            <w:tcW w:w="1300" w:type="dxa"/>
            <w:vAlign w:val="center"/>
            <w:hideMark/>
          </w:tcPr>
          <w:p w14:paraId="4570D72E" w14:textId="77777777" w:rsidR="00137E6A" w:rsidRPr="004A42AC" w:rsidRDefault="00137E6A" w:rsidP="00743636">
            <w:pPr>
              <w:pStyle w:val="a4"/>
            </w:pPr>
            <w:r w:rsidRPr="004A42AC">
              <w:t>alt</w:t>
            </w:r>
          </w:p>
        </w:tc>
        <w:tc>
          <w:tcPr>
            <w:tcW w:w="3380" w:type="dxa"/>
            <w:vAlign w:val="center"/>
            <w:hideMark/>
          </w:tcPr>
          <w:p w14:paraId="14FBDD87" w14:textId="77777777" w:rsidR="00137E6A" w:rsidRPr="004A42AC" w:rsidRDefault="00137E6A" w:rsidP="00743636">
            <w:pPr>
              <w:pStyle w:val="a4"/>
            </w:pPr>
            <w:proofErr w:type="spellStart"/>
            <w:r w:rsidRPr="004A42AC">
              <w:t>Го́рно-алта́йский</w:t>
            </w:r>
            <w:proofErr w:type="spellEnd"/>
          </w:p>
        </w:tc>
        <w:tc>
          <w:tcPr>
            <w:tcW w:w="2060" w:type="dxa"/>
            <w:vAlign w:val="center"/>
            <w:hideMark/>
          </w:tcPr>
          <w:p w14:paraId="1D6E380C" w14:textId="77777777" w:rsidR="00137E6A" w:rsidRPr="004A42AC" w:rsidRDefault="00137E6A" w:rsidP="00743636">
            <w:pPr>
              <w:pStyle w:val="a4"/>
            </w:pPr>
            <w:r w:rsidRPr="004A42AC">
              <w:t>Altai, Southern</w:t>
            </w:r>
          </w:p>
        </w:tc>
      </w:tr>
      <w:tr w:rsidR="00137E6A" w:rsidRPr="004A42AC" w14:paraId="640A80C7" w14:textId="77777777" w:rsidTr="00743636">
        <w:trPr>
          <w:trHeight w:val="340"/>
        </w:trPr>
        <w:tc>
          <w:tcPr>
            <w:tcW w:w="1300" w:type="dxa"/>
            <w:vAlign w:val="center"/>
            <w:hideMark/>
          </w:tcPr>
          <w:p w14:paraId="59833A88" w14:textId="77777777" w:rsidR="00137E6A" w:rsidRPr="00296533" w:rsidRDefault="00137E6A" w:rsidP="00743636">
            <w:pPr>
              <w:pStyle w:val="a4"/>
              <w:rPr>
                <w:b/>
              </w:rPr>
            </w:pPr>
            <w:proofErr w:type="spellStart"/>
            <w:r w:rsidRPr="00296533">
              <w:rPr>
                <w:b/>
              </w:rPr>
              <w:t>che</w:t>
            </w:r>
            <w:proofErr w:type="spellEnd"/>
          </w:p>
        </w:tc>
        <w:tc>
          <w:tcPr>
            <w:tcW w:w="1300" w:type="dxa"/>
            <w:vAlign w:val="center"/>
            <w:hideMark/>
          </w:tcPr>
          <w:p w14:paraId="1A696A9F" w14:textId="77777777" w:rsidR="00137E6A" w:rsidRPr="004A42AC" w:rsidRDefault="00137E6A" w:rsidP="00743636">
            <w:pPr>
              <w:pStyle w:val="a4"/>
            </w:pPr>
            <w:proofErr w:type="spellStart"/>
            <w:r w:rsidRPr="004A42AC">
              <w:t>ce</w:t>
            </w:r>
            <w:proofErr w:type="spellEnd"/>
          </w:p>
        </w:tc>
        <w:tc>
          <w:tcPr>
            <w:tcW w:w="1300" w:type="dxa"/>
            <w:vAlign w:val="center"/>
            <w:hideMark/>
          </w:tcPr>
          <w:p w14:paraId="592C08DD" w14:textId="77777777" w:rsidR="00137E6A" w:rsidRPr="004A42AC" w:rsidRDefault="00137E6A" w:rsidP="00743636">
            <w:pPr>
              <w:pStyle w:val="a4"/>
            </w:pPr>
            <w:proofErr w:type="spellStart"/>
            <w:r w:rsidRPr="004A42AC">
              <w:t>che</w:t>
            </w:r>
            <w:proofErr w:type="spellEnd"/>
          </w:p>
        </w:tc>
        <w:tc>
          <w:tcPr>
            <w:tcW w:w="3380" w:type="dxa"/>
            <w:vAlign w:val="center"/>
            <w:hideMark/>
          </w:tcPr>
          <w:p w14:paraId="095CDB7B" w14:textId="77777777" w:rsidR="00137E6A" w:rsidRPr="004A42AC" w:rsidRDefault="00137E6A" w:rsidP="00743636">
            <w:pPr>
              <w:pStyle w:val="a4"/>
            </w:pPr>
            <w:proofErr w:type="spellStart"/>
            <w:r w:rsidRPr="004A42AC">
              <w:t>Нахчиэ</w:t>
            </w:r>
            <w:proofErr w:type="spellEnd"/>
            <w:r w:rsidRPr="004A42AC">
              <w:t xml:space="preserve"> </w:t>
            </w:r>
            <w:proofErr w:type="spellStart"/>
            <w:r w:rsidRPr="004A42AC">
              <w:t>Муотт</w:t>
            </w:r>
            <w:proofErr w:type="spellEnd"/>
          </w:p>
        </w:tc>
        <w:tc>
          <w:tcPr>
            <w:tcW w:w="2060" w:type="dxa"/>
            <w:vAlign w:val="center"/>
            <w:hideMark/>
          </w:tcPr>
          <w:p w14:paraId="4A5CC551" w14:textId="77777777" w:rsidR="00137E6A" w:rsidRPr="004A42AC" w:rsidRDefault="00137E6A" w:rsidP="00743636">
            <w:pPr>
              <w:pStyle w:val="a4"/>
            </w:pPr>
            <w:r w:rsidRPr="004A42AC">
              <w:t>Chechen</w:t>
            </w:r>
          </w:p>
        </w:tc>
      </w:tr>
      <w:tr w:rsidR="00137E6A" w:rsidRPr="004A42AC" w14:paraId="51A00D84" w14:textId="77777777" w:rsidTr="00743636">
        <w:trPr>
          <w:trHeight w:val="340"/>
        </w:trPr>
        <w:tc>
          <w:tcPr>
            <w:tcW w:w="1300" w:type="dxa"/>
            <w:vAlign w:val="center"/>
            <w:hideMark/>
          </w:tcPr>
          <w:p w14:paraId="01FB2FA8" w14:textId="77777777" w:rsidR="00137E6A" w:rsidRPr="00296533" w:rsidRDefault="00137E6A" w:rsidP="00743636">
            <w:pPr>
              <w:pStyle w:val="a4"/>
              <w:rPr>
                <w:b/>
              </w:rPr>
            </w:pPr>
            <w:r w:rsidRPr="00296533">
              <w:rPr>
                <w:b/>
              </w:rPr>
              <w:t>tat</w:t>
            </w:r>
          </w:p>
        </w:tc>
        <w:tc>
          <w:tcPr>
            <w:tcW w:w="1300" w:type="dxa"/>
            <w:vAlign w:val="center"/>
            <w:hideMark/>
          </w:tcPr>
          <w:p w14:paraId="1C5FFFF3" w14:textId="77777777" w:rsidR="00137E6A" w:rsidRPr="004A42AC" w:rsidRDefault="00137E6A" w:rsidP="00743636">
            <w:pPr>
              <w:pStyle w:val="a4"/>
            </w:pPr>
            <w:proofErr w:type="spellStart"/>
            <w:r w:rsidRPr="004A42AC">
              <w:t>tt</w:t>
            </w:r>
            <w:proofErr w:type="spellEnd"/>
          </w:p>
        </w:tc>
        <w:tc>
          <w:tcPr>
            <w:tcW w:w="1300" w:type="dxa"/>
            <w:vAlign w:val="center"/>
            <w:hideMark/>
          </w:tcPr>
          <w:p w14:paraId="29EABE6F" w14:textId="77777777" w:rsidR="00137E6A" w:rsidRPr="004A42AC" w:rsidRDefault="00137E6A" w:rsidP="00743636">
            <w:pPr>
              <w:pStyle w:val="a4"/>
            </w:pPr>
            <w:r w:rsidRPr="004A42AC">
              <w:t>tat</w:t>
            </w:r>
          </w:p>
        </w:tc>
        <w:tc>
          <w:tcPr>
            <w:tcW w:w="3380" w:type="dxa"/>
            <w:vAlign w:val="center"/>
            <w:hideMark/>
          </w:tcPr>
          <w:p w14:paraId="2D9878CC" w14:textId="77777777" w:rsidR="00137E6A" w:rsidRPr="004A42AC" w:rsidRDefault="00137E6A" w:rsidP="00743636">
            <w:pPr>
              <w:pStyle w:val="a4"/>
            </w:pPr>
            <w:proofErr w:type="spellStart"/>
            <w:r w:rsidRPr="004A42AC">
              <w:t>татар</w:t>
            </w:r>
            <w:proofErr w:type="spellEnd"/>
            <w:r w:rsidRPr="004A42AC">
              <w:t xml:space="preserve"> </w:t>
            </w:r>
            <w:proofErr w:type="spellStart"/>
            <w:r w:rsidRPr="004A42AC">
              <w:t>теле</w:t>
            </w:r>
            <w:proofErr w:type="spellEnd"/>
          </w:p>
        </w:tc>
        <w:tc>
          <w:tcPr>
            <w:tcW w:w="2060" w:type="dxa"/>
            <w:vAlign w:val="center"/>
            <w:hideMark/>
          </w:tcPr>
          <w:p w14:paraId="4D5F0718" w14:textId="77777777" w:rsidR="00137E6A" w:rsidRPr="004A42AC" w:rsidRDefault="00137E6A" w:rsidP="00743636">
            <w:pPr>
              <w:pStyle w:val="a4"/>
            </w:pPr>
            <w:r w:rsidRPr="004A42AC">
              <w:t>Tatar</w:t>
            </w:r>
          </w:p>
        </w:tc>
      </w:tr>
    </w:tbl>
    <w:p w14:paraId="04336D14" w14:textId="77777777" w:rsidR="00137E6A" w:rsidRDefault="00137E6A" w:rsidP="00137E6A">
      <w:pPr>
        <w:pStyle w:val="a4"/>
      </w:pPr>
    </w:p>
    <w:p w14:paraId="43EC4FDD" w14:textId="77777777" w:rsidR="00137E6A" w:rsidRPr="00DB530A" w:rsidRDefault="00DB530A" w:rsidP="00137E6A">
      <w:pPr>
        <w:pStyle w:val="a4"/>
        <w:rPr>
          <w:b/>
          <w:i/>
        </w:rPr>
      </w:pPr>
      <w:r w:rsidRPr="00DB530A">
        <w:rPr>
          <w:b/>
          <w:i/>
        </w:rPr>
        <w:lastRenderedPageBreak/>
        <w:t>EGIDS level</w:t>
      </w:r>
      <w:r w:rsidR="00137E6A" w:rsidRPr="00DB530A">
        <w:rPr>
          <w:b/>
          <w:i/>
        </w:rPr>
        <w:t xml:space="preserve"> 3 (Wider communication)</w:t>
      </w:r>
    </w:p>
    <w:tbl>
      <w:tblPr>
        <w:tblW w:w="9340" w:type="dxa"/>
        <w:tblCellMar>
          <w:left w:w="0" w:type="dxa"/>
          <w:right w:w="0" w:type="dxa"/>
        </w:tblCellMar>
        <w:tblLook w:val="04A0" w:firstRow="1" w:lastRow="0" w:firstColumn="1" w:lastColumn="0" w:noHBand="0" w:noVBand="1"/>
      </w:tblPr>
      <w:tblGrid>
        <w:gridCol w:w="1300"/>
        <w:gridCol w:w="1300"/>
        <w:gridCol w:w="1300"/>
        <w:gridCol w:w="3380"/>
        <w:gridCol w:w="2060"/>
      </w:tblGrid>
      <w:tr w:rsidR="00137E6A" w:rsidRPr="004A42AC" w14:paraId="7E9C164B" w14:textId="77777777" w:rsidTr="00743636">
        <w:trPr>
          <w:trHeight w:val="340"/>
        </w:trPr>
        <w:tc>
          <w:tcPr>
            <w:tcW w:w="1300" w:type="dxa"/>
            <w:vAlign w:val="center"/>
            <w:hideMark/>
          </w:tcPr>
          <w:p w14:paraId="5BC0A295" w14:textId="77777777" w:rsidR="00137E6A" w:rsidRPr="00296533" w:rsidRDefault="00137E6A" w:rsidP="00743636">
            <w:pPr>
              <w:pStyle w:val="a4"/>
              <w:rPr>
                <w:b/>
              </w:rPr>
            </w:pPr>
            <w:proofErr w:type="spellStart"/>
            <w:r w:rsidRPr="00296533">
              <w:rPr>
                <w:b/>
              </w:rPr>
              <w:t>sah</w:t>
            </w:r>
            <w:proofErr w:type="spellEnd"/>
          </w:p>
        </w:tc>
        <w:tc>
          <w:tcPr>
            <w:tcW w:w="1300" w:type="dxa"/>
            <w:vAlign w:val="center"/>
            <w:hideMark/>
          </w:tcPr>
          <w:p w14:paraId="082A0B0B" w14:textId="77777777" w:rsidR="00137E6A" w:rsidRPr="004A42AC" w:rsidRDefault="00137E6A" w:rsidP="00743636">
            <w:pPr>
              <w:pStyle w:val="a4"/>
            </w:pPr>
          </w:p>
        </w:tc>
        <w:tc>
          <w:tcPr>
            <w:tcW w:w="1300" w:type="dxa"/>
            <w:vAlign w:val="center"/>
            <w:hideMark/>
          </w:tcPr>
          <w:p w14:paraId="4FF66176" w14:textId="77777777" w:rsidR="00137E6A" w:rsidRPr="004A42AC" w:rsidRDefault="00137E6A" w:rsidP="00743636">
            <w:pPr>
              <w:pStyle w:val="a4"/>
            </w:pPr>
            <w:proofErr w:type="spellStart"/>
            <w:r w:rsidRPr="004A42AC">
              <w:t>sah</w:t>
            </w:r>
            <w:proofErr w:type="spellEnd"/>
          </w:p>
        </w:tc>
        <w:tc>
          <w:tcPr>
            <w:tcW w:w="3380" w:type="dxa"/>
            <w:vAlign w:val="center"/>
            <w:hideMark/>
          </w:tcPr>
          <w:p w14:paraId="3A05DC1C" w14:textId="77777777" w:rsidR="00137E6A" w:rsidRPr="004A42AC" w:rsidRDefault="00137E6A" w:rsidP="00743636">
            <w:pPr>
              <w:pStyle w:val="a4"/>
            </w:pPr>
            <w:proofErr w:type="spellStart"/>
            <w:r w:rsidRPr="004A42AC">
              <w:t>саха</w:t>
            </w:r>
            <w:proofErr w:type="spellEnd"/>
          </w:p>
        </w:tc>
        <w:tc>
          <w:tcPr>
            <w:tcW w:w="2060" w:type="dxa"/>
            <w:vAlign w:val="center"/>
            <w:hideMark/>
          </w:tcPr>
          <w:p w14:paraId="0DD9FBC3" w14:textId="77777777" w:rsidR="00137E6A" w:rsidRPr="004A42AC" w:rsidRDefault="00137E6A" w:rsidP="00743636">
            <w:pPr>
              <w:pStyle w:val="a4"/>
            </w:pPr>
            <w:r w:rsidRPr="004A42AC">
              <w:t>Yakut</w:t>
            </w:r>
          </w:p>
        </w:tc>
      </w:tr>
      <w:tr w:rsidR="00137E6A" w:rsidRPr="004A42AC" w14:paraId="6C8B102C" w14:textId="77777777" w:rsidTr="00743636">
        <w:trPr>
          <w:trHeight w:val="340"/>
        </w:trPr>
        <w:tc>
          <w:tcPr>
            <w:tcW w:w="1300" w:type="dxa"/>
            <w:vAlign w:val="center"/>
            <w:hideMark/>
          </w:tcPr>
          <w:p w14:paraId="45102CC3" w14:textId="77777777" w:rsidR="00137E6A" w:rsidRPr="00296533" w:rsidRDefault="00137E6A" w:rsidP="00743636">
            <w:pPr>
              <w:pStyle w:val="a4"/>
              <w:rPr>
                <w:b/>
              </w:rPr>
            </w:pPr>
            <w:proofErr w:type="spellStart"/>
            <w:r w:rsidRPr="00296533">
              <w:rPr>
                <w:b/>
              </w:rPr>
              <w:t>ava</w:t>
            </w:r>
            <w:proofErr w:type="spellEnd"/>
          </w:p>
        </w:tc>
        <w:tc>
          <w:tcPr>
            <w:tcW w:w="1300" w:type="dxa"/>
            <w:vAlign w:val="center"/>
            <w:hideMark/>
          </w:tcPr>
          <w:p w14:paraId="189215E0" w14:textId="77777777" w:rsidR="00137E6A" w:rsidRPr="004A42AC" w:rsidRDefault="00137E6A" w:rsidP="00743636">
            <w:pPr>
              <w:pStyle w:val="a4"/>
            </w:pPr>
            <w:proofErr w:type="spellStart"/>
            <w:r w:rsidRPr="004A42AC">
              <w:t>av</w:t>
            </w:r>
            <w:proofErr w:type="spellEnd"/>
          </w:p>
        </w:tc>
        <w:tc>
          <w:tcPr>
            <w:tcW w:w="1300" w:type="dxa"/>
            <w:vAlign w:val="center"/>
            <w:hideMark/>
          </w:tcPr>
          <w:p w14:paraId="375DEE78" w14:textId="77777777" w:rsidR="00137E6A" w:rsidRPr="004A42AC" w:rsidRDefault="00137E6A" w:rsidP="00743636">
            <w:pPr>
              <w:pStyle w:val="a4"/>
            </w:pPr>
            <w:proofErr w:type="spellStart"/>
            <w:r w:rsidRPr="004A42AC">
              <w:t>avа</w:t>
            </w:r>
            <w:proofErr w:type="spellEnd"/>
          </w:p>
        </w:tc>
        <w:tc>
          <w:tcPr>
            <w:tcW w:w="3380" w:type="dxa"/>
            <w:vAlign w:val="center"/>
            <w:hideMark/>
          </w:tcPr>
          <w:p w14:paraId="29923EFF" w14:textId="77777777" w:rsidR="00137E6A" w:rsidRPr="004A42AC" w:rsidRDefault="00137E6A" w:rsidP="00743636">
            <w:pPr>
              <w:pStyle w:val="a4"/>
            </w:pPr>
            <w:proofErr w:type="spellStart"/>
            <w:r w:rsidRPr="004A42AC">
              <w:t>Авар</w:t>
            </w:r>
            <w:proofErr w:type="spellEnd"/>
            <w:r w:rsidRPr="004A42AC">
              <w:t xml:space="preserve"> </w:t>
            </w:r>
            <w:proofErr w:type="spellStart"/>
            <w:r w:rsidRPr="004A42AC">
              <w:t>мац</w:t>
            </w:r>
            <w:proofErr w:type="spellEnd"/>
            <w:r w:rsidRPr="004A42AC">
              <w:t>ӏ</w:t>
            </w:r>
          </w:p>
        </w:tc>
        <w:tc>
          <w:tcPr>
            <w:tcW w:w="2060" w:type="dxa"/>
            <w:vAlign w:val="center"/>
            <w:hideMark/>
          </w:tcPr>
          <w:p w14:paraId="6A878876" w14:textId="77777777" w:rsidR="00137E6A" w:rsidRPr="004A42AC" w:rsidRDefault="00137E6A" w:rsidP="00743636">
            <w:pPr>
              <w:pStyle w:val="a4"/>
            </w:pPr>
            <w:proofErr w:type="spellStart"/>
            <w:r w:rsidRPr="004A42AC">
              <w:t>Avar</w:t>
            </w:r>
            <w:proofErr w:type="spellEnd"/>
          </w:p>
        </w:tc>
      </w:tr>
    </w:tbl>
    <w:p w14:paraId="2DF86B1C" w14:textId="77777777" w:rsidR="00137E6A" w:rsidRDefault="00137E6A" w:rsidP="00137E6A">
      <w:pPr>
        <w:pStyle w:val="a4"/>
      </w:pPr>
    </w:p>
    <w:p w14:paraId="2E31E638" w14:textId="77777777" w:rsidR="00137E6A" w:rsidRPr="00DB530A" w:rsidRDefault="00DB530A" w:rsidP="00137E6A">
      <w:pPr>
        <w:pStyle w:val="a4"/>
        <w:rPr>
          <w:b/>
          <w:i/>
        </w:rPr>
      </w:pPr>
      <w:r w:rsidRPr="00DB530A">
        <w:rPr>
          <w:b/>
          <w:i/>
        </w:rPr>
        <w:t>EGIDS level</w:t>
      </w:r>
      <w:r w:rsidR="00137E6A" w:rsidRPr="00DB530A">
        <w:rPr>
          <w:b/>
          <w:i/>
        </w:rPr>
        <w:t xml:space="preserve"> 4 (Educational)</w:t>
      </w:r>
    </w:p>
    <w:tbl>
      <w:tblPr>
        <w:tblW w:w="9340" w:type="dxa"/>
        <w:tblCellMar>
          <w:left w:w="0" w:type="dxa"/>
          <w:right w:w="0" w:type="dxa"/>
        </w:tblCellMar>
        <w:tblLook w:val="04A0" w:firstRow="1" w:lastRow="0" w:firstColumn="1" w:lastColumn="0" w:noHBand="0" w:noVBand="1"/>
      </w:tblPr>
      <w:tblGrid>
        <w:gridCol w:w="1300"/>
        <w:gridCol w:w="1300"/>
        <w:gridCol w:w="1300"/>
        <w:gridCol w:w="3380"/>
        <w:gridCol w:w="2060"/>
      </w:tblGrid>
      <w:tr w:rsidR="00137E6A" w:rsidRPr="004A42AC" w14:paraId="750461CD" w14:textId="77777777" w:rsidTr="00743636">
        <w:trPr>
          <w:trHeight w:val="340"/>
        </w:trPr>
        <w:tc>
          <w:tcPr>
            <w:tcW w:w="1300" w:type="dxa"/>
            <w:vAlign w:val="center"/>
            <w:hideMark/>
          </w:tcPr>
          <w:p w14:paraId="4B59AC0A" w14:textId="77777777" w:rsidR="00137E6A" w:rsidRPr="00296533" w:rsidRDefault="00137E6A" w:rsidP="00743636">
            <w:pPr>
              <w:pStyle w:val="a4"/>
              <w:rPr>
                <w:b/>
              </w:rPr>
            </w:pPr>
            <w:proofErr w:type="spellStart"/>
            <w:r w:rsidRPr="00296533">
              <w:rPr>
                <w:b/>
              </w:rPr>
              <w:t>khk</w:t>
            </w:r>
            <w:proofErr w:type="spellEnd"/>
          </w:p>
        </w:tc>
        <w:tc>
          <w:tcPr>
            <w:tcW w:w="1300" w:type="dxa"/>
            <w:vAlign w:val="center"/>
            <w:hideMark/>
          </w:tcPr>
          <w:p w14:paraId="4A29D03A" w14:textId="77777777" w:rsidR="00137E6A" w:rsidRPr="004A42AC" w:rsidRDefault="00137E6A" w:rsidP="00743636">
            <w:pPr>
              <w:pStyle w:val="a4"/>
            </w:pPr>
            <w:proofErr w:type="spellStart"/>
            <w:r w:rsidRPr="004A42AC">
              <w:t>mn</w:t>
            </w:r>
            <w:proofErr w:type="spellEnd"/>
          </w:p>
        </w:tc>
        <w:tc>
          <w:tcPr>
            <w:tcW w:w="1300" w:type="dxa"/>
            <w:vAlign w:val="center"/>
            <w:hideMark/>
          </w:tcPr>
          <w:p w14:paraId="41261DAF" w14:textId="77777777" w:rsidR="00137E6A" w:rsidRPr="004A42AC" w:rsidRDefault="00137E6A" w:rsidP="00743636">
            <w:pPr>
              <w:pStyle w:val="a4"/>
            </w:pPr>
            <w:proofErr w:type="spellStart"/>
            <w:r w:rsidRPr="004A42AC">
              <w:t>khk</w:t>
            </w:r>
            <w:proofErr w:type="spellEnd"/>
          </w:p>
        </w:tc>
        <w:tc>
          <w:tcPr>
            <w:tcW w:w="3380" w:type="dxa"/>
            <w:vAlign w:val="center"/>
            <w:hideMark/>
          </w:tcPr>
          <w:p w14:paraId="6E4D8987" w14:textId="77777777" w:rsidR="00137E6A" w:rsidRPr="004A42AC" w:rsidRDefault="00137E6A" w:rsidP="00743636">
            <w:pPr>
              <w:pStyle w:val="a4"/>
            </w:pPr>
            <w:proofErr w:type="spellStart"/>
            <w:r w:rsidRPr="004A42AC">
              <w:t>Монгол</w:t>
            </w:r>
            <w:proofErr w:type="spellEnd"/>
            <w:r w:rsidRPr="004A42AC">
              <w:t xml:space="preserve"> </w:t>
            </w:r>
            <w:proofErr w:type="spellStart"/>
            <w:r w:rsidRPr="004A42AC">
              <w:t>хэл</w:t>
            </w:r>
            <w:proofErr w:type="spellEnd"/>
          </w:p>
        </w:tc>
        <w:tc>
          <w:tcPr>
            <w:tcW w:w="2060" w:type="dxa"/>
            <w:vAlign w:val="center"/>
            <w:hideMark/>
          </w:tcPr>
          <w:p w14:paraId="2FA200C5" w14:textId="77777777" w:rsidR="00137E6A" w:rsidRPr="004A42AC" w:rsidRDefault="00137E6A" w:rsidP="00743636">
            <w:pPr>
              <w:pStyle w:val="a4"/>
            </w:pPr>
            <w:r w:rsidRPr="004A42AC">
              <w:t xml:space="preserve">Mongolian, </w:t>
            </w:r>
            <w:proofErr w:type="spellStart"/>
            <w:r w:rsidRPr="004A42AC">
              <w:t>Halh</w:t>
            </w:r>
            <w:proofErr w:type="spellEnd"/>
          </w:p>
        </w:tc>
      </w:tr>
      <w:tr w:rsidR="00137E6A" w:rsidRPr="004A42AC" w14:paraId="643640CF" w14:textId="77777777" w:rsidTr="00743636">
        <w:trPr>
          <w:trHeight w:val="340"/>
        </w:trPr>
        <w:tc>
          <w:tcPr>
            <w:tcW w:w="1300" w:type="dxa"/>
            <w:vAlign w:val="center"/>
            <w:hideMark/>
          </w:tcPr>
          <w:p w14:paraId="4428E651" w14:textId="77777777" w:rsidR="00137E6A" w:rsidRPr="00296533" w:rsidRDefault="00137E6A" w:rsidP="00743636">
            <w:pPr>
              <w:pStyle w:val="a4"/>
              <w:rPr>
                <w:b/>
              </w:rPr>
            </w:pPr>
            <w:proofErr w:type="spellStart"/>
            <w:r w:rsidRPr="00296533">
              <w:rPr>
                <w:b/>
              </w:rPr>
              <w:t>bak</w:t>
            </w:r>
            <w:proofErr w:type="spellEnd"/>
          </w:p>
        </w:tc>
        <w:tc>
          <w:tcPr>
            <w:tcW w:w="1300" w:type="dxa"/>
            <w:vAlign w:val="center"/>
            <w:hideMark/>
          </w:tcPr>
          <w:p w14:paraId="70187A2E" w14:textId="77777777" w:rsidR="00137E6A" w:rsidRPr="004A42AC" w:rsidRDefault="00137E6A" w:rsidP="00743636">
            <w:pPr>
              <w:pStyle w:val="a4"/>
            </w:pPr>
            <w:proofErr w:type="spellStart"/>
            <w:r w:rsidRPr="004A42AC">
              <w:t>ba</w:t>
            </w:r>
            <w:proofErr w:type="spellEnd"/>
          </w:p>
        </w:tc>
        <w:tc>
          <w:tcPr>
            <w:tcW w:w="1300" w:type="dxa"/>
            <w:vAlign w:val="center"/>
            <w:hideMark/>
          </w:tcPr>
          <w:p w14:paraId="76141EDC" w14:textId="77777777" w:rsidR="00137E6A" w:rsidRPr="004A42AC" w:rsidRDefault="00137E6A" w:rsidP="00743636">
            <w:pPr>
              <w:pStyle w:val="a4"/>
            </w:pPr>
            <w:proofErr w:type="spellStart"/>
            <w:r w:rsidRPr="004A42AC">
              <w:t>bak</w:t>
            </w:r>
            <w:proofErr w:type="spellEnd"/>
          </w:p>
        </w:tc>
        <w:tc>
          <w:tcPr>
            <w:tcW w:w="3380" w:type="dxa"/>
            <w:vAlign w:val="center"/>
            <w:hideMark/>
          </w:tcPr>
          <w:p w14:paraId="7CF0CA57" w14:textId="77777777" w:rsidR="00137E6A" w:rsidRPr="004A42AC" w:rsidRDefault="00137E6A" w:rsidP="00743636">
            <w:pPr>
              <w:pStyle w:val="a4"/>
            </w:pPr>
            <w:proofErr w:type="spellStart"/>
            <w:r w:rsidRPr="004A42AC">
              <w:t>Башҡорт</w:t>
            </w:r>
            <w:proofErr w:type="spellEnd"/>
            <w:r w:rsidRPr="004A42AC">
              <w:t xml:space="preserve"> </w:t>
            </w:r>
            <w:proofErr w:type="spellStart"/>
            <w:r w:rsidRPr="004A42AC">
              <w:t>теле</w:t>
            </w:r>
            <w:proofErr w:type="spellEnd"/>
          </w:p>
        </w:tc>
        <w:tc>
          <w:tcPr>
            <w:tcW w:w="2060" w:type="dxa"/>
            <w:vAlign w:val="center"/>
            <w:hideMark/>
          </w:tcPr>
          <w:p w14:paraId="3C8F6584" w14:textId="77777777" w:rsidR="00137E6A" w:rsidRPr="004A42AC" w:rsidRDefault="00137E6A" w:rsidP="00743636">
            <w:pPr>
              <w:pStyle w:val="a4"/>
            </w:pPr>
            <w:proofErr w:type="spellStart"/>
            <w:r w:rsidRPr="004A42AC">
              <w:t>Bashkort</w:t>
            </w:r>
            <w:proofErr w:type="spellEnd"/>
          </w:p>
        </w:tc>
      </w:tr>
      <w:tr w:rsidR="00137E6A" w:rsidRPr="004A42AC" w14:paraId="7C68E8FF" w14:textId="77777777" w:rsidTr="00743636">
        <w:trPr>
          <w:trHeight w:val="340"/>
        </w:trPr>
        <w:tc>
          <w:tcPr>
            <w:tcW w:w="1300" w:type="dxa"/>
            <w:vAlign w:val="center"/>
            <w:hideMark/>
          </w:tcPr>
          <w:p w14:paraId="10612676" w14:textId="77777777" w:rsidR="00137E6A" w:rsidRPr="00296533" w:rsidRDefault="00137E6A" w:rsidP="00743636">
            <w:pPr>
              <w:pStyle w:val="a4"/>
              <w:rPr>
                <w:b/>
              </w:rPr>
            </w:pPr>
            <w:proofErr w:type="spellStart"/>
            <w:r w:rsidRPr="00296533">
              <w:rPr>
                <w:b/>
              </w:rPr>
              <w:t>chv</w:t>
            </w:r>
            <w:proofErr w:type="spellEnd"/>
          </w:p>
        </w:tc>
        <w:tc>
          <w:tcPr>
            <w:tcW w:w="1300" w:type="dxa"/>
            <w:vAlign w:val="center"/>
            <w:hideMark/>
          </w:tcPr>
          <w:p w14:paraId="7A0D2780" w14:textId="77777777" w:rsidR="00137E6A" w:rsidRPr="004A42AC" w:rsidRDefault="00137E6A" w:rsidP="00743636">
            <w:pPr>
              <w:pStyle w:val="a4"/>
            </w:pPr>
            <w:r w:rsidRPr="004A42AC">
              <w:t>cv</w:t>
            </w:r>
          </w:p>
        </w:tc>
        <w:tc>
          <w:tcPr>
            <w:tcW w:w="1300" w:type="dxa"/>
            <w:vAlign w:val="center"/>
            <w:hideMark/>
          </w:tcPr>
          <w:p w14:paraId="65B140E6" w14:textId="77777777" w:rsidR="00137E6A" w:rsidRPr="004A42AC" w:rsidRDefault="00137E6A" w:rsidP="00743636">
            <w:pPr>
              <w:pStyle w:val="a4"/>
            </w:pPr>
            <w:proofErr w:type="spellStart"/>
            <w:r w:rsidRPr="004A42AC">
              <w:t>chv</w:t>
            </w:r>
            <w:proofErr w:type="spellEnd"/>
          </w:p>
        </w:tc>
        <w:tc>
          <w:tcPr>
            <w:tcW w:w="3380" w:type="dxa"/>
            <w:vAlign w:val="center"/>
            <w:hideMark/>
          </w:tcPr>
          <w:p w14:paraId="5C13AADE" w14:textId="77777777" w:rsidR="00137E6A" w:rsidRPr="004A42AC" w:rsidRDefault="00137E6A" w:rsidP="00743636">
            <w:pPr>
              <w:pStyle w:val="a4"/>
            </w:pPr>
            <w:proofErr w:type="spellStart"/>
            <w:r w:rsidRPr="004A42AC">
              <w:t>Чăвашла</w:t>
            </w:r>
            <w:proofErr w:type="spellEnd"/>
          </w:p>
        </w:tc>
        <w:tc>
          <w:tcPr>
            <w:tcW w:w="2060" w:type="dxa"/>
            <w:vAlign w:val="center"/>
            <w:hideMark/>
          </w:tcPr>
          <w:p w14:paraId="798EF564" w14:textId="77777777" w:rsidR="00137E6A" w:rsidRPr="004A42AC" w:rsidRDefault="00137E6A" w:rsidP="00743636">
            <w:pPr>
              <w:pStyle w:val="a4"/>
            </w:pPr>
            <w:r w:rsidRPr="004A42AC">
              <w:t>Chuvash</w:t>
            </w:r>
          </w:p>
        </w:tc>
      </w:tr>
      <w:tr w:rsidR="00137E6A" w:rsidRPr="004A42AC" w14:paraId="4A8BBAA1" w14:textId="77777777" w:rsidTr="00743636">
        <w:trPr>
          <w:trHeight w:val="340"/>
        </w:trPr>
        <w:tc>
          <w:tcPr>
            <w:tcW w:w="1300" w:type="dxa"/>
            <w:vAlign w:val="center"/>
            <w:hideMark/>
          </w:tcPr>
          <w:p w14:paraId="5FBF7F96" w14:textId="77777777" w:rsidR="00137E6A" w:rsidRPr="00296533" w:rsidRDefault="00137E6A" w:rsidP="00743636">
            <w:pPr>
              <w:pStyle w:val="a4"/>
              <w:rPr>
                <w:b/>
              </w:rPr>
            </w:pPr>
            <w:proofErr w:type="spellStart"/>
            <w:r w:rsidRPr="00296533">
              <w:rPr>
                <w:b/>
              </w:rPr>
              <w:t>dar</w:t>
            </w:r>
            <w:proofErr w:type="spellEnd"/>
          </w:p>
        </w:tc>
        <w:tc>
          <w:tcPr>
            <w:tcW w:w="1300" w:type="dxa"/>
            <w:vAlign w:val="center"/>
            <w:hideMark/>
          </w:tcPr>
          <w:p w14:paraId="508E8E8F" w14:textId="77777777" w:rsidR="00137E6A" w:rsidRPr="004A42AC" w:rsidRDefault="00137E6A" w:rsidP="00743636">
            <w:pPr>
              <w:pStyle w:val="a4"/>
            </w:pPr>
          </w:p>
        </w:tc>
        <w:tc>
          <w:tcPr>
            <w:tcW w:w="1300" w:type="dxa"/>
            <w:vAlign w:val="center"/>
            <w:hideMark/>
          </w:tcPr>
          <w:p w14:paraId="07FFE177" w14:textId="77777777" w:rsidR="00137E6A" w:rsidRPr="004A42AC" w:rsidRDefault="00137E6A" w:rsidP="00743636">
            <w:pPr>
              <w:pStyle w:val="a4"/>
            </w:pPr>
            <w:proofErr w:type="spellStart"/>
            <w:r w:rsidRPr="004A42AC">
              <w:t>dar</w:t>
            </w:r>
            <w:proofErr w:type="spellEnd"/>
          </w:p>
        </w:tc>
        <w:tc>
          <w:tcPr>
            <w:tcW w:w="3380" w:type="dxa"/>
            <w:vAlign w:val="center"/>
            <w:hideMark/>
          </w:tcPr>
          <w:p w14:paraId="7E7939B7" w14:textId="77777777" w:rsidR="00137E6A" w:rsidRPr="004A42AC" w:rsidRDefault="00137E6A" w:rsidP="00743636">
            <w:pPr>
              <w:pStyle w:val="a4"/>
            </w:pPr>
            <w:proofErr w:type="spellStart"/>
            <w:r w:rsidRPr="004A42AC">
              <w:t>Даргинский</w:t>
            </w:r>
            <w:proofErr w:type="spellEnd"/>
          </w:p>
        </w:tc>
        <w:tc>
          <w:tcPr>
            <w:tcW w:w="2060" w:type="dxa"/>
            <w:vAlign w:val="center"/>
            <w:hideMark/>
          </w:tcPr>
          <w:p w14:paraId="0BA8171F" w14:textId="77777777" w:rsidR="00137E6A" w:rsidRPr="004A42AC" w:rsidRDefault="00137E6A" w:rsidP="00743636">
            <w:pPr>
              <w:pStyle w:val="a4"/>
            </w:pPr>
            <w:proofErr w:type="spellStart"/>
            <w:r w:rsidRPr="004A42AC">
              <w:t>Dargwa</w:t>
            </w:r>
            <w:proofErr w:type="spellEnd"/>
          </w:p>
        </w:tc>
      </w:tr>
      <w:tr w:rsidR="00137E6A" w:rsidRPr="004A42AC" w14:paraId="1FB9EE02" w14:textId="77777777" w:rsidTr="00743636">
        <w:trPr>
          <w:trHeight w:val="340"/>
        </w:trPr>
        <w:tc>
          <w:tcPr>
            <w:tcW w:w="1300" w:type="dxa"/>
            <w:vAlign w:val="center"/>
            <w:hideMark/>
          </w:tcPr>
          <w:p w14:paraId="6D839F6E" w14:textId="77777777" w:rsidR="00137E6A" w:rsidRPr="00296533" w:rsidRDefault="00137E6A" w:rsidP="00743636">
            <w:pPr>
              <w:pStyle w:val="a4"/>
              <w:rPr>
                <w:b/>
              </w:rPr>
            </w:pPr>
            <w:proofErr w:type="spellStart"/>
            <w:r w:rsidRPr="00296533">
              <w:rPr>
                <w:b/>
              </w:rPr>
              <w:t>inh</w:t>
            </w:r>
            <w:proofErr w:type="spellEnd"/>
          </w:p>
        </w:tc>
        <w:tc>
          <w:tcPr>
            <w:tcW w:w="1300" w:type="dxa"/>
            <w:vAlign w:val="center"/>
            <w:hideMark/>
          </w:tcPr>
          <w:p w14:paraId="6D884335" w14:textId="77777777" w:rsidR="00137E6A" w:rsidRPr="004A42AC" w:rsidRDefault="00137E6A" w:rsidP="00743636">
            <w:pPr>
              <w:pStyle w:val="a4"/>
            </w:pPr>
          </w:p>
        </w:tc>
        <w:tc>
          <w:tcPr>
            <w:tcW w:w="1300" w:type="dxa"/>
            <w:vAlign w:val="center"/>
            <w:hideMark/>
          </w:tcPr>
          <w:p w14:paraId="1F873906" w14:textId="77777777" w:rsidR="00137E6A" w:rsidRPr="004A42AC" w:rsidRDefault="00137E6A" w:rsidP="00743636">
            <w:pPr>
              <w:pStyle w:val="a4"/>
            </w:pPr>
            <w:proofErr w:type="spellStart"/>
            <w:r w:rsidRPr="004A42AC">
              <w:t>inh</w:t>
            </w:r>
            <w:proofErr w:type="spellEnd"/>
          </w:p>
        </w:tc>
        <w:tc>
          <w:tcPr>
            <w:tcW w:w="3380" w:type="dxa"/>
            <w:vAlign w:val="center"/>
            <w:hideMark/>
          </w:tcPr>
          <w:p w14:paraId="21A35CE5" w14:textId="77777777" w:rsidR="00137E6A" w:rsidRPr="004A42AC" w:rsidRDefault="00137E6A" w:rsidP="00743636">
            <w:pPr>
              <w:pStyle w:val="a4"/>
            </w:pPr>
            <w:proofErr w:type="spellStart"/>
            <w:r w:rsidRPr="004A42AC">
              <w:t>ГӀалгӀай</w:t>
            </w:r>
            <w:proofErr w:type="spellEnd"/>
            <w:r w:rsidRPr="004A42AC">
              <w:t xml:space="preserve">, </w:t>
            </w:r>
            <w:proofErr w:type="spellStart"/>
            <w:r w:rsidRPr="004A42AC">
              <w:t>Ğalğaj</w:t>
            </w:r>
            <w:proofErr w:type="spellEnd"/>
          </w:p>
        </w:tc>
        <w:tc>
          <w:tcPr>
            <w:tcW w:w="2060" w:type="dxa"/>
            <w:vAlign w:val="center"/>
            <w:hideMark/>
          </w:tcPr>
          <w:p w14:paraId="132F7C22" w14:textId="77777777" w:rsidR="00137E6A" w:rsidRPr="004A42AC" w:rsidRDefault="00137E6A" w:rsidP="00743636">
            <w:pPr>
              <w:pStyle w:val="a4"/>
            </w:pPr>
            <w:r w:rsidRPr="004A42AC">
              <w:t>Ingush</w:t>
            </w:r>
          </w:p>
        </w:tc>
      </w:tr>
      <w:tr w:rsidR="00137E6A" w:rsidRPr="004A42AC" w14:paraId="257789AC" w14:textId="77777777" w:rsidTr="00743636">
        <w:trPr>
          <w:trHeight w:val="340"/>
        </w:trPr>
        <w:tc>
          <w:tcPr>
            <w:tcW w:w="1300" w:type="dxa"/>
            <w:vAlign w:val="center"/>
            <w:hideMark/>
          </w:tcPr>
          <w:p w14:paraId="3AEC8B68" w14:textId="77777777" w:rsidR="00137E6A" w:rsidRPr="00296533" w:rsidRDefault="00137E6A" w:rsidP="00743636">
            <w:pPr>
              <w:pStyle w:val="a4"/>
              <w:rPr>
                <w:b/>
              </w:rPr>
            </w:pPr>
            <w:proofErr w:type="spellStart"/>
            <w:r w:rsidRPr="00296533">
              <w:rPr>
                <w:b/>
              </w:rPr>
              <w:t>lbe</w:t>
            </w:r>
            <w:proofErr w:type="spellEnd"/>
          </w:p>
        </w:tc>
        <w:tc>
          <w:tcPr>
            <w:tcW w:w="1300" w:type="dxa"/>
            <w:vAlign w:val="center"/>
            <w:hideMark/>
          </w:tcPr>
          <w:p w14:paraId="1FACF5F7" w14:textId="77777777" w:rsidR="00137E6A" w:rsidRPr="004A42AC" w:rsidRDefault="00137E6A" w:rsidP="00743636">
            <w:pPr>
              <w:pStyle w:val="a4"/>
            </w:pPr>
          </w:p>
        </w:tc>
        <w:tc>
          <w:tcPr>
            <w:tcW w:w="1300" w:type="dxa"/>
            <w:vAlign w:val="center"/>
            <w:hideMark/>
          </w:tcPr>
          <w:p w14:paraId="4964CEC2" w14:textId="77777777" w:rsidR="00137E6A" w:rsidRPr="004A42AC" w:rsidRDefault="00137E6A" w:rsidP="00743636">
            <w:pPr>
              <w:pStyle w:val="a4"/>
            </w:pPr>
            <w:proofErr w:type="spellStart"/>
            <w:r w:rsidRPr="004A42AC">
              <w:t>lbe</w:t>
            </w:r>
            <w:proofErr w:type="spellEnd"/>
          </w:p>
        </w:tc>
        <w:tc>
          <w:tcPr>
            <w:tcW w:w="3380" w:type="dxa"/>
            <w:vAlign w:val="center"/>
            <w:hideMark/>
          </w:tcPr>
          <w:p w14:paraId="3B5CD400" w14:textId="77777777" w:rsidR="00137E6A" w:rsidRPr="004A42AC" w:rsidRDefault="00137E6A" w:rsidP="00743636">
            <w:pPr>
              <w:pStyle w:val="a4"/>
            </w:pPr>
            <w:proofErr w:type="spellStart"/>
            <w:r w:rsidRPr="004A42AC">
              <w:t>лакку</w:t>
            </w:r>
            <w:proofErr w:type="spellEnd"/>
            <w:r w:rsidRPr="004A42AC">
              <w:t xml:space="preserve"> </w:t>
            </w:r>
            <w:proofErr w:type="spellStart"/>
            <w:r w:rsidRPr="004A42AC">
              <w:t>маз</w:t>
            </w:r>
            <w:proofErr w:type="spellEnd"/>
          </w:p>
        </w:tc>
        <w:tc>
          <w:tcPr>
            <w:tcW w:w="2060" w:type="dxa"/>
            <w:vAlign w:val="center"/>
            <w:hideMark/>
          </w:tcPr>
          <w:p w14:paraId="733DD093" w14:textId="77777777" w:rsidR="00137E6A" w:rsidRPr="004A42AC" w:rsidRDefault="00137E6A" w:rsidP="00743636">
            <w:pPr>
              <w:pStyle w:val="a4"/>
            </w:pPr>
            <w:proofErr w:type="spellStart"/>
            <w:r w:rsidRPr="004A42AC">
              <w:t>Lak</w:t>
            </w:r>
            <w:proofErr w:type="spellEnd"/>
          </w:p>
        </w:tc>
      </w:tr>
      <w:tr w:rsidR="00137E6A" w:rsidRPr="004A42AC" w14:paraId="22886C90" w14:textId="77777777" w:rsidTr="00743636">
        <w:trPr>
          <w:trHeight w:val="340"/>
        </w:trPr>
        <w:tc>
          <w:tcPr>
            <w:tcW w:w="1300" w:type="dxa"/>
            <w:vAlign w:val="center"/>
            <w:hideMark/>
          </w:tcPr>
          <w:p w14:paraId="75E93F1B" w14:textId="77777777" w:rsidR="00137E6A" w:rsidRPr="00296533" w:rsidRDefault="00137E6A" w:rsidP="00743636">
            <w:pPr>
              <w:pStyle w:val="a4"/>
              <w:rPr>
                <w:b/>
              </w:rPr>
            </w:pPr>
            <w:proofErr w:type="spellStart"/>
            <w:r w:rsidRPr="00296533">
              <w:rPr>
                <w:b/>
              </w:rPr>
              <w:t>lez</w:t>
            </w:r>
            <w:proofErr w:type="spellEnd"/>
          </w:p>
        </w:tc>
        <w:tc>
          <w:tcPr>
            <w:tcW w:w="1300" w:type="dxa"/>
            <w:vAlign w:val="center"/>
            <w:hideMark/>
          </w:tcPr>
          <w:p w14:paraId="1026F4C9" w14:textId="77777777" w:rsidR="00137E6A" w:rsidRPr="004A42AC" w:rsidRDefault="00137E6A" w:rsidP="00743636">
            <w:pPr>
              <w:pStyle w:val="a4"/>
            </w:pPr>
          </w:p>
        </w:tc>
        <w:tc>
          <w:tcPr>
            <w:tcW w:w="1300" w:type="dxa"/>
            <w:vAlign w:val="center"/>
            <w:hideMark/>
          </w:tcPr>
          <w:p w14:paraId="41896DCE" w14:textId="77777777" w:rsidR="00137E6A" w:rsidRPr="004A42AC" w:rsidRDefault="00137E6A" w:rsidP="00743636">
            <w:pPr>
              <w:pStyle w:val="a4"/>
            </w:pPr>
            <w:proofErr w:type="spellStart"/>
            <w:r w:rsidRPr="004A42AC">
              <w:t>lez</w:t>
            </w:r>
            <w:proofErr w:type="spellEnd"/>
          </w:p>
        </w:tc>
        <w:tc>
          <w:tcPr>
            <w:tcW w:w="3380" w:type="dxa"/>
            <w:vAlign w:val="center"/>
            <w:hideMark/>
          </w:tcPr>
          <w:p w14:paraId="504646CF" w14:textId="77777777" w:rsidR="00137E6A" w:rsidRPr="004A42AC" w:rsidRDefault="00137E6A" w:rsidP="00743636">
            <w:pPr>
              <w:pStyle w:val="a4"/>
            </w:pPr>
            <w:proofErr w:type="spellStart"/>
            <w:r w:rsidRPr="004A42AC">
              <w:t>лезги</w:t>
            </w:r>
            <w:proofErr w:type="spellEnd"/>
            <w:r w:rsidRPr="004A42AC">
              <w:t xml:space="preserve"> </w:t>
            </w:r>
            <w:proofErr w:type="spellStart"/>
            <w:r w:rsidRPr="004A42AC">
              <w:t>чӀал</w:t>
            </w:r>
            <w:proofErr w:type="spellEnd"/>
          </w:p>
        </w:tc>
        <w:tc>
          <w:tcPr>
            <w:tcW w:w="2060" w:type="dxa"/>
            <w:vAlign w:val="center"/>
            <w:hideMark/>
          </w:tcPr>
          <w:p w14:paraId="33175E46" w14:textId="77777777" w:rsidR="00137E6A" w:rsidRPr="004A42AC" w:rsidRDefault="00137E6A" w:rsidP="00743636">
            <w:pPr>
              <w:pStyle w:val="a4"/>
            </w:pPr>
            <w:proofErr w:type="spellStart"/>
            <w:r w:rsidRPr="004A42AC">
              <w:t>Lezgi</w:t>
            </w:r>
            <w:proofErr w:type="spellEnd"/>
          </w:p>
        </w:tc>
      </w:tr>
      <w:tr w:rsidR="00137E6A" w:rsidRPr="004A42AC" w14:paraId="38FB5B6E" w14:textId="77777777" w:rsidTr="00743636">
        <w:trPr>
          <w:trHeight w:val="320"/>
        </w:trPr>
        <w:tc>
          <w:tcPr>
            <w:tcW w:w="1300" w:type="dxa"/>
            <w:vAlign w:val="center"/>
            <w:hideMark/>
          </w:tcPr>
          <w:p w14:paraId="66B98E93" w14:textId="77777777" w:rsidR="00137E6A" w:rsidRPr="00296533" w:rsidRDefault="00137E6A" w:rsidP="00743636">
            <w:pPr>
              <w:pStyle w:val="a4"/>
              <w:rPr>
                <w:b/>
              </w:rPr>
            </w:pPr>
            <w:proofErr w:type="spellStart"/>
            <w:r w:rsidRPr="00296533">
              <w:rPr>
                <w:b/>
              </w:rPr>
              <w:t>mhr</w:t>
            </w:r>
            <w:proofErr w:type="spellEnd"/>
          </w:p>
        </w:tc>
        <w:tc>
          <w:tcPr>
            <w:tcW w:w="1300" w:type="dxa"/>
            <w:vAlign w:val="center"/>
            <w:hideMark/>
          </w:tcPr>
          <w:p w14:paraId="779F9B6E" w14:textId="77777777" w:rsidR="00137E6A" w:rsidRPr="004A42AC" w:rsidRDefault="00137E6A" w:rsidP="00743636">
            <w:pPr>
              <w:pStyle w:val="a4"/>
            </w:pPr>
          </w:p>
        </w:tc>
        <w:tc>
          <w:tcPr>
            <w:tcW w:w="1300" w:type="dxa"/>
            <w:vAlign w:val="center"/>
            <w:hideMark/>
          </w:tcPr>
          <w:p w14:paraId="411AB8BB" w14:textId="77777777" w:rsidR="00137E6A" w:rsidRPr="004A42AC" w:rsidRDefault="00137E6A" w:rsidP="00743636">
            <w:pPr>
              <w:pStyle w:val="a4"/>
            </w:pPr>
            <w:proofErr w:type="spellStart"/>
            <w:r w:rsidRPr="004A42AC">
              <w:t>mhr</w:t>
            </w:r>
            <w:proofErr w:type="spellEnd"/>
          </w:p>
        </w:tc>
        <w:tc>
          <w:tcPr>
            <w:tcW w:w="3380" w:type="dxa"/>
            <w:vAlign w:val="center"/>
            <w:hideMark/>
          </w:tcPr>
          <w:p w14:paraId="392DBBD2" w14:textId="77777777" w:rsidR="00137E6A" w:rsidRPr="004A42AC" w:rsidRDefault="00137E6A" w:rsidP="00743636">
            <w:pPr>
              <w:pStyle w:val="a4"/>
            </w:pPr>
            <w:proofErr w:type="spellStart"/>
            <w:r w:rsidRPr="004A42AC">
              <w:t>марий</w:t>
            </w:r>
            <w:proofErr w:type="spellEnd"/>
            <w:r w:rsidRPr="004A42AC">
              <w:t xml:space="preserve"> </w:t>
            </w:r>
            <w:proofErr w:type="spellStart"/>
            <w:r w:rsidRPr="004A42AC">
              <w:t>йылме</w:t>
            </w:r>
            <w:proofErr w:type="spellEnd"/>
          </w:p>
        </w:tc>
        <w:tc>
          <w:tcPr>
            <w:tcW w:w="2060" w:type="dxa"/>
            <w:vAlign w:val="center"/>
            <w:hideMark/>
          </w:tcPr>
          <w:p w14:paraId="2A8B319F" w14:textId="77777777" w:rsidR="00137E6A" w:rsidRPr="004A42AC" w:rsidRDefault="00137E6A" w:rsidP="00743636">
            <w:pPr>
              <w:pStyle w:val="a4"/>
            </w:pPr>
            <w:r w:rsidRPr="004A42AC">
              <w:t>Mari, Meadow</w:t>
            </w:r>
          </w:p>
        </w:tc>
      </w:tr>
      <w:tr w:rsidR="00137E6A" w:rsidRPr="004A42AC" w14:paraId="7848E107" w14:textId="77777777" w:rsidTr="00743636">
        <w:trPr>
          <w:trHeight w:val="320"/>
        </w:trPr>
        <w:tc>
          <w:tcPr>
            <w:tcW w:w="1300" w:type="dxa"/>
            <w:vAlign w:val="center"/>
            <w:hideMark/>
          </w:tcPr>
          <w:p w14:paraId="1DEF6D6B" w14:textId="77777777" w:rsidR="00137E6A" w:rsidRPr="00296533" w:rsidRDefault="00137E6A" w:rsidP="00743636">
            <w:pPr>
              <w:pStyle w:val="a4"/>
              <w:rPr>
                <w:b/>
              </w:rPr>
            </w:pPr>
            <w:r w:rsidRPr="00296533">
              <w:rPr>
                <w:b/>
              </w:rPr>
              <w:t>rut</w:t>
            </w:r>
          </w:p>
        </w:tc>
        <w:tc>
          <w:tcPr>
            <w:tcW w:w="1300" w:type="dxa"/>
            <w:vAlign w:val="center"/>
            <w:hideMark/>
          </w:tcPr>
          <w:p w14:paraId="05456F47" w14:textId="77777777" w:rsidR="00137E6A" w:rsidRPr="004A42AC" w:rsidRDefault="00137E6A" w:rsidP="00743636">
            <w:pPr>
              <w:pStyle w:val="a4"/>
            </w:pPr>
          </w:p>
        </w:tc>
        <w:tc>
          <w:tcPr>
            <w:tcW w:w="1300" w:type="dxa"/>
            <w:vAlign w:val="center"/>
            <w:hideMark/>
          </w:tcPr>
          <w:p w14:paraId="53CA9C42" w14:textId="77777777" w:rsidR="00137E6A" w:rsidRPr="004A42AC" w:rsidRDefault="00137E6A" w:rsidP="00743636">
            <w:pPr>
              <w:pStyle w:val="a4"/>
            </w:pPr>
            <w:r w:rsidRPr="004A42AC">
              <w:t>rut</w:t>
            </w:r>
          </w:p>
        </w:tc>
        <w:tc>
          <w:tcPr>
            <w:tcW w:w="3380" w:type="dxa"/>
            <w:vAlign w:val="center"/>
            <w:hideMark/>
          </w:tcPr>
          <w:p w14:paraId="1ED962ED" w14:textId="77777777" w:rsidR="00137E6A" w:rsidRPr="004A42AC" w:rsidRDefault="00137E6A" w:rsidP="00743636">
            <w:pPr>
              <w:pStyle w:val="a4"/>
            </w:pPr>
            <w:proofErr w:type="spellStart"/>
            <w:r w:rsidRPr="004A42AC">
              <w:t>мыхIабишды</w:t>
            </w:r>
            <w:proofErr w:type="spellEnd"/>
            <w:r w:rsidRPr="004A42AC">
              <w:t xml:space="preserve"> </w:t>
            </w:r>
            <w:proofErr w:type="spellStart"/>
            <w:r w:rsidRPr="004A42AC">
              <w:t>чIел</w:t>
            </w:r>
            <w:proofErr w:type="spellEnd"/>
          </w:p>
        </w:tc>
        <w:tc>
          <w:tcPr>
            <w:tcW w:w="2060" w:type="dxa"/>
            <w:vAlign w:val="center"/>
            <w:hideMark/>
          </w:tcPr>
          <w:p w14:paraId="14B4D480" w14:textId="77777777" w:rsidR="00137E6A" w:rsidRPr="004A42AC" w:rsidRDefault="00137E6A" w:rsidP="00743636">
            <w:pPr>
              <w:pStyle w:val="a4"/>
            </w:pPr>
            <w:proofErr w:type="spellStart"/>
            <w:r w:rsidRPr="004A42AC">
              <w:t>Rutul</w:t>
            </w:r>
            <w:proofErr w:type="spellEnd"/>
          </w:p>
        </w:tc>
      </w:tr>
      <w:tr w:rsidR="00137E6A" w:rsidRPr="004A42AC" w14:paraId="1D551378" w14:textId="77777777" w:rsidTr="00743636">
        <w:trPr>
          <w:trHeight w:val="320"/>
        </w:trPr>
        <w:tc>
          <w:tcPr>
            <w:tcW w:w="1300" w:type="dxa"/>
            <w:vAlign w:val="center"/>
            <w:hideMark/>
          </w:tcPr>
          <w:p w14:paraId="1EEDC208" w14:textId="77777777" w:rsidR="00137E6A" w:rsidRPr="00296533" w:rsidRDefault="00137E6A" w:rsidP="00743636">
            <w:pPr>
              <w:pStyle w:val="a4"/>
              <w:rPr>
                <w:b/>
              </w:rPr>
            </w:pPr>
            <w:r w:rsidRPr="00296533">
              <w:rPr>
                <w:b/>
              </w:rPr>
              <w:t>tab</w:t>
            </w:r>
          </w:p>
        </w:tc>
        <w:tc>
          <w:tcPr>
            <w:tcW w:w="1300" w:type="dxa"/>
            <w:vAlign w:val="center"/>
            <w:hideMark/>
          </w:tcPr>
          <w:p w14:paraId="22396362" w14:textId="77777777" w:rsidR="00137E6A" w:rsidRPr="004A42AC" w:rsidRDefault="00137E6A" w:rsidP="00743636">
            <w:pPr>
              <w:pStyle w:val="a4"/>
            </w:pPr>
          </w:p>
        </w:tc>
        <w:tc>
          <w:tcPr>
            <w:tcW w:w="1300" w:type="dxa"/>
            <w:vAlign w:val="center"/>
            <w:hideMark/>
          </w:tcPr>
          <w:p w14:paraId="0EA65C1B" w14:textId="77777777" w:rsidR="00137E6A" w:rsidRPr="004A42AC" w:rsidRDefault="00137E6A" w:rsidP="00743636">
            <w:pPr>
              <w:pStyle w:val="a4"/>
            </w:pPr>
            <w:r w:rsidRPr="004A42AC">
              <w:t>tab</w:t>
            </w:r>
          </w:p>
        </w:tc>
        <w:tc>
          <w:tcPr>
            <w:tcW w:w="3380" w:type="dxa"/>
            <w:vAlign w:val="center"/>
            <w:hideMark/>
          </w:tcPr>
          <w:p w14:paraId="1F281F73" w14:textId="77777777" w:rsidR="00137E6A" w:rsidRPr="004A42AC" w:rsidRDefault="00137E6A" w:rsidP="00743636">
            <w:pPr>
              <w:pStyle w:val="a4"/>
            </w:pPr>
            <w:proofErr w:type="spellStart"/>
            <w:r w:rsidRPr="004A42AC">
              <w:t>табасаран</w:t>
            </w:r>
            <w:proofErr w:type="spellEnd"/>
            <w:r w:rsidRPr="004A42AC">
              <w:t xml:space="preserve"> </w:t>
            </w:r>
            <w:proofErr w:type="spellStart"/>
            <w:r w:rsidRPr="004A42AC">
              <w:t>чIал</w:t>
            </w:r>
            <w:proofErr w:type="spellEnd"/>
          </w:p>
        </w:tc>
        <w:tc>
          <w:tcPr>
            <w:tcW w:w="2060" w:type="dxa"/>
            <w:vAlign w:val="center"/>
            <w:hideMark/>
          </w:tcPr>
          <w:p w14:paraId="614B35A0" w14:textId="77777777" w:rsidR="00137E6A" w:rsidRPr="004A42AC" w:rsidRDefault="00137E6A" w:rsidP="00743636">
            <w:pPr>
              <w:pStyle w:val="a4"/>
            </w:pPr>
            <w:proofErr w:type="spellStart"/>
            <w:r w:rsidRPr="004A42AC">
              <w:t>Tabassaran</w:t>
            </w:r>
            <w:proofErr w:type="spellEnd"/>
          </w:p>
        </w:tc>
      </w:tr>
      <w:tr w:rsidR="00137E6A" w:rsidRPr="004A42AC" w14:paraId="44E1A126" w14:textId="77777777" w:rsidTr="00743636">
        <w:trPr>
          <w:trHeight w:val="320"/>
        </w:trPr>
        <w:tc>
          <w:tcPr>
            <w:tcW w:w="1300" w:type="dxa"/>
            <w:vAlign w:val="center"/>
            <w:hideMark/>
          </w:tcPr>
          <w:p w14:paraId="63D89BFD" w14:textId="77777777" w:rsidR="00137E6A" w:rsidRPr="00296533" w:rsidRDefault="00137E6A" w:rsidP="00743636">
            <w:pPr>
              <w:pStyle w:val="a4"/>
              <w:rPr>
                <w:b/>
              </w:rPr>
            </w:pPr>
            <w:proofErr w:type="spellStart"/>
            <w:r w:rsidRPr="00296533">
              <w:rPr>
                <w:b/>
              </w:rPr>
              <w:t>tyv</w:t>
            </w:r>
            <w:proofErr w:type="spellEnd"/>
          </w:p>
        </w:tc>
        <w:tc>
          <w:tcPr>
            <w:tcW w:w="1300" w:type="dxa"/>
            <w:vAlign w:val="center"/>
            <w:hideMark/>
          </w:tcPr>
          <w:p w14:paraId="07E517FF" w14:textId="77777777" w:rsidR="00137E6A" w:rsidRPr="004A42AC" w:rsidRDefault="00137E6A" w:rsidP="00743636">
            <w:pPr>
              <w:pStyle w:val="a4"/>
            </w:pPr>
          </w:p>
        </w:tc>
        <w:tc>
          <w:tcPr>
            <w:tcW w:w="1300" w:type="dxa"/>
            <w:vAlign w:val="center"/>
            <w:hideMark/>
          </w:tcPr>
          <w:p w14:paraId="7AD6585E" w14:textId="77777777" w:rsidR="00137E6A" w:rsidRPr="004A42AC" w:rsidRDefault="00137E6A" w:rsidP="00743636">
            <w:pPr>
              <w:pStyle w:val="a4"/>
            </w:pPr>
            <w:proofErr w:type="spellStart"/>
            <w:r w:rsidRPr="004A42AC">
              <w:t>tyv</w:t>
            </w:r>
            <w:proofErr w:type="spellEnd"/>
          </w:p>
        </w:tc>
        <w:tc>
          <w:tcPr>
            <w:tcW w:w="3380" w:type="dxa"/>
            <w:vAlign w:val="center"/>
            <w:hideMark/>
          </w:tcPr>
          <w:p w14:paraId="0C08F9F9" w14:textId="77777777" w:rsidR="00137E6A" w:rsidRPr="004A42AC" w:rsidRDefault="00137E6A" w:rsidP="00743636">
            <w:pPr>
              <w:pStyle w:val="a4"/>
            </w:pPr>
            <w:proofErr w:type="spellStart"/>
            <w:r w:rsidRPr="004A42AC">
              <w:t>тыва</w:t>
            </w:r>
            <w:proofErr w:type="spellEnd"/>
            <w:r w:rsidRPr="004A42AC">
              <w:t xml:space="preserve"> </w:t>
            </w:r>
            <w:proofErr w:type="spellStart"/>
            <w:r w:rsidRPr="004A42AC">
              <w:t>дыл</w:t>
            </w:r>
            <w:proofErr w:type="spellEnd"/>
          </w:p>
        </w:tc>
        <w:tc>
          <w:tcPr>
            <w:tcW w:w="2060" w:type="dxa"/>
            <w:vAlign w:val="center"/>
            <w:hideMark/>
          </w:tcPr>
          <w:p w14:paraId="4F6A879E" w14:textId="77777777" w:rsidR="00137E6A" w:rsidRPr="004A42AC" w:rsidRDefault="00137E6A" w:rsidP="00743636">
            <w:pPr>
              <w:pStyle w:val="a4"/>
            </w:pPr>
            <w:proofErr w:type="spellStart"/>
            <w:r w:rsidRPr="004A42AC">
              <w:t>Tuva</w:t>
            </w:r>
            <w:proofErr w:type="spellEnd"/>
          </w:p>
        </w:tc>
      </w:tr>
    </w:tbl>
    <w:commentRangeEnd w:id="15"/>
    <w:p w14:paraId="1EF00619" w14:textId="77777777" w:rsidR="00137E6A" w:rsidRDefault="002F2D63" w:rsidP="00137E6A">
      <w:r>
        <w:rPr>
          <w:rStyle w:val="a9"/>
        </w:rPr>
        <w:commentReference w:id="15"/>
      </w:r>
    </w:p>
    <w:p w14:paraId="7926B802" w14:textId="77777777" w:rsidR="00296533" w:rsidRDefault="00137E6A" w:rsidP="00137E6A">
      <w:r w:rsidRPr="004A42AC">
        <w:t xml:space="preserve">There are also 15 other official languages in the constituent republics of the Russian Federation, many of them </w:t>
      </w:r>
      <w:r w:rsidR="00296533">
        <w:t>scored as "Vigorous" in the EGIDS even though</w:t>
      </w:r>
      <w:r w:rsidR="00296533" w:rsidRPr="004A42AC">
        <w:t xml:space="preserve"> none  of them achieve the threshold of Status 4 Educational.</w:t>
      </w:r>
    </w:p>
    <w:p w14:paraId="5D6E1724" w14:textId="77777777" w:rsidR="008D6368" w:rsidRDefault="00296533" w:rsidP="00137E6A">
      <w:r>
        <w:t>They include</w:t>
      </w:r>
      <w:r w:rsidR="00137E6A" w:rsidRPr="004A42AC">
        <w:t xml:space="preserve"> </w:t>
      </w:r>
      <w:proofErr w:type="spellStart"/>
      <w:r w:rsidR="00137E6A" w:rsidRPr="004A42AC">
        <w:t>Abaza</w:t>
      </w:r>
      <w:proofErr w:type="spellEnd"/>
      <w:r w:rsidR="00137E6A" w:rsidRPr="004A42AC">
        <w:t xml:space="preserve">, </w:t>
      </w:r>
      <w:proofErr w:type="spellStart"/>
      <w:r w:rsidR="00137E6A" w:rsidRPr="004A42AC">
        <w:t>Buryat</w:t>
      </w:r>
      <w:proofErr w:type="spellEnd"/>
      <w:r w:rsidR="00137E6A" w:rsidRPr="004A42AC">
        <w:t xml:space="preserve">, </w:t>
      </w:r>
      <w:proofErr w:type="spellStart"/>
      <w:r w:rsidR="00137E6A" w:rsidRPr="004A42AC">
        <w:t>Cherkes</w:t>
      </w:r>
      <w:proofErr w:type="spellEnd"/>
      <w:r w:rsidR="00137E6A" w:rsidRPr="004A42AC">
        <w:t xml:space="preserve">, Crimean Tatar, </w:t>
      </w:r>
      <w:proofErr w:type="spellStart"/>
      <w:r w:rsidR="00137E6A" w:rsidRPr="004A42AC">
        <w:t>Erzya+Moksha</w:t>
      </w:r>
      <w:proofErr w:type="spellEnd"/>
      <w:r w:rsidR="00137E6A" w:rsidRPr="004A42AC">
        <w:t xml:space="preserve"> = </w:t>
      </w:r>
      <w:proofErr w:type="spellStart"/>
      <w:r w:rsidR="00137E6A" w:rsidRPr="004A42AC">
        <w:t>Mordvin</w:t>
      </w:r>
      <w:proofErr w:type="spellEnd"/>
      <w:r w:rsidR="00137E6A" w:rsidRPr="004A42AC">
        <w:t xml:space="preserve">, </w:t>
      </w:r>
      <w:proofErr w:type="spellStart"/>
      <w:r w:rsidR="00137E6A" w:rsidRPr="004A42AC">
        <w:t>Kabardian</w:t>
      </w:r>
      <w:proofErr w:type="spellEnd"/>
      <w:r w:rsidR="00137E6A" w:rsidRPr="004A42AC">
        <w:t xml:space="preserve">, Kalmyk, </w:t>
      </w:r>
      <w:proofErr w:type="spellStart"/>
      <w:r w:rsidR="00137E6A" w:rsidRPr="004A42AC">
        <w:t>Karachay-Balkar</w:t>
      </w:r>
      <w:proofErr w:type="spellEnd"/>
      <w:r w:rsidR="00137E6A" w:rsidRPr="004A42AC">
        <w:t xml:space="preserve">, </w:t>
      </w:r>
      <w:proofErr w:type="spellStart"/>
      <w:r w:rsidR="00137E6A" w:rsidRPr="004A42AC">
        <w:t>Khakas</w:t>
      </w:r>
      <w:proofErr w:type="spellEnd"/>
      <w:r w:rsidR="00137E6A" w:rsidRPr="004A42AC">
        <w:t xml:space="preserve">, </w:t>
      </w:r>
      <w:proofErr w:type="spellStart"/>
      <w:r w:rsidR="00137E6A" w:rsidRPr="004A42AC">
        <w:t>Komi</w:t>
      </w:r>
      <w:proofErr w:type="spellEnd"/>
      <w:r w:rsidR="00137E6A" w:rsidRPr="004A42AC">
        <w:t xml:space="preserve">, Hill Mari, </w:t>
      </w:r>
      <w:proofErr w:type="spellStart"/>
      <w:r w:rsidR="00137E6A" w:rsidRPr="004A42AC">
        <w:t>Nogay</w:t>
      </w:r>
      <w:proofErr w:type="spellEnd"/>
      <w:r w:rsidR="00137E6A" w:rsidRPr="004A42AC">
        <w:t>, Ossetic</w:t>
      </w:r>
      <w:proofErr w:type="gramStart"/>
      <w:r w:rsidR="00137E6A" w:rsidRPr="004A42AC">
        <w:t xml:space="preserve">, </w:t>
      </w:r>
      <w:r>
        <w:t xml:space="preserve"> and</w:t>
      </w:r>
      <w:proofErr w:type="gramEnd"/>
      <w:r>
        <w:t xml:space="preserve"> </w:t>
      </w:r>
      <w:proofErr w:type="spellStart"/>
      <w:r w:rsidR="00137E6A" w:rsidRPr="004A42AC">
        <w:t>Udmurt</w:t>
      </w:r>
      <w:proofErr w:type="spellEnd"/>
      <w:r w:rsidR="00137E6A" w:rsidRPr="004A42AC">
        <w:t xml:space="preserve"> </w:t>
      </w:r>
    </w:p>
    <w:p w14:paraId="637AA800" w14:textId="77777777" w:rsidR="008D6368" w:rsidRDefault="00137E6A" w:rsidP="00137E6A">
      <w:r w:rsidRPr="004A42AC">
        <w:t>Overall, there are approximately 60 languages still spoken in the European part of Russian Federation, and another 45 in the Asian part.</w:t>
      </w:r>
    </w:p>
    <w:p w14:paraId="738C05BA" w14:textId="77777777" w:rsidR="008D6368" w:rsidRDefault="00137E6A" w:rsidP="00137E6A">
      <w:r w:rsidRPr="004A42AC">
        <w:t>Almost all these languages are customarily written in Cyrillic.</w:t>
      </w:r>
    </w:p>
    <w:p w14:paraId="5DC4A8D4" w14:textId="77777777" w:rsidR="003E2874" w:rsidRDefault="003E2874" w:rsidP="004A42AC"/>
    <w:p w14:paraId="5C8DBB62" w14:textId="77777777" w:rsidR="003E2874" w:rsidRDefault="008D6368" w:rsidP="0014373D">
      <w:pPr>
        <w:pStyle w:val="2"/>
      </w:pPr>
      <w:r>
        <w:rPr>
          <w:rFonts w:cs="Calibri"/>
        </w:rPr>
        <w:t xml:space="preserve">Section </w:t>
      </w:r>
      <w:r w:rsidR="004A42AC">
        <w:rPr>
          <w:rFonts w:cs="Calibri"/>
        </w:rPr>
        <w:t>1.5.</w:t>
      </w:r>
      <w:r w:rsidR="004A42AC">
        <w:rPr>
          <w:sz w:val="14"/>
          <w:szCs w:val="14"/>
        </w:rPr>
        <w:t xml:space="preserve">  </w:t>
      </w:r>
      <w:r w:rsidR="004A42AC">
        <w:t xml:space="preserve">The related scripts </w:t>
      </w:r>
    </w:p>
    <w:p w14:paraId="445A8DCC" w14:textId="77777777" w:rsidR="008D6368" w:rsidRDefault="004A42AC" w:rsidP="004A42AC">
      <w:r>
        <w:t>This section seems to be mainly included to stress the wide range of languages written with versions of Cyrillic</w:t>
      </w:r>
      <w:r w:rsidR="00DA3C21">
        <w:t>, without going into details</w:t>
      </w:r>
      <w:r>
        <w:t>. Fair enough, but it would be useful if under each geographical/genetic group heading it would give a list of the actual languages th</w:t>
      </w:r>
      <w:r w:rsidR="00DA3C21">
        <w:t>at</w:t>
      </w:r>
      <w:r>
        <w:t xml:space="preserve"> are written in Cyrillic. </w:t>
      </w:r>
      <w:r w:rsidR="00DA3C21">
        <w:t>The members of</w:t>
      </w:r>
      <w:r>
        <w:t xml:space="preserve"> these groups are not exclusively written in Cyrillic, after all</w:t>
      </w:r>
      <w:r w:rsidR="00DA3C21">
        <w:t>; and most of them extend outside the range of the Cyrillic-using zone, e.g. into Iran, China and Finland</w:t>
      </w:r>
      <w:r>
        <w:t>.</w:t>
      </w:r>
    </w:p>
    <w:p w14:paraId="60FE93DD" w14:textId="77777777" w:rsidR="0014373D" w:rsidRDefault="0014373D" w:rsidP="004A42AC">
      <w:r>
        <w:t>The section is mistitled, because it does not refer to related scripts (those would be Latin, Greek, and also Armenian).</w:t>
      </w:r>
    </w:p>
    <w:p w14:paraId="217B6D70" w14:textId="77777777" w:rsidR="003E2874" w:rsidRDefault="008D6368" w:rsidP="0014373D">
      <w:pPr>
        <w:pStyle w:val="2"/>
      </w:pPr>
      <w:r>
        <w:rPr>
          <w:rFonts w:cs="Calibri"/>
        </w:rPr>
        <w:lastRenderedPageBreak/>
        <w:t xml:space="preserve">Section </w:t>
      </w:r>
      <w:r w:rsidR="004A42AC">
        <w:rPr>
          <w:rFonts w:cs="Calibri"/>
        </w:rPr>
        <w:t>1.6.</w:t>
      </w:r>
      <w:r w:rsidR="004A42AC">
        <w:rPr>
          <w:sz w:val="14"/>
          <w:szCs w:val="14"/>
        </w:rPr>
        <w:t xml:space="preserve">  </w:t>
      </w:r>
      <w:r w:rsidR="004A42AC">
        <w:t xml:space="preserve">Some features of subject </w:t>
      </w:r>
    </w:p>
    <w:p w14:paraId="17222799" w14:textId="77777777" w:rsidR="004A42AC" w:rsidRDefault="004A42AC" w:rsidP="004A42AC">
      <w:r>
        <w:t>This section</w:t>
      </w:r>
      <w:r w:rsidR="00C66BA9">
        <w:t xml:space="preserve"> combines several issues but is not organized</w:t>
      </w:r>
      <w:r>
        <w:t xml:space="preserve"> in a way </w:t>
      </w:r>
      <w:r w:rsidR="00C66BA9">
        <w:t>that identifies the separate topics</w:t>
      </w:r>
      <w:r>
        <w:t xml:space="preserve">. It would have been better to set out each topic </w:t>
      </w:r>
      <w:r w:rsidR="00D44E5D">
        <w:t>a</w:t>
      </w:r>
      <w:r>
        <w:t xml:space="preserve">s a separate subsection and include a paragraph, either at the beginning, or preferably at the end, of the subsection, to state its point: what theoretical issue is illustrated by these concrete facts? </w:t>
      </w:r>
      <w:r w:rsidR="00C66BA9">
        <w:t>Doing so would aid the reader, but might</w:t>
      </w:r>
      <w:r>
        <w:t xml:space="preserve"> help the writers </w:t>
      </w:r>
      <w:r w:rsidR="00C66BA9">
        <w:t>to</w:t>
      </w:r>
      <w:r>
        <w:t xml:space="preserve"> </w:t>
      </w:r>
      <w:r w:rsidR="00C66BA9">
        <w:t xml:space="preserve">better </w:t>
      </w:r>
      <w:r>
        <w:t>see how their "features of subject" relate to one another.</w:t>
      </w:r>
    </w:p>
    <w:p w14:paraId="1455DE1E" w14:textId="77777777" w:rsidR="003E2874" w:rsidRDefault="00C66BA9" w:rsidP="004A42AC">
      <w:r>
        <w:t>The section appears to be divided into</w:t>
      </w:r>
      <w:r w:rsidR="004A42AC">
        <w:t xml:space="preserve"> the following </w:t>
      </w:r>
      <w:r>
        <w:t>topics</w:t>
      </w:r>
      <w:r w:rsidR="00D44E5D">
        <w:t>:</w:t>
      </w:r>
    </w:p>
    <w:p w14:paraId="3D36EDF4" w14:textId="77777777" w:rsidR="00892AC0" w:rsidRDefault="00892AC0" w:rsidP="00892AC0">
      <w:pPr>
        <w:pStyle w:val="4"/>
        <w:rPr>
          <w:rStyle w:val="20"/>
        </w:rPr>
      </w:pPr>
      <w:bookmarkStart w:id="16" w:name="OLE_LINK8"/>
      <w:bookmarkStart w:id="17" w:name="OLE_LINK9"/>
      <w:r w:rsidRPr="004A42AC">
        <w:rPr>
          <w:rFonts w:eastAsia="Times New Roman"/>
        </w:rPr>
        <w:t xml:space="preserve">§ </w:t>
      </w:r>
      <w:r>
        <w:t xml:space="preserve">127-130 </w:t>
      </w:r>
      <w:r>
        <w:rPr>
          <w:rStyle w:val="20"/>
        </w:rPr>
        <w:t>Montenegrin</w:t>
      </w:r>
    </w:p>
    <w:bookmarkEnd w:id="16"/>
    <w:bookmarkEnd w:id="17"/>
    <w:p w14:paraId="7F53874C" w14:textId="77777777" w:rsidR="004A42AC" w:rsidRDefault="00892AC0" w:rsidP="004A42AC">
      <w:r>
        <w:t>This section</w:t>
      </w:r>
      <w:r w:rsidR="004A42AC">
        <w:t xml:space="preserve"> </w:t>
      </w:r>
      <w:r w:rsidR="00C66BA9">
        <w:t>claims that new code points are needed for Monten</w:t>
      </w:r>
      <w:r w:rsidR="000F139E">
        <w:t>e</w:t>
      </w:r>
      <w:r w:rsidR="00C66BA9">
        <w:t>grin and</w:t>
      </w:r>
      <w:r w:rsidR="004A42AC">
        <w:t xml:space="preserve"> that the Cyrillic LGR cannot fully incorporate Montenegrin until the encoding is stable.</w:t>
      </w:r>
    </w:p>
    <w:p w14:paraId="427A70C3" w14:textId="77777777" w:rsidR="004A42AC" w:rsidRDefault="00C66BA9" w:rsidP="004A42AC">
      <w:pPr>
        <w:rPr>
          <w:rFonts w:ascii="Times New Roman" w:eastAsia="Times New Roman" w:hAnsi="Times New Roman" w:cs="Times New Roman"/>
          <w:sz w:val="24"/>
          <w:szCs w:val="24"/>
          <w:lang w:eastAsia="ja-JP"/>
        </w:rPr>
      </w:pPr>
      <w:r w:rsidRPr="00C66BA9">
        <w:t>The Integration Panel disputes this claim.</w:t>
      </w:r>
      <w:r w:rsidR="004A42AC" w:rsidRPr="00C66BA9">
        <w:t xml:space="preserve"> The letters in question can</w:t>
      </w:r>
      <w:r>
        <w:t xml:space="preserve"> already</w:t>
      </w:r>
      <w:r w:rsidR="004A42AC" w:rsidRPr="00C66BA9">
        <w:t xml:space="preserve"> be represented by combining sequences</w:t>
      </w:r>
      <w:bookmarkStart w:id="18" w:name="OLE_LINK10"/>
      <w:bookmarkStart w:id="19" w:name="OLE_LINK11"/>
      <w:r>
        <w:t>, such as</w:t>
      </w:r>
      <w:r w:rsidR="009E4BF0">
        <w:t xml:space="preserve"> </w:t>
      </w:r>
      <w:r>
        <w:t>U+</w:t>
      </w:r>
      <w:r w:rsidRPr="00C66BA9">
        <w:t xml:space="preserve">0417/0437 </w:t>
      </w:r>
      <w:bookmarkEnd w:id="18"/>
      <w:bookmarkEnd w:id="19"/>
      <w:r w:rsidRPr="00C66BA9">
        <w:t xml:space="preserve">CYRILLIC CAPITAL/SMALL LETTER ZE </w:t>
      </w:r>
      <w:r w:rsidR="004A42AC" w:rsidRPr="00C66BA9">
        <w:t xml:space="preserve">followed by </w:t>
      </w:r>
      <w:r>
        <w:t xml:space="preserve">U+301 </w:t>
      </w:r>
      <w:r w:rsidRPr="00C66BA9">
        <w:t>COMBINING ACUTE ACCENT</w:t>
      </w:r>
      <w:r w:rsidR="004A42AC" w:rsidRPr="00C66BA9">
        <w:t xml:space="preserve">. </w:t>
      </w:r>
      <w:r>
        <w:t>All the required lower case letters and combining</w:t>
      </w:r>
      <w:r w:rsidR="004A42AC" w:rsidRPr="00C66BA9">
        <w:t xml:space="preserve"> code points (</w:t>
      </w:r>
      <w:r>
        <w:t>U+0417, U+</w:t>
      </w:r>
      <w:r w:rsidR="004A42AC" w:rsidRPr="00C66BA9">
        <w:t xml:space="preserve">0437 and </w:t>
      </w:r>
      <w:r>
        <w:t>U+</w:t>
      </w:r>
      <w:r w:rsidR="004A42AC" w:rsidRPr="00C66BA9">
        <w:t xml:space="preserve">0301) are available in the MSR. </w:t>
      </w:r>
      <w:r>
        <w:t>Due to the constraints imposed on the Unicode Standard in terms of</w:t>
      </w:r>
      <w:r w:rsidR="004A42AC" w:rsidRPr="00C66BA9">
        <w:t xml:space="preserve"> normalization stability, pre-composed forms </w:t>
      </w:r>
      <w:r>
        <w:t xml:space="preserve">for these sequences </w:t>
      </w:r>
      <w:r w:rsidR="004A42AC" w:rsidRPr="00C66BA9">
        <w:t xml:space="preserve">will never be encoded. </w:t>
      </w:r>
      <w:bookmarkStart w:id="20" w:name="OLE_LINK12"/>
      <w:bookmarkStart w:id="21" w:name="OLE_LINK13"/>
      <w:r>
        <w:t xml:space="preserve">As a result, the expectation expressed </w:t>
      </w:r>
      <w:r w:rsidR="004A42AC" w:rsidRPr="00C66BA9">
        <w:t xml:space="preserve">in the sentence </w:t>
      </w:r>
      <w:r w:rsidRPr="004A42AC">
        <w:rPr>
          <w:rFonts w:eastAsia="Times New Roman"/>
        </w:rPr>
        <w:t xml:space="preserve">§ </w:t>
      </w:r>
      <w:r w:rsidR="004A42AC" w:rsidRPr="00C66BA9">
        <w:t xml:space="preserve">128 </w:t>
      </w:r>
      <w:r>
        <w:t>of forthcoming</w:t>
      </w:r>
      <w:r w:rsidRPr="00C66BA9">
        <w:t xml:space="preserve"> </w:t>
      </w:r>
      <w:r w:rsidR="004A42AC" w:rsidRPr="00C66BA9">
        <w:t xml:space="preserve">Unicode code points for the pre-composed characters </w:t>
      </w:r>
      <w:r>
        <w:t>has no basis in fact</w:t>
      </w:r>
      <w:r w:rsidR="00134D16">
        <w:t>. I</w:t>
      </w:r>
      <w:r>
        <w:t xml:space="preserve">n consequence </w:t>
      </w:r>
      <w:r w:rsidR="004A42AC" w:rsidRPr="00C66BA9">
        <w:t>there</w:t>
      </w:r>
      <w:r>
        <w:t xml:space="preserve"> should</w:t>
      </w:r>
      <w:r w:rsidR="004A42AC" w:rsidRPr="00C66BA9">
        <w:t xml:space="preserve"> </w:t>
      </w:r>
      <w:r>
        <w:t>be</w:t>
      </w:r>
      <w:r w:rsidRPr="00C66BA9">
        <w:t xml:space="preserve"> </w:t>
      </w:r>
      <w:r w:rsidR="004A42AC" w:rsidRPr="00C66BA9">
        <w:t>no representation issue for Montenegrin.</w:t>
      </w:r>
      <w:bookmarkEnd w:id="20"/>
      <w:bookmarkEnd w:id="21"/>
    </w:p>
    <w:p w14:paraId="6E44AFF2" w14:textId="77777777" w:rsidR="008D6368" w:rsidRDefault="008D6368" w:rsidP="008D6368">
      <w:pPr>
        <w:pStyle w:val="4"/>
        <w:rPr>
          <w:rStyle w:val="20"/>
        </w:rPr>
      </w:pPr>
      <w:r w:rsidRPr="004A42AC">
        <w:rPr>
          <w:rFonts w:eastAsia="Times New Roman"/>
        </w:rPr>
        <w:t xml:space="preserve">§ </w:t>
      </w:r>
      <w:r>
        <w:t xml:space="preserve">131-135 </w:t>
      </w:r>
      <w:r>
        <w:rPr>
          <w:rStyle w:val="20"/>
        </w:rPr>
        <w:t>Ukrainian and Belarus</w:t>
      </w:r>
      <w:r w:rsidR="00892AC0">
        <w:rPr>
          <w:rStyle w:val="20"/>
        </w:rPr>
        <w:t>,</w:t>
      </w:r>
      <w:r w:rsidR="00892AC0" w:rsidRPr="00892AC0">
        <w:t xml:space="preserve"> </w:t>
      </w:r>
      <w:r w:rsidR="00892AC0">
        <w:t xml:space="preserve">discussing the need for </w:t>
      </w:r>
      <w:r w:rsidR="0014373D">
        <w:t>U+</w:t>
      </w:r>
      <w:r w:rsidR="00892AC0">
        <w:t>02BC</w:t>
      </w:r>
    </w:p>
    <w:p w14:paraId="5C1EBF36" w14:textId="77777777" w:rsidR="008D6368" w:rsidRPr="00C66BA9" w:rsidRDefault="008D6368" w:rsidP="008D6368">
      <w:r w:rsidRPr="00C66BA9">
        <w:t xml:space="preserve">The code point (U+02BC) is currently not part of the MSR. To get it into the MSR, the Cyrillic GP would have to convince the IP to add it to MSR-3. There are some Latin script languages that also use this code point. Without it, clearly some languages face a restricted dictionary when it comes to labels; it is therefore understandable that the respective communities would argue for an inclusion. The biggest problem of allowing it for Latin is that it would constitute a convenient "visual fallback" for the apostrophe in English, French and other languages where it serves as contraction, rather than a letter. </w:t>
      </w:r>
    </w:p>
    <w:p w14:paraId="229A74D4" w14:textId="77777777" w:rsidR="008D6368" w:rsidRPr="00C66BA9" w:rsidRDefault="008D6368" w:rsidP="008D6368">
      <w:r w:rsidRPr="00C66BA9">
        <w:t xml:space="preserve">However, because of the lack of linguistic context for the Root Zone, it would be impossible to restrict the use of U+02BC to contexts where it cannot be </w:t>
      </w:r>
      <w:proofErr w:type="spellStart"/>
      <w:r w:rsidRPr="00C66BA9">
        <w:t>mis</w:t>
      </w:r>
      <w:proofErr w:type="spellEnd"/>
      <w:r w:rsidRPr="00C66BA9">
        <w:t>-used as a visual fallback for apostrophe.</w:t>
      </w:r>
    </w:p>
    <w:p w14:paraId="1A80A64F" w14:textId="77777777" w:rsidR="003E2874" w:rsidRPr="00C66BA9" w:rsidRDefault="00296533" w:rsidP="004A42AC">
      <w:commentRangeStart w:id="22"/>
      <w:r w:rsidRPr="00C66BA9">
        <w:t>Many in the Integration Panel consider</w:t>
      </w:r>
      <w:r w:rsidR="004A42AC" w:rsidRPr="00C66BA9">
        <w:t xml:space="preserve"> the discussion about 02BC Modifier Letter a nonstarter based on the principle</w:t>
      </w:r>
      <w:r w:rsidRPr="00C66BA9">
        <w:t xml:space="preserve"> of not supporting punctuation</w:t>
      </w:r>
      <w:r w:rsidR="004A42AC" w:rsidRPr="00C66BA9">
        <w:t xml:space="preserve">. </w:t>
      </w:r>
      <w:commentRangeEnd w:id="22"/>
      <w:r w:rsidR="002F2D63">
        <w:rPr>
          <w:rStyle w:val="a9"/>
        </w:rPr>
        <w:commentReference w:id="22"/>
      </w:r>
    </w:p>
    <w:p w14:paraId="5478EE81" w14:textId="77777777" w:rsidR="008D6368" w:rsidRDefault="008D6368" w:rsidP="008D6368">
      <w:pPr>
        <w:pStyle w:val="4"/>
      </w:pPr>
      <w:bookmarkStart w:id="23" w:name="OLE_LINK16"/>
      <w:bookmarkStart w:id="24" w:name="OLE_LINK17"/>
      <w:r>
        <w:rPr>
          <w:rStyle w:val="20"/>
          <w:lang w:val="de-DE"/>
        </w:rPr>
        <w:t xml:space="preserve">§136-147 </w:t>
      </w:r>
      <w:bookmarkEnd w:id="23"/>
      <w:bookmarkEnd w:id="24"/>
      <w:r w:rsidR="00C66BA9">
        <w:rPr>
          <w:rStyle w:val="20"/>
        </w:rPr>
        <w:t>Co</w:t>
      </w:r>
      <w:r w:rsidRPr="00C113BF">
        <w:rPr>
          <w:rStyle w:val="20"/>
        </w:rPr>
        <w:t>nsidering Upper Case in establishing homoglyphs</w:t>
      </w:r>
    </w:p>
    <w:p w14:paraId="3E62A17B" w14:textId="77777777" w:rsidR="003E2874" w:rsidRPr="00C66BA9" w:rsidRDefault="00DE0173" w:rsidP="004A42AC">
      <w:r w:rsidRPr="00C66BA9">
        <w:t xml:space="preserve">The </w:t>
      </w:r>
      <w:r w:rsidR="00C66BA9" w:rsidRPr="00C66BA9">
        <w:t>discussion of considering not only l</w:t>
      </w:r>
      <w:r w:rsidRPr="00C66BA9">
        <w:t>ower</w:t>
      </w:r>
      <w:r w:rsidR="00C66BA9" w:rsidRPr="00C66BA9">
        <w:t xml:space="preserve">case but also </w:t>
      </w:r>
      <w:r w:rsidRPr="00C66BA9">
        <w:t>upper case</w:t>
      </w:r>
      <w:r w:rsidR="00C66BA9" w:rsidRPr="00C66BA9">
        <w:t xml:space="preserve"> homoglyphs in determining variants does have</w:t>
      </w:r>
      <w:r w:rsidRPr="00C66BA9">
        <w:t xml:space="preserve"> merits but is </w:t>
      </w:r>
      <w:r w:rsidR="00892AC0" w:rsidRPr="00C66BA9">
        <w:t xml:space="preserve">not clearly </w:t>
      </w:r>
      <w:r w:rsidRPr="00C66BA9">
        <w:t xml:space="preserve">presented. </w:t>
      </w:r>
      <w:r w:rsidR="00C66BA9" w:rsidRPr="00C66BA9">
        <w:t>The issue is whether to consider the case folding that is applied by many user agents</w:t>
      </w:r>
      <w:r w:rsidRPr="00C66BA9">
        <w:t xml:space="preserve"> when doing the variant analysis between </w:t>
      </w:r>
      <w:r w:rsidR="00C66BA9" w:rsidRPr="00C66BA9">
        <w:t xml:space="preserve">related </w:t>
      </w:r>
      <w:r w:rsidRPr="00C66BA9">
        <w:t xml:space="preserve">scripts. </w:t>
      </w:r>
      <w:r w:rsidR="00C66BA9" w:rsidRPr="00C66BA9">
        <w:t xml:space="preserve">The Integration </w:t>
      </w:r>
      <w:bookmarkStart w:id="25" w:name="OLE_LINK14"/>
      <w:bookmarkStart w:id="26" w:name="OLE_LINK15"/>
      <w:r w:rsidR="00C66BA9" w:rsidRPr="00C66BA9">
        <w:t>Panel</w:t>
      </w:r>
      <w:bookmarkEnd w:id="25"/>
      <w:bookmarkEnd w:id="26"/>
      <w:r w:rsidR="00C66BA9" w:rsidRPr="00C66BA9">
        <w:t xml:space="preserve"> believes that this might well be useful, but </w:t>
      </w:r>
      <w:r w:rsidRPr="00C66BA9">
        <w:t xml:space="preserve">would like the GP(s) to make a case for it in a more convincing manner. </w:t>
      </w:r>
      <w:bookmarkStart w:id="27" w:name="OLE_LINK18"/>
      <w:bookmarkStart w:id="28" w:name="OLE_LINK19"/>
      <w:r w:rsidRPr="00C66BA9">
        <w:t xml:space="preserve">Adding uppercase to the equation </w:t>
      </w:r>
      <w:r w:rsidR="00C66BA9" w:rsidRPr="00C66BA9">
        <w:t>adds a large number of variants</w:t>
      </w:r>
      <w:bookmarkEnd w:id="27"/>
      <w:bookmarkEnd w:id="28"/>
      <w:r w:rsidRPr="00C66BA9">
        <w:t xml:space="preserve">, but because </w:t>
      </w:r>
      <w:r w:rsidR="009E4BF0">
        <w:t xml:space="preserve">they would result in </w:t>
      </w:r>
      <w:r w:rsidR="00C66BA9" w:rsidRPr="00C66BA9">
        <w:t xml:space="preserve">blocked </w:t>
      </w:r>
      <w:r w:rsidRPr="00C66BA9">
        <w:t xml:space="preserve">variant labels it might be </w:t>
      </w:r>
      <w:r w:rsidR="00C66BA9" w:rsidRPr="00C66BA9">
        <w:t>an appropriate step to take for the Root Zone and in keeping with the Conservatism Principle.</w:t>
      </w:r>
      <w:r w:rsidRPr="00C66BA9">
        <w:t xml:space="preserve"> </w:t>
      </w:r>
      <w:r w:rsidR="00C66BA9" w:rsidRPr="00C66BA9">
        <w:t xml:space="preserve">Still, </w:t>
      </w:r>
      <w:r w:rsidRPr="00C66BA9">
        <w:t xml:space="preserve">the </w:t>
      </w:r>
      <w:r w:rsidR="00C66BA9" w:rsidRPr="00C66BA9">
        <w:t xml:space="preserve">number </w:t>
      </w:r>
      <w:r w:rsidRPr="00C66BA9">
        <w:t xml:space="preserve">of labels blocked </w:t>
      </w:r>
      <w:r w:rsidR="00C66BA9" w:rsidRPr="00C66BA9">
        <w:t xml:space="preserve">across the </w:t>
      </w:r>
      <w:r w:rsidR="00C66BA9" w:rsidRPr="00C66BA9">
        <w:lastRenderedPageBreak/>
        <w:t xml:space="preserve">related </w:t>
      </w:r>
      <w:r w:rsidRPr="00C66BA9">
        <w:t>scripts is rather striking</w:t>
      </w:r>
      <w:r w:rsidR="00C66BA9" w:rsidRPr="00C66BA9">
        <w:t>, which means that having a solid justification for this is crucial. In the view of the Integration Panel, developing such a justification can and should be part of the work of the Generation Panel; at this stage, it is enough to present this issue and add it to the Work Plan.</w:t>
      </w:r>
    </w:p>
    <w:p w14:paraId="68D9C49F" w14:textId="77777777" w:rsidR="008D6368" w:rsidRPr="00C66BA9" w:rsidRDefault="008D6368" w:rsidP="008D6368">
      <w:r w:rsidRPr="00C66BA9">
        <w:t>Based on the fact that applications map upper/lower case, the GP asks several questions:</w:t>
      </w:r>
    </w:p>
    <w:p w14:paraId="0558F8E8" w14:textId="77777777" w:rsidR="008D6368" w:rsidRDefault="008D6368" w:rsidP="008D6368">
      <w:r w:rsidRPr="004A42AC">
        <w:rPr>
          <w:i/>
          <w:iCs/>
        </w:rPr>
        <w:t>§144. Should the Cyrillic Generation Panel take into consideration all possible confusion variants based on existing facts of TLD-strings delegation and possibility the future delegation of similar cases?</w:t>
      </w:r>
    </w:p>
    <w:p w14:paraId="41519A66" w14:textId="77777777" w:rsidR="008D6368" w:rsidRDefault="008D6368" w:rsidP="008D6368">
      <w:r w:rsidRPr="004A42AC">
        <w:t xml:space="preserve">In general, </w:t>
      </w:r>
      <w:r>
        <w:t>the statements from the Integration Panel</w:t>
      </w:r>
      <w:r w:rsidRPr="004A42AC">
        <w:t xml:space="preserve"> have been </w:t>
      </w:r>
      <w:r>
        <w:t>consistent</w:t>
      </w:r>
      <w:r w:rsidRPr="004A42AC">
        <w:t xml:space="preserve"> that mere "similarity" of forms s</w:t>
      </w:r>
      <w:r>
        <w:t>hould not be handled in the LGR,</w:t>
      </w:r>
      <w:r w:rsidRPr="004A42AC">
        <w:t xml:space="preserve"> </w:t>
      </w:r>
      <w:r>
        <w:t>because, in those cases, there</w:t>
      </w:r>
      <w:r w:rsidRPr="004A42AC">
        <w:t xml:space="preserve"> </w:t>
      </w:r>
      <w:r>
        <w:t>might be</w:t>
      </w:r>
      <w:r w:rsidRPr="004A42AC">
        <w:t xml:space="preserve"> the need to allow exceptions. However, where identical g</w:t>
      </w:r>
      <w:r>
        <w:t>lyphs are the norm, a mechani</w:t>
      </w:r>
      <w:r w:rsidRPr="004A42AC">
        <w:t>cally applied prohibition in the LGR is more appropriate</w:t>
      </w:r>
      <w:r w:rsidR="00C66BA9">
        <w:t xml:space="preserve"> and has a more predictable outcome</w:t>
      </w:r>
      <w:r w:rsidRPr="004A42AC">
        <w:t>.</w:t>
      </w:r>
    </w:p>
    <w:p w14:paraId="729D04C8" w14:textId="77777777" w:rsidR="008D6368" w:rsidRDefault="008D6368" w:rsidP="008D6368">
      <w:r w:rsidRPr="004A42AC">
        <w:t xml:space="preserve">The question </w:t>
      </w:r>
      <w:r>
        <w:t>of considering upper case</w:t>
      </w:r>
      <w:r w:rsidRPr="004A42AC">
        <w:t xml:space="preserve"> is interesting</w:t>
      </w:r>
      <w:r>
        <w:t xml:space="preserve"> on two levels. One is a fundamental level: historically, the upper</w:t>
      </w:r>
      <w:r w:rsidR="00892AC0">
        <w:t>-</w:t>
      </w:r>
      <w:r>
        <w:t>case forms were inherited, which accounts for them being the same</w:t>
      </w:r>
      <w:r w:rsidR="00892AC0">
        <w:t xml:space="preserve"> </w:t>
      </w:r>
      <w:r w:rsidR="00134D16">
        <w:t xml:space="preserve">in </w:t>
      </w:r>
      <w:r w:rsidR="00892AC0">
        <w:t>Cyrillic or Latin</w:t>
      </w:r>
      <w:r>
        <w:t>. The other is practical. While IDNs are based on lower</w:t>
      </w:r>
      <w:r w:rsidR="00892AC0">
        <w:t>-</w:t>
      </w:r>
      <w:r>
        <w:t>case characters only</w:t>
      </w:r>
      <w:r w:rsidR="00C66BA9">
        <w:t xml:space="preserve">, </w:t>
      </w:r>
      <w:r w:rsidR="00C66BA9" w:rsidRPr="004A42AC">
        <w:t>applications</w:t>
      </w:r>
      <w:r w:rsidRPr="004A42AC">
        <w:t xml:space="preserve"> </w:t>
      </w:r>
      <w:r w:rsidR="00AC7818">
        <w:t xml:space="preserve">may </w:t>
      </w:r>
      <w:r w:rsidRPr="004A42AC">
        <w:t>map IDNs to</w:t>
      </w:r>
      <w:r>
        <w:t xml:space="preserve"> lower</w:t>
      </w:r>
      <w:r w:rsidR="00892AC0">
        <w:t xml:space="preserve"> </w:t>
      </w:r>
      <w:r>
        <w:t>case before query, thus allowing domain names to be presented to the user in upper</w:t>
      </w:r>
      <w:r w:rsidR="00892AC0">
        <w:t xml:space="preserve"> </w:t>
      </w:r>
      <w:r>
        <w:t xml:space="preserve">case, </w:t>
      </w:r>
      <w:r w:rsidR="00892AC0">
        <w:t xml:space="preserve">in which </w:t>
      </w:r>
      <w:r>
        <w:t xml:space="preserve">they </w:t>
      </w:r>
      <w:r w:rsidR="00892AC0">
        <w:t>appear as</w:t>
      </w:r>
      <w:r w:rsidRPr="004A42AC">
        <w:t xml:space="preserve"> homoglyphs. </w:t>
      </w:r>
      <w:r>
        <w:t xml:space="preserve">The integration panel position </w:t>
      </w:r>
      <w:r w:rsidRPr="004A42AC">
        <w:t>is that it would make the root more robust if tho</w:t>
      </w:r>
      <w:r>
        <w:t>se cases were handled up-front.</w:t>
      </w:r>
    </w:p>
    <w:p w14:paraId="0CCD62AC" w14:textId="77777777" w:rsidR="008D6368" w:rsidRDefault="008D6368" w:rsidP="008D6368">
      <w:r>
        <w:t>The same is not true for italic forms, which for some letters can be identical, when the regular forms are not. Unlike mapping from uppercase, presentation of domain names in italic fonts is not generally common. Any relations among glyphs therefore are best treated on the same footing as any other accidental similarities.</w:t>
      </w:r>
    </w:p>
    <w:p w14:paraId="3E4F1742" w14:textId="77777777" w:rsidR="003E2874" w:rsidRDefault="004A42AC" w:rsidP="008D6368">
      <w:pPr>
        <w:pStyle w:val="4"/>
      </w:pPr>
      <w:r>
        <w:t>§147 and Table 3</w:t>
      </w:r>
    </w:p>
    <w:p w14:paraId="7B3C1058" w14:textId="77777777" w:rsidR="008D6368" w:rsidRDefault="004A42AC" w:rsidP="004A42AC">
      <w:r>
        <w:t xml:space="preserve">This is the basis for (one side of) the comparison of Greek and Latin scripts with Cyrillic. But the Cyrillic side is </w:t>
      </w:r>
      <w:r w:rsidR="0004495E">
        <w:t xml:space="preserve">not presented for </w:t>
      </w:r>
      <w:r>
        <w:t xml:space="preserve">comparison. It is </w:t>
      </w:r>
      <w:r w:rsidR="0004495E">
        <w:t xml:space="preserve">unusual </w:t>
      </w:r>
      <w:r>
        <w:t xml:space="preserve">that these two alphabets are exhibited in </w:t>
      </w:r>
      <w:proofErr w:type="spellStart"/>
      <w:r>
        <w:t>extenso</w:t>
      </w:r>
      <w:proofErr w:type="spellEnd"/>
      <w:r>
        <w:t>, as well as Glagolitic in Figure 1, but Cyrillic itself is nowhere exhibited</w:t>
      </w:r>
      <w:r w:rsidR="0004495E">
        <w:t xml:space="preserve">. The proposal also neglected to state </w:t>
      </w:r>
      <w:r>
        <w:t xml:space="preserve">the range of Unicode </w:t>
      </w:r>
      <w:r w:rsidR="0004495E">
        <w:t>code point</w:t>
      </w:r>
      <w:r>
        <w:t xml:space="preserve">s for which the GP will make itself responsible, nor a pointer to the relevant part of the Cyrillic tables in the MSR. </w:t>
      </w:r>
    </w:p>
    <w:p w14:paraId="4A4C0A36" w14:textId="77777777" w:rsidR="008D6368" w:rsidRDefault="004A42AC" w:rsidP="004A42AC">
      <w:r>
        <w:t>Meanwhile, §§136-147 shows awareness of the general problem of cross-script confusability, and the interaction with upper/lower case, but does not take a clear line on how it will treat it.</w:t>
      </w:r>
    </w:p>
    <w:p w14:paraId="62309866" w14:textId="77777777" w:rsidR="00DE0173" w:rsidRDefault="00DE0173" w:rsidP="004A42AC"/>
    <w:p w14:paraId="7D5378A3" w14:textId="77777777" w:rsidR="008D6368" w:rsidRDefault="0004495E" w:rsidP="0014373D">
      <w:pPr>
        <w:pStyle w:val="2"/>
      </w:pPr>
      <w:r>
        <w:rPr>
          <w:rFonts w:cs="Calibri"/>
        </w:rPr>
        <w:t xml:space="preserve">Section </w:t>
      </w:r>
      <w:r w:rsidR="004A42AC">
        <w:rPr>
          <w:rFonts w:cs="Calibri"/>
        </w:rPr>
        <w:t>2.</w:t>
      </w:r>
      <w:r w:rsidR="004A42AC">
        <w:rPr>
          <w:sz w:val="14"/>
          <w:szCs w:val="14"/>
        </w:rPr>
        <w:t xml:space="preserve">    </w:t>
      </w:r>
      <w:r w:rsidR="004A42AC">
        <w:t>Proposed initial composition of panel</w:t>
      </w:r>
    </w:p>
    <w:p w14:paraId="06480186" w14:textId="77777777" w:rsidR="008D6368" w:rsidRDefault="004A42AC" w:rsidP="004A42AC">
      <w:r>
        <w:t xml:space="preserve">It is difficult to judge the adequacy of coverage of the panel, (a) because the order of presentation is arbitrarily different between 2.1 and Table 5, and (b) because the members from particular countries, or with similar expertise, are not grouped together, </w:t>
      </w:r>
      <w:r w:rsidR="003C592D">
        <w:t>obscuring</w:t>
      </w:r>
      <w:r>
        <w:t xml:space="preserve"> any </w:t>
      </w:r>
      <w:r w:rsidR="003C592D">
        <w:t xml:space="preserve">potential </w:t>
      </w:r>
      <w:r>
        <w:t>gaps in coverage. There seem</w:t>
      </w:r>
      <w:r w:rsidR="003C592D">
        <w:t xml:space="preserve"> </w:t>
      </w:r>
      <w:r>
        <w:t>to be plenty of Ukrainians, Belarusians, Russians and Bulgarians, but other</w:t>
      </w:r>
      <w:r w:rsidR="003C592D">
        <w:t xml:space="preserve"> nationalitie</w:t>
      </w:r>
      <w:r>
        <w:t xml:space="preserve">s </w:t>
      </w:r>
      <w:r w:rsidR="00386003">
        <w:t xml:space="preserve">have </w:t>
      </w:r>
      <w:r w:rsidR="003C592D">
        <w:t>fewer</w:t>
      </w:r>
      <w:r w:rsidR="00386003">
        <w:t xml:space="preserve"> representatives</w:t>
      </w:r>
      <w:r>
        <w:t xml:space="preserve">, indeed </w:t>
      </w:r>
      <w:r w:rsidR="00386003">
        <w:t xml:space="preserve">none </w:t>
      </w:r>
      <w:r>
        <w:t>in the case of most of Central Asia.</w:t>
      </w:r>
    </w:p>
    <w:p w14:paraId="136F3259" w14:textId="77777777" w:rsidR="008D6368" w:rsidRDefault="004A42AC" w:rsidP="004A42AC">
      <w:commentRangeStart w:id="29"/>
      <w:r>
        <w:lastRenderedPageBreak/>
        <w:t xml:space="preserve">At a first view, there seem very little coverage of Central Asia (though the two extremes of Azerbaijan and Kyrgyzstan are there), and nothing for Caucasian, Ural, </w:t>
      </w:r>
      <w:proofErr w:type="spellStart"/>
      <w:r>
        <w:t>Palaeosiberian</w:t>
      </w:r>
      <w:proofErr w:type="spellEnd"/>
      <w:r>
        <w:t xml:space="preserve"> (</w:t>
      </w:r>
      <w:proofErr w:type="spellStart"/>
      <w:r>
        <w:t>inc.</w:t>
      </w:r>
      <w:proofErr w:type="spellEnd"/>
      <w:r>
        <w:t xml:space="preserve"> Chukchi and </w:t>
      </w:r>
      <w:proofErr w:type="spellStart"/>
      <w:r>
        <w:t>Kamchadal</w:t>
      </w:r>
      <w:proofErr w:type="spellEnd"/>
      <w:r>
        <w:t xml:space="preserve">), </w:t>
      </w:r>
      <w:proofErr w:type="spellStart"/>
      <w:r>
        <w:t>Tungus</w:t>
      </w:r>
      <w:proofErr w:type="spellEnd"/>
      <w:r>
        <w:t xml:space="preserve"> or Sino-Tibetan. </w:t>
      </w:r>
      <w:commentRangeEnd w:id="29"/>
      <w:r w:rsidR="00D175FD">
        <w:rPr>
          <w:rStyle w:val="a9"/>
        </w:rPr>
        <w:commentReference w:id="29"/>
      </w:r>
      <w:r>
        <w:t xml:space="preserve">If these languages are to be neglected (which may be justifiable), we shall need </w:t>
      </w:r>
      <w:r w:rsidRPr="004A42AC">
        <w:t>a policy justification showing how the languages fail to reach the necessary level of literate use, or how the gap can be covered by one of the four groups in §121: Balkan, Russian-</w:t>
      </w:r>
      <w:r w:rsidR="00DE0173" w:rsidRPr="004A42AC">
        <w:t>Ukrainian</w:t>
      </w:r>
      <w:r w:rsidRPr="004A42AC">
        <w:t xml:space="preserve">-Belarusian, Central Asia, Mongolia. In this four-fold division, </w:t>
      </w:r>
      <w:bookmarkStart w:id="30" w:name="OLE_LINK20"/>
      <w:bookmarkStart w:id="31" w:name="OLE_LINK21"/>
      <w:r w:rsidRPr="004A42AC">
        <w:t xml:space="preserve">"Central Asia" </w:t>
      </w:r>
      <w:r w:rsidR="0004495E">
        <w:t>appears to be overly broad</w:t>
      </w:r>
      <w:r w:rsidRPr="004A42AC">
        <w:t>, both geographically and linguistically.</w:t>
      </w:r>
      <w:bookmarkEnd w:id="30"/>
      <w:bookmarkEnd w:id="31"/>
    </w:p>
    <w:p w14:paraId="2BEB2A71" w14:textId="77777777" w:rsidR="008D6368" w:rsidRDefault="00C66BA9" w:rsidP="0014373D">
      <w:pPr>
        <w:pStyle w:val="2"/>
      </w:pPr>
      <w:r>
        <w:rPr>
          <w:rFonts w:cs="Calibri"/>
        </w:rPr>
        <w:t>Section</w:t>
      </w:r>
      <w:r w:rsidR="0014373D">
        <w:rPr>
          <w:rFonts w:cs="Calibri"/>
        </w:rPr>
        <w:t xml:space="preserve"> </w:t>
      </w:r>
      <w:r w:rsidR="004A42AC" w:rsidRPr="004A42AC">
        <w:rPr>
          <w:rFonts w:cs="Calibri"/>
        </w:rPr>
        <w:t>3.</w:t>
      </w:r>
      <w:r w:rsidR="004A42AC" w:rsidRPr="004A42AC">
        <w:rPr>
          <w:sz w:val="14"/>
          <w:szCs w:val="14"/>
        </w:rPr>
        <w:t xml:space="preserve">    </w:t>
      </w:r>
      <w:r w:rsidR="004A42AC" w:rsidRPr="004A42AC">
        <w:t xml:space="preserve">Work plan </w:t>
      </w:r>
    </w:p>
    <w:p w14:paraId="77C80E09" w14:textId="77777777" w:rsidR="008D6368" w:rsidRDefault="004A42AC" w:rsidP="004A42AC">
      <w:r>
        <w:t>In general, this seems re</w:t>
      </w:r>
      <w:r w:rsidR="00DE0173">
        <w:t>asonable, but there is a weakly-</w:t>
      </w:r>
      <w:r>
        <w:t xml:space="preserve">defined task at its inception, namely the stage of deciding the </w:t>
      </w:r>
      <w:r w:rsidR="003C592D">
        <w:t xml:space="preserve">coverage </w:t>
      </w:r>
      <w:r>
        <w:t xml:space="preserve">of the </w:t>
      </w:r>
      <w:r w:rsidR="00DE0173">
        <w:t>repertoire, a</w:t>
      </w:r>
      <w:r>
        <w:t xml:space="preserve"> stage which will require input, or at least knowledge, of the status of all the regional languages of North and Central Asia. The choices made in the MSR will not have sufficient authority to determine which </w:t>
      </w:r>
      <w:r w:rsidR="0014373D">
        <w:t>code points to include</w:t>
      </w:r>
      <w:r>
        <w:t xml:space="preserve">, and which </w:t>
      </w:r>
      <w:r w:rsidR="0014373D">
        <w:t>to leave</w:t>
      </w:r>
      <w:r>
        <w:t xml:space="preserve"> out. The GP will need proper expertise </w:t>
      </w:r>
      <w:r w:rsidR="0014373D">
        <w:t xml:space="preserve">(via members or advisors) </w:t>
      </w:r>
      <w:r>
        <w:t>to make these decisions in a defensible way.</w:t>
      </w:r>
      <w:r w:rsidR="0014373D">
        <w:t xml:space="preserve"> The GP should be prepared to document it decision and to </w:t>
      </w:r>
      <w:bookmarkStart w:id="32" w:name="_GoBack"/>
      <w:bookmarkEnd w:id="32"/>
      <w:r w:rsidR="0014373D">
        <w:t>provide a detailed rationale for it.</w:t>
      </w:r>
    </w:p>
    <w:p w14:paraId="50CF5911" w14:textId="77777777" w:rsidR="008D6368" w:rsidRDefault="004A42AC" w:rsidP="004A42AC">
      <w:r>
        <w:t>Only when the Cyrillic repertoire is fixed</w:t>
      </w:r>
      <w:r w:rsidR="00386003">
        <w:t xml:space="preserve"> (or progressed far enough to settle the status of any candidate </w:t>
      </w:r>
      <w:r w:rsidR="00C94051">
        <w:t>homoglyph</w:t>
      </w:r>
      <w:r w:rsidR="00386003">
        <w:t>)</w:t>
      </w:r>
      <w:r>
        <w:t xml:space="preserve"> can the scheduled work on confusables make headway, and make sense. </w:t>
      </w:r>
      <w:r w:rsidR="00C94051">
        <w:t>The Integration Panel</w:t>
      </w:r>
      <w:r>
        <w:t xml:space="preserve"> therefore suggest</w:t>
      </w:r>
      <w:r w:rsidR="00C94051">
        <w:t>s</w:t>
      </w:r>
      <w:r>
        <w:t xml:space="preserve"> that Task 2</w:t>
      </w:r>
      <w:proofErr w:type="gramStart"/>
      <w:r>
        <w:t>  (</w:t>
      </w:r>
      <w:proofErr w:type="gramEnd"/>
      <w:r>
        <w:t>Principles of Inclusion, Exclusion or Deferral for Code Points) precede Subtask 1.2 (Preliminary Code Point Analysis). This may suggest that Task 1 is ill-structured, and should be broken into two tasks before and after Task 2.</w:t>
      </w:r>
    </w:p>
    <w:p w14:paraId="3D98CD4C" w14:textId="77777777" w:rsidR="004A42AC" w:rsidRPr="004A42AC" w:rsidRDefault="004A42AC" w:rsidP="004A42AC"/>
    <w:sectPr w:rsidR="004A42AC" w:rsidRPr="004A42AC" w:rsidSect="00685C24">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Yuri Kargapolov" w:date="2015-06-10T17:52:00Z" w:initials="YK">
    <w:p w14:paraId="569A7033" w14:textId="77777777" w:rsidR="000137A6" w:rsidRDefault="000137A6">
      <w:pPr>
        <w:pStyle w:val="aa"/>
      </w:pPr>
      <w:r>
        <w:rPr>
          <w:rStyle w:val="a9"/>
        </w:rPr>
        <w:annotationRef/>
      </w:r>
      <w:r>
        <w:t>What means?</w:t>
      </w:r>
    </w:p>
    <w:p w14:paraId="7DCF3E2C" w14:textId="77777777" w:rsidR="000137A6" w:rsidRPr="000137A6" w:rsidRDefault="000137A6">
      <w:pPr>
        <w:pStyle w:val="aa"/>
      </w:pPr>
      <w:r>
        <w:t>Who are the subjects or objects of this “uneven”?</w:t>
      </w:r>
    </w:p>
  </w:comment>
  <w:comment w:id="1" w:author="Yuri Kargapolov" w:date="2015-06-10T18:01:00Z" w:initials="YK">
    <w:p w14:paraId="12912289" w14:textId="77777777" w:rsidR="000137A6" w:rsidRDefault="000137A6">
      <w:pPr>
        <w:pStyle w:val="aa"/>
        <w:rPr>
          <w:rFonts w:ascii="MS Shell Dlg 2" w:hAnsi="MS Shell Dlg 2" w:cs="MS Shell Dlg 2"/>
          <w:color w:val="000000"/>
          <w:sz w:val="18"/>
          <w:szCs w:val="18"/>
        </w:rPr>
      </w:pPr>
      <w:r>
        <w:rPr>
          <w:rStyle w:val="a9"/>
        </w:rPr>
        <w:annotationRef/>
      </w:r>
      <w:r w:rsidR="003D66C3" w:rsidRPr="003D66C3">
        <w:rPr>
          <w:rFonts w:ascii="MS Shell Dlg 2" w:hAnsi="MS Shell Dlg 2" w:cs="MS Shell Dlg 2"/>
          <w:color w:val="000000"/>
          <w:sz w:val="18"/>
          <w:szCs w:val="18"/>
        </w:rPr>
        <w:t xml:space="preserve">I suggest leaving the </w:t>
      </w:r>
      <w:proofErr w:type="gramStart"/>
      <w:r w:rsidR="003D66C3" w:rsidRPr="003D66C3">
        <w:rPr>
          <w:rFonts w:ascii="MS Shell Dlg 2" w:hAnsi="MS Shell Dlg 2" w:cs="MS Shell Dlg 2"/>
          <w:color w:val="000000"/>
          <w:sz w:val="18"/>
          <w:szCs w:val="18"/>
        </w:rPr>
        <w:t xml:space="preserve">Glagolitic </w:t>
      </w:r>
      <w:r w:rsidR="003D66C3" w:rsidRPr="003D66C3">
        <w:rPr>
          <w:rFonts w:cs="MS Shell Dlg 2"/>
          <w:color w:val="000000"/>
          <w:sz w:val="18"/>
          <w:szCs w:val="18"/>
        </w:rPr>
        <w:t xml:space="preserve"> </w:t>
      </w:r>
      <w:r w:rsidR="003D66C3" w:rsidRPr="003D66C3">
        <w:rPr>
          <w:rFonts w:ascii="MS Shell Dlg 2" w:hAnsi="MS Shell Dlg 2" w:cs="MS Shell Dlg 2"/>
          <w:color w:val="000000"/>
          <w:sz w:val="18"/>
          <w:szCs w:val="18"/>
        </w:rPr>
        <w:t>part</w:t>
      </w:r>
      <w:proofErr w:type="gramEnd"/>
      <w:r w:rsidR="003D66C3" w:rsidRPr="003D66C3">
        <w:rPr>
          <w:rFonts w:ascii="MS Shell Dlg 2" w:hAnsi="MS Shell Dlg 2" w:cs="MS Shell Dlg 2"/>
          <w:color w:val="000000"/>
          <w:sz w:val="18"/>
          <w:szCs w:val="18"/>
        </w:rPr>
        <w:t xml:space="preserve"> material, </w:t>
      </w:r>
      <w:r w:rsidR="003D66C3">
        <w:rPr>
          <w:rFonts w:cs="MS Shell Dlg 2"/>
          <w:color w:val="000000"/>
          <w:sz w:val="18"/>
          <w:szCs w:val="18"/>
        </w:rPr>
        <w:t>because this</w:t>
      </w:r>
      <w:r w:rsidR="003D66C3" w:rsidRPr="003D66C3">
        <w:rPr>
          <w:rFonts w:ascii="MS Shell Dlg 2" w:hAnsi="MS Shell Dlg 2" w:cs="MS Shell Dlg 2"/>
          <w:color w:val="000000"/>
          <w:sz w:val="18"/>
          <w:szCs w:val="18"/>
        </w:rPr>
        <w:t xml:space="preserve"> is the roots of the Cyrillic characters and who knows how it might play in the future</w:t>
      </w:r>
    </w:p>
    <w:p w14:paraId="64E6A1AE" w14:textId="77777777" w:rsidR="003D66C3" w:rsidRPr="003D66C3" w:rsidRDefault="003D66C3">
      <w:pPr>
        <w:pStyle w:val="aa"/>
      </w:pPr>
      <w:r>
        <w:rPr>
          <w:rFonts w:ascii="MS Shell Dlg 2" w:hAnsi="MS Shell Dlg 2" w:cs="MS Shell Dlg 2"/>
          <w:color w:val="000000"/>
          <w:sz w:val="18"/>
          <w:szCs w:val="18"/>
        </w:rPr>
        <w:t>Ok, if it’s necessary to reflect MSR-2 – who can to do this job?</w:t>
      </w:r>
    </w:p>
  </w:comment>
  <w:comment w:id="2" w:author="Yuri Kargapolov" w:date="2015-06-10T18:05:00Z" w:initials="YK">
    <w:p w14:paraId="7ED58E16" w14:textId="77777777" w:rsidR="003D66C3" w:rsidRPr="003D66C3" w:rsidRDefault="003D66C3" w:rsidP="003D66C3">
      <w:pPr>
        <w:autoSpaceDE w:val="0"/>
        <w:autoSpaceDN w:val="0"/>
        <w:adjustRightInd w:val="0"/>
        <w:spacing w:after="0" w:line="240" w:lineRule="auto"/>
        <w:rPr>
          <w:rFonts w:ascii="MS Shell Dlg 2" w:hAnsi="MS Shell Dlg 2" w:cs="MS Shell Dlg 2"/>
          <w:color w:val="000000"/>
          <w:sz w:val="18"/>
          <w:szCs w:val="18"/>
        </w:rPr>
      </w:pPr>
      <w:r>
        <w:rPr>
          <w:rStyle w:val="a9"/>
        </w:rPr>
        <w:annotationRef/>
      </w:r>
      <w:r w:rsidRPr="003D66C3">
        <w:rPr>
          <w:rFonts w:ascii="MS Shell Dlg 2" w:hAnsi="MS Shell Dlg 2" w:cs="MS Shell Dlg 2"/>
          <w:color w:val="000000"/>
          <w:sz w:val="18"/>
          <w:szCs w:val="18"/>
        </w:rPr>
        <w:t xml:space="preserve">There was a misunderstanding of the specificity of the Cyrillic alphabet. </w:t>
      </w:r>
    </w:p>
    <w:p w14:paraId="61B8E830" w14:textId="77777777" w:rsidR="003D66C3" w:rsidRPr="003D66C3" w:rsidRDefault="003D66C3" w:rsidP="003D66C3">
      <w:pPr>
        <w:autoSpaceDE w:val="0"/>
        <w:autoSpaceDN w:val="0"/>
        <w:adjustRightInd w:val="0"/>
        <w:spacing w:after="0" w:line="240" w:lineRule="auto"/>
        <w:rPr>
          <w:rFonts w:ascii="MS Shell Dlg 2" w:hAnsi="MS Shell Dlg 2" w:cs="MS Shell Dlg 2"/>
          <w:color w:val="000000"/>
          <w:sz w:val="18"/>
          <w:szCs w:val="18"/>
        </w:rPr>
      </w:pPr>
      <w:r w:rsidRPr="003D66C3">
        <w:rPr>
          <w:rFonts w:ascii="MS Shell Dlg 2" w:hAnsi="MS Shell Dlg 2" w:cs="MS Shell Dlg 2"/>
          <w:color w:val="000000"/>
          <w:sz w:val="18"/>
          <w:szCs w:val="18"/>
        </w:rPr>
        <w:t>We are talking about the 4 working groups, but not on the classification of the languages themselves.</w:t>
      </w:r>
    </w:p>
    <w:p w14:paraId="0DB05F91" w14:textId="77777777" w:rsidR="003D66C3" w:rsidRDefault="003D66C3" w:rsidP="003D66C3">
      <w:pPr>
        <w:autoSpaceDE w:val="0"/>
        <w:autoSpaceDN w:val="0"/>
        <w:adjustRightInd w:val="0"/>
        <w:spacing w:after="0" w:line="240" w:lineRule="auto"/>
        <w:rPr>
          <w:rFonts w:ascii="MS Shell Dlg 2" w:hAnsi="MS Shell Dlg 2" w:cs="MS Shell Dlg 2"/>
          <w:color w:val="000000"/>
          <w:sz w:val="18"/>
          <w:szCs w:val="18"/>
        </w:rPr>
      </w:pPr>
      <w:r w:rsidRPr="003D66C3">
        <w:rPr>
          <w:rFonts w:ascii="MS Shell Dlg 2" w:hAnsi="MS Shell Dlg 2" w:cs="MS Shell Dlg 2"/>
          <w:color w:val="000000"/>
          <w:sz w:val="18"/>
          <w:szCs w:val="18"/>
        </w:rPr>
        <w:t>I.e. for organizing work, and not about t</w:t>
      </w:r>
      <w:r>
        <w:rPr>
          <w:rFonts w:ascii="MS Shell Dlg 2" w:hAnsi="MS Shell Dlg 2" w:cs="MS Shell Dlg 2"/>
          <w:color w:val="000000"/>
          <w:sz w:val="18"/>
          <w:szCs w:val="18"/>
        </w:rPr>
        <w:t>he classification of languages.</w:t>
      </w:r>
      <w:bookmarkStart w:id="3" w:name="OLE_LINK1"/>
    </w:p>
    <w:p w14:paraId="1F7FE324" w14:textId="7D27CFA5" w:rsidR="00B05F41" w:rsidRPr="00B05F41" w:rsidRDefault="00B05F41" w:rsidP="003D66C3">
      <w:pPr>
        <w:autoSpaceDE w:val="0"/>
        <w:autoSpaceDN w:val="0"/>
        <w:adjustRightInd w:val="0"/>
        <w:spacing w:after="0" w:line="240" w:lineRule="auto"/>
        <w:rPr>
          <w:rFonts w:cs="MS Shell Dlg 2"/>
          <w:color w:val="000000"/>
          <w:sz w:val="18"/>
          <w:szCs w:val="18"/>
        </w:rPr>
      </w:pPr>
      <w:r>
        <w:rPr>
          <w:rFonts w:cs="MS Shell Dlg 2"/>
          <w:color w:val="000000"/>
          <w:sz w:val="18"/>
          <w:szCs w:val="18"/>
        </w:rPr>
        <w:t>Colleagues, maybe somebody have another point of view?</w:t>
      </w:r>
    </w:p>
    <w:bookmarkEnd w:id="3"/>
  </w:comment>
  <w:comment w:id="4" w:author="Yuri Kargapolov" w:date="2015-06-10T18:10:00Z" w:initials="YK">
    <w:p w14:paraId="424F0741" w14:textId="77777777" w:rsidR="003D66C3" w:rsidRPr="003D66C3" w:rsidRDefault="003D66C3" w:rsidP="003D66C3">
      <w:pPr>
        <w:autoSpaceDE w:val="0"/>
        <w:autoSpaceDN w:val="0"/>
        <w:adjustRightInd w:val="0"/>
        <w:spacing w:after="0" w:line="240" w:lineRule="auto"/>
        <w:rPr>
          <w:rFonts w:ascii="MS Shell Dlg 2" w:hAnsi="MS Shell Dlg 2" w:cs="MS Shell Dlg 2"/>
          <w:color w:val="000000"/>
          <w:sz w:val="18"/>
          <w:szCs w:val="18"/>
        </w:rPr>
      </w:pPr>
      <w:r>
        <w:rPr>
          <w:rStyle w:val="a9"/>
        </w:rPr>
        <w:annotationRef/>
      </w:r>
      <w:r w:rsidRPr="003D66C3">
        <w:rPr>
          <w:rFonts w:ascii="MS Shell Dlg 2" w:hAnsi="MS Shell Dlg 2" w:cs="MS Shell Dlg 2"/>
          <w:color w:val="000000"/>
          <w:sz w:val="18"/>
          <w:szCs w:val="18"/>
        </w:rPr>
        <w:t xml:space="preserve">Where we can take the language specialists in </w:t>
      </w:r>
      <w:r w:rsidR="00A11633">
        <w:rPr>
          <w:rFonts w:ascii="MS Shell Dlg 2" w:hAnsi="MS Shell Dlg 2" w:cs="MS Shell Dlg 2"/>
          <w:color w:val="000000"/>
          <w:sz w:val="18"/>
          <w:szCs w:val="18"/>
        </w:rPr>
        <w:t xml:space="preserve">local languages based on </w:t>
      </w:r>
      <w:r w:rsidRPr="003D66C3">
        <w:rPr>
          <w:rFonts w:ascii="MS Shell Dlg 2" w:hAnsi="MS Shell Dlg 2" w:cs="MS Shell Dlg 2"/>
          <w:color w:val="000000"/>
          <w:sz w:val="18"/>
          <w:szCs w:val="18"/>
        </w:rPr>
        <w:t>Cyrillic alphabet</w:t>
      </w:r>
      <w:r w:rsidR="00A11633">
        <w:rPr>
          <w:rFonts w:ascii="MS Shell Dlg 2" w:hAnsi="MS Shell Dlg 2" w:cs="MS Shell Dlg 2"/>
          <w:color w:val="000000"/>
          <w:sz w:val="18"/>
          <w:szCs w:val="18"/>
        </w:rPr>
        <w:t xml:space="preserve"> in RF</w:t>
      </w:r>
      <w:r w:rsidRPr="003D66C3">
        <w:rPr>
          <w:rFonts w:ascii="MS Shell Dlg 2" w:hAnsi="MS Shell Dlg 2" w:cs="MS Shell Dlg 2"/>
          <w:color w:val="000000"/>
          <w:sz w:val="18"/>
          <w:szCs w:val="18"/>
        </w:rPr>
        <w:t>?</w:t>
      </w:r>
    </w:p>
    <w:p w14:paraId="6CD630B0" w14:textId="77777777" w:rsidR="003D66C3" w:rsidRPr="003D66C3" w:rsidRDefault="003D66C3" w:rsidP="003D66C3">
      <w:pPr>
        <w:autoSpaceDE w:val="0"/>
        <w:autoSpaceDN w:val="0"/>
        <w:adjustRightInd w:val="0"/>
        <w:spacing w:after="0" w:line="240" w:lineRule="auto"/>
        <w:rPr>
          <w:rFonts w:ascii="MS Shell Dlg 2" w:hAnsi="MS Shell Dlg 2" w:cs="MS Shell Dlg 2"/>
          <w:color w:val="000000"/>
          <w:sz w:val="18"/>
          <w:szCs w:val="18"/>
        </w:rPr>
      </w:pPr>
      <w:r w:rsidRPr="003D66C3">
        <w:rPr>
          <w:rFonts w:ascii="MS Shell Dlg 2" w:hAnsi="MS Shell Dlg 2" w:cs="MS Shell Dlg 2"/>
          <w:color w:val="000000"/>
          <w:sz w:val="18"/>
          <w:szCs w:val="18"/>
        </w:rPr>
        <w:t>These professionals, who understand the issue of IDN language, very often no.</w:t>
      </w:r>
    </w:p>
    <w:p w14:paraId="7016B53D" w14:textId="77777777" w:rsidR="00A11633" w:rsidRDefault="003D66C3" w:rsidP="003D66C3">
      <w:pPr>
        <w:pStyle w:val="aa"/>
        <w:rPr>
          <w:rFonts w:ascii="MS Shell Dlg 2" w:hAnsi="MS Shell Dlg 2" w:cs="MS Shell Dlg 2"/>
          <w:color w:val="000000"/>
          <w:sz w:val="18"/>
          <w:szCs w:val="18"/>
        </w:rPr>
      </w:pPr>
      <w:r w:rsidRPr="003D66C3">
        <w:rPr>
          <w:rFonts w:ascii="MS Shell Dlg 2" w:hAnsi="MS Shell Dlg 2" w:cs="MS Shell Dlg 2"/>
          <w:color w:val="000000"/>
          <w:sz w:val="18"/>
          <w:szCs w:val="18"/>
        </w:rPr>
        <w:t>It is necessary to hire linguists.</w:t>
      </w:r>
      <w:r w:rsidR="00A11633">
        <w:rPr>
          <w:rFonts w:ascii="MS Shell Dlg 2" w:hAnsi="MS Shell Dlg 2" w:cs="MS Shell Dlg 2"/>
          <w:color w:val="000000"/>
          <w:sz w:val="18"/>
          <w:szCs w:val="18"/>
        </w:rPr>
        <w:t xml:space="preserve"> </w:t>
      </w:r>
    </w:p>
    <w:p w14:paraId="3233D52E" w14:textId="7CECA6EB" w:rsidR="003D66C3" w:rsidRDefault="003D66C3" w:rsidP="003D66C3">
      <w:pPr>
        <w:pStyle w:val="aa"/>
        <w:rPr>
          <w:rFonts w:ascii="MS Shell Dlg 2" w:hAnsi="MS Shell Dlg 2" w:cs="MS Shell Dlg 2"/>
          <w:color w:val="000000"/>
          <w:sz w:val="18"/>
          <w:szCs w:val="18"/>
        </w:rPr>
      </w:pPr>
      <w:r>
        <w:rPr>
          <w:rFonts w:ascii="MS Shell Dlg 2" w:hAnsi="MS Shell Dlg 2" w:cs="MS Shell Dlg 2"/>
          <w:color w:val="000000"/>
          <w:sz w:val="18"/>
          <w:szCs w:val="18"/>
        </w:rPr>
        <w:t xml:space="preserve">We don’t have </w:t>
      </w:r>
      <w:r w:rsidR="00A11633">
        <w:rPr>
          <w:rFonts w:ascii="MS Shell Dlg 2" w:hAnsi="MS Shell Dlg 2" w:cs="MS Shell Dlg 2"/>
          <w:color w:val="000000"/>
          <w:sz w:val="18"/>
          <w:szCs w:val="18"/>
        </w:rPr>
        <w:t>(</w:t>
      </w:r>
      <w:r>
        <w:rPr>
          <w:rFonts w:ascii="MS Shell Dlg 2" w:hAnsi="MS Shell Dlg 2" w:cs="MS Shell Dlg 2"/>
          <w:color w:val="000000"/>
          <w:sz w:val="18"/>
          <w:szCs w:val="18"/>
        </w:rPr>
        <w:t>enough</w:t>
      </w:r>
      <w:r w:rsidR="00A11633">
        <w:rPr>
          <w:rFonts w:ascii="MS Shell Dlg 2" w:hAnsi="MS Shell Dlg 2" w:cs="MS Shell Dlg 2"/>
          <w:color w:val="000000"/>
          <w:sz w:val="18"/>
          <w:szCs w:val="18"/>
        </w:rPr>
        <w:t>)</w:t>
      </w:r>
      <w:r>
        <w:rPr>
          <w:rFonts w:ascii="MS Shell Dlg 2" w:hAnsi="MS Shell Dlg 2" w:cs="MS Shell Dlg 2"/>
          <w:color w:val="000000"/>
          <w:sz w:val="18"/>
          <w:szCs w:val="18"/>
        </w:rPr>
        <w:t xml:space="preserve"> money to bring the linguistic</w:t>
      </w:r>
      <w:r w:rsidR="00B05F41">
        <w:rPr>
          <w:rFonts w:ascii="MS Shell Dlg 2" w:hAnsi="MS Shell Dlg 2" w:cs="MS Shell Dlg 2"/>
          <w:color w:val="000000"/>
          <w:sz w:val="18"/>
          <w:szCs w:val="18"/>
        </w:rPr>
        <w:t xml:space="preserve"> experts for work within Panel</w:t>
      </w:r>
    </w:p>
    <w:p w14:paraId="10C94346" w14:textId="77777777" w:rsidR="00B05F41" w:rsidRPr="00B05F41" w:rsidRDefault="00B05F41" w:rsidP="00B05F41">
      <w:pPr>
        <w:pStyle w:val="aa"/>
        <w:rPr>
          <w:rFonts w:ascii="MS Shell Dlg 2" w:hAnsi="MS Shell Dlg 2" w:cs="MS Shell Dlg 2"/>
          <w:color w:val="000000"/>
          <w:sz w:val="18"/>
          <w:szCs w:val="18"/>
        </w:rPr>
      </w:pPr>
      <w:r w:rsidRPr="00B05F41">
        <w:rPr>
          <w:rFonts w:ascii="MS Shell Dlg 2" w:hAnsi="MS Shell Dlg 2" w:cs="MS Shell Dlg 2"/>
          <w:color w:val="000000"/>
          <w:sz w:val="18"/>
          <w:szCs w:val="18"/>
        </w:rPr>
        <w:t>However, after the Buenos Aires we got a chance to connect to the work of specialists from Russia.</w:t>
      </w:r>
    </w:p>
    <w:p w14:paraId="1DCC8B7F" w14:textId="7D28AD90" w:rsidR="00B05F41" w:rsidRPr="003D66C3" w:rsidRDefault="00B05F41" w:rsidP="00B05F41">
      <w:pPr>
        <w:pStyle w:val="aa"/>
        <w:rPr>
          <w:rFonts w:ascii="MS Shell Dlg 2" w:hAnsi="MS Shell Dlg 2" w:cs="MS Shell Dlg 2"/>
          <w:color w:val="000000"/>
          <w:sz w:val="18"/>
          <w:szCs w:val="18"/>
        </w:rPr>
      </w:pPr>
      <w:r w:rsidRPr="00B05F41">
        <w:rPr>
          <w:rFonts w:ascii="MS Shell Dlg 2" w:hAnsi="MS Shell Dlg 2" w:cs="MS Shell Dlg 2"/>
          <w:color w:val="000000"/>
          <w:sz w:val="18"/>
          <w:szCs w:val="18"/>
        </w:rPr>
        <w:t>It will be necessary to intensify the work with them.</w:t>
      </w:r>
    </w:p>
  </w:comment>
  <w:comment w:id="5" w:author="Yuri Kargapolov" w:date="2015-06-10T18:17:00Z" w:initials="YK">
    <w:p w14:paraId="09860E78" w14:textId="1F091F39" w:rsidR="00A11633" w:rsidRPr="00B05F41" w:rsidRDefault="00A11633">
      <w:pPr>
        <w:pStyle w:val="aa"/>
      </w:pPr>
      <w:r>
        <w:rPr>
          <w:rStyle w:val="a9"/>
        </w:rPr>
        <w:annotationRef/>
      </w:r>
      <w:r w:rsidR="00B05F41" w:rsidRPr="00B05F41">
        <w:t xml:space="preserve">What are the suggestions of the </w:t>
      </w:r>
      <w:r w:rsidR="00B05F41">
        <w:t xml:space="preserve">Panel </w:t>
      </w:r>
      <w:r w:rsidR="00B05F41" w:rsidRPr="00B05F41">
        <w:t>members?</w:t>
      </w:r>
    </w:p>
  </w:comment>
  <w:comment w:id="6" w:author="Yuri Kargapolov" w:date="2015-06-10T18:18:00Z" w:initials="YK">
    <w:p w14:paraId="76E5D361" w14:textId="7876D953" w:rsidR="00A11633" w:rsidRDefault="00A11633">
      <w:pPr>
        <w:pStyle w:val="aa"/>
      </w:pPr>
      <w:r>
        <w:rPr>
          <w:rStyle w:val="a9"/>
        </w:rPr>
        <w:annotationRef/>
      </w:r>
      <w:r w:rsidR="00B05F41">
        <w:t>We should</w:t>
      </w:r>
      <w:r>
        <w:t xml:space="preserve"> </w:t>
      </w:r>
      <w:r w:rsidR="00DB1811">
        <w:t xml:space="preserve">to </w:t>
      </w:r>
      <w:r>
        <w:t xml:space="preserve">recruiting these specialists </w:t>
      </w:r>
      <w:r w:rsidR="00B05F41">
        <w:t>ASAP</w:t>
      </w:r>
    </w:p>
  </w:comment>
  <w:comment w:id="7" w:author="Yuri Kargapolov" w:date="2015-06-10T18:20:00Z" w:initials="YK">
    <w:p w14:paraId="69EB1C82" w14:textId="77777777" w:rsidR="00A11633" w:rsidRDefault="00A11633">
      <w:pPr>
        <w:pStyle w:val="aa"/>
      </w:pPr>
      <w:r>
        <w:rPr>
          <w:rStyle w:val="a9"/>
        </w:rPr>
        <w:annotationRef/>
      </w:r>
      <w:r>
        <w:t>As I understand – change MSR-2 to MSR-</w:t>
      </w:r>
      <w:proofErr w:type="gramStart"/>
      <w:r>
        <w:t>3 ?</w:t>
      </w:r>
      <w:proofErr w:type="gramEnd"/>
    </w:p>
  </w:comment>
  <w:comment w:id="8" w:author="Yuri Kargapolov" w:date="2015-06-10T18:44:00Z" w:initials="YK">
    <w:p w14:paraId="7BB19332" w14:textId="4E52F377" w:rsidR="00BC7721" w:rsidRPr="00BC7721" w:rsidRDefault="00BC7721">
      <w:pPr>
        <w:pStyle w:val="aa"/>
      </w:pPr>
      <w:r>
        <w:rPr>
          <w:rStyle w:val="a9"/>
        </w:rPr>
        <w:annotationRef/>
      </w:r>
      <w:r w:rsidR="00DB1811">
        <w:t>If</w:t>
      </w:r>
      <w:r>
        <w:t xml:space="preserve"> suddenly the Ortho</w:t>
      </w:r>
      <w:r w:rsidR="00DB1811">
        <w:t xml:space="preserve">dox church wants Cyrillic IDN? </w:t>
      </w:r>
      <w:r>
        <w:t xml:space="preserve"> Surprise! </w:t>
      </w:r>
      <w:r w:rsidR="00DB1811">
        <w:sym w:font="Wingdings" w:char="F04A"/>
      </w:r>
    </w:p>
  </w:comment>
  <w:comment w:id="10" w:author="Yuri Kargapolov" w:date="2015-06-10T18:54:00Z" w:initials="YK">
    <w:p w14:paraId="6668DB8C" w14:textId="77777777" w:rsidR="002C79D5" w:rsidRDefault="002C79D5">
      <w:pPr>
        <w:pStyle w:val="aa"/>
      </w:pPr>
      <w:r>
        <w:rPr>
          <w:rStyle w:val="a9"/>
        </w:rPr>
        <w:annotationRef/>
      </w:r>
      <w:r>
        <w:t>Why? I didn’t understood the reasons…</w:t>
      </w:r>
    </w:p>
    <w:p w14:paraId="5FBB89C3" w14:textId="77777777" w:rsidR="002C79D5" w:rsidRDefault="002C79D5">
      <w:pPr>
        <w:pStyle w:val="aa"/>
      </w:pPr>
      <w:r>
        <w:t xml:space="preserve">But OCS was, is and will </w:t>
      </w:r>
      <w:r w:rsidR="002F2D63">
        <w:t xml:space="preserve">the </w:t>
      </w:r>
      <w:r>
        <w:t>language for many people that are within Church and these a lot a people – may be more than population some country</w:t>
      </w:r>
    </w:p>
    <w:p w14:paraId="38A0DA01" w14:textId="77777777" w:rsidR="002C79D5" w:rsidRDefault="002C79D5">
      <w:pPr>
        <w:pStyle w:val="aa"/>
      </w:pPr>
      <w:r>
        <w:t xml:space="preserve">This is great and important </w:t>
      </w:r>
      <w:proofErr w:type="spellStart"/>
      <w:r>
        <w:t>culturological</w:t>
      </w:r>
      <w:proofErr w:type="spellEnd"/>
      <w:r>
        <w:t xml:space="preserve"> aspect </w:t>
      </w:r>
    </w:p>
  </w:comment>
  <w:comment w:id="15" w:author="Yuri Kargapolov" w:date="2015-06-10T19:09:00Z" w:initials="YK">
    <w:p w14:paraId="0DD81BE1" w14:textId="77777777" w:rsidR="002F2D63" w:rsidRDefault="002F2D63">
      <w:pPr>
        <w:pStyle w:val="aa"/>
      </w:pPr>
      <w:r>
        <w:rPr>
          <w:rStyle w:val="a9"/>
        </w:rPr>
        <w:annotationRef/>
      </w:r>
      <w:r>
        <w:t>For all these languages we MUST – not “should” – the experts.</w:t>
      </w:r>
    </w:p>
  </w:comment>
  <w:comment w:id="22" w:author="Yuri Kargapolov" w:date="2015-06-10T19:11:00Z" w:initials="YK">
    <w:p w14:paraId="4DD25C7C" w14:textId="77777777" w:rsidR="002972D3" w:rsidRDefault="002972D3" w:rsidP="002972D3">
      <w:pPr>
        <w:pStyle w:val="aa"/>
      </w:pPr>
      <w:r>
        <w:t>Sorry, but it is very complicated for understanding…</w:t>
      </w:r>
    </w:p>
    <w:p w14:paraId="5A7213D0" w14:textId="1A32D173" w:rsidR="002972D3" w:rsidRDefault="002972D3" w:rsidP="002972D3">
      <w:pPr>
        <w:pStyle w:val="aa"/>
      </w:pPr>
      <w:r>
        <w:t>Once again – Apostrophe in Ukrainian and Belarus languages isn’t concern punctuation issues, it is the letter and solve the tasks not punctuation, but syntax and semantic</w:t>
      </w:r>
    </w:p>
  </w:comment>
  <w:comment w:id="29" w:author="Yuri Kargapolov" w:date="2015-06-10T19:36:00Z" w:initials="YK">
    <w:p w14:paraId="7CA57A30" w14:textId="51978AF2" w:rsidR="00283DF3" w:rsidRPr="00283DF3" w:rsidRDefault="00D175FD">
      <w:pPr>
        <w:pStyle w:val="aa"/>
      </w:pPr>
      <w:r>
        <w:rPr>
          <w:rStyle w:val="a9"/>
        </w:rPr>
        <w:annotationRef/>
      </w:r>
      <w:r>
        <w:t xml:space="preserve">For </w:t>
      </w:r>
      <w:r w:rsidR="00283DF3">
        <w:t>bringing of the representatives these Internet-communities, we should find such of</w:t>
      </w:r>
      <w:r w:rsidR="002972D3">
        <w: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DCF3E2C" w15:done="0"/>
  <w15:commentEx w15:paraId="64E6A1AE" w15:done="0"/>
  <w15:commentEx w15:paraId="1F7FE324" w15:done="0"/>
  <w15:commentEx w15:paraId="1DCC8B7F" w15:done="0"/>
  <w15:commentEx w15:paraId="09860E78" w15:done="0"/>
  <w15:commentEx w15:paraId="76E5D361" w15:done="0"/>
  <w15:commentEx w15:paraId="69EB1C82" w15:done="0"/>
  <w15:commentEx w15:paraId="7BB19332" w15:done="0"/>
  <w15:commentEx w15:paraId="38A0DA01" w15:done="0"/>
  <w15:commentEx w15:paraId="0DD81BE1" w15:done="0"/>
  <w15:commentEx w15:paraId="5A7213D0" w15:done="0"/>
  <w15:commentEx w15:paraId="7CA57A30"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Lucida Grande">
    <w:altName w:val="Franklin Gothic Medium Cond"/>
    <w:charset w:val="00"/>
    <w:family w:val="auto"/>
    <w:pitch w:val="variable"/>
    <w:sig w:usb0="00000003" w:usb1="00000000" w:usb2="00000000" w:usb3="00000000" w:csb0="00000001" w:csb1="00000000"/>
  </w:font>
  <w:font w:name="MS Shell Dlg 2">
    <w:panose1 w:val="020B0604030504040204"/>
    <w:charset w:val="00"/>
    <w:family w:val="auto"/>
    <w:notTrueType/>
    <w:pitch w:val="default"/>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Yuri Kargapolov">
    <w15:presenceInfo w15:providerId="Windows Live" w15:userId="db91d51f2355d46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proofState w:spelling="clean" w:grammar="clean"/>
  <w:trackRevisions/>
  <w:doNotTrackFormatting/>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2AC"/>
    <w:rsid w:val="00010A8F"/>
    <w:rsid w:val="000137A6"/>
    <w:rsid w:val="0004495E"/>
    <w:rsid w:val="000831BE"/>
    <w:rsid w:val="000F139E"/>
    <w:rsid w:val="00134D16"/>
    <w:rsid w:val="00137E6A"/>
    <w:rsid w:val="0014373D"/>
    <w:rsid w:val="001E2C18"/>
    <w:rsid w:val="001E4471"/>
    <w:rsid w:val="00283DF3"/>
    <w:rsid w:val="00296533"/>
    <w:rsid w:val="002972D3"/>
    <w:rsid w:val="002B2964"/>
    <w:rsid w:val="002C79D5"/>
    <w:rsid w:val="002E1D36"/>
    <w:rsid w:val="002F2D63"/>
    <w:rsid w:val="00355220"/>
    <w:rsid w:val="00364AD1"/>
    <w:rsid w:val="00386003"/>
    <w:rsid w:val="003C592D"/>
    <w:rsid w:val="003D66C3"/>
    <w:rsid w:val="003E1608"/>
    <w:rsid w:val="003E2874"/>
    <w:rsid w:val="0042211E"/>
    <w:rsid w:val="004A2AF1"/>
    <w:rsid w:val="004A42AC"/>
    <w:rsid w:val="004C1160"/>
    <w:rsid w:val="00542236"/>
    <w:rsid w:val="006008D4"/>
    <w:rsid w:val="00685C24"/>
    <w:rsid w:val="00743636"/>
    <w:rsid w:val="00767E9D"/>
    <w:rsid w:val="0077418A"/>
    <w:rsid w:val="0079320D"/>
    <w:rsid w:val="007F42FF"/>
    <w:rsid w:val="00892AC0"/>
    <w:rsid w:val="008D6368"/>
    <w:rsid w:val="009E4BF0"/>
    <w:rsid w:val="009F0206"/>
    <w:rsid w:val="009F083A"/>
    <w:rsid w:val="00A11633"/>
    <w:rsid w:val="00A47C90"/>
    <w:rsid w:val="00A862AB"/>
    <w:rsid w:val="00AC7818"/>
    <w:rsid w:val="00B05F41"/>
    <w:rsid w:val="00BC1CC5"/>
    <w:rsid w:val="00BC7721"/>
    <w:rsid w:val="00BF6D6B"/>
    <w:rsid w:val="00C113BF"/>
    <w:rsid w:val="00C66BA9"/>
    <w:rsid w:val="00C94051"/>
    <w:rsid w:val="00CA0324"/>
    <w:rsid w:val="00D175FD"/>
    <w:rsid w:val="00D44E5D"/>
    <w:rsid w:val="00DA3C21"/>
    <w:rsid w:val="00DB1811"/>
    <w:rsid w:val="00DB530A"/>
    <w:rsid w:val="00DE0173"/>
    <w:rsid w:val="00F40B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260013"/>
  <w15:docId w15:val="{F68D6DA7-3165-4F63-ACAA-1F7C552CE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5C24"/>
  </w:style>
  <w:style w:type="paragraph" w:styleId="1">
    <w:name w:val="heading 1"/>
    <w:basedOn w:val="a"/>
    <w:next w:val="a"/>
    <w:link w:val="10"/>
    <w:uiPriority w:val="9"/>
    <w:qFormat/>
    <w:rsid w:val="004A42A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F40BA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37E6A"/>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137E6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nowrap">
    <w:name w:val="nowrap"/>
    <w:basedOn w:val="a0"/>
    <w:rsid w:val="004A42AC"/>
  </w:style>
  <w:style w:type="character" w:customStyle="1" w:styleId="ipa">
    <w:name w:val="ipa"/>
    <w:basedOn w:val="a0"/>
    <w:rsid w:val="004A42AC"/>
  </w:style>
  <w:style w:type="character" w:styleId="a3">
    <w:name w:val="Hyperlink"/>
    <w:basedOn w:val="a0"/>
    <w:uiPriority w:val="99"/>
    <w:semiHidden/>
    <w:unhideWhenUsed/>
    <w:rsid w:val="004A42AC"/>
    <w:rPr>
      <w:color w:val="0000FF"/>
      <w:u w:val="single"/>
    </w:rPr>
  </w:style>
  <w:style w:type="character" w:customStyle="1" w:styleId="unicode">
    <w:name w:val="unicode"/>
    <w:basedOn w:val="a0"/>
    <w:rsid w:val="004A42AC"/>
  </w:style>
  <w:style w:type="character" w:customStyle="1" w:styleId="10">
    <w:name w:val="Заголовок 1 Знак"/>
    <w:basedOn w:val="a0"/>
    <w:link w:val="1"/>
    <w:uiPriority w:val="9"/>
    <w:rsid w:val="004A42AC"/>
    <w:rPr>
      <w:rFonts w:asciiTheme="majorHAnsi" w:eastAsiaTheme="majorEastAsia" w:hAnsiTheme="majorHAnsi" w:cstheme="majorBidi"/>
      <w:b/>
      <w:bCs/>
      <w:color w:val="365F91" w:themeColor="accent1" w:themeShade="BF"/>
      <w:sz w:val="28"/>
      <w:szCs w:val="28"/>
    </w:rPr>
  </w:style>
  <w:style w:type="paragraph" w:styleId="a4">
    <w:name w:val="No Spacing"/>
    <w:uiPriority w:val="1"/>
    <w:qFormat/>
    <w:rsid w:val="004A42AC"/>
    <w:pPr>
      <w:spacing w:after="0" w:line="240" w:lineRule="auto"/>
    </w:pPr>
  </w:style>
  <w:style w:type="paragraph" w:styleId="HTML">
    <w:name w:val="HTML Preformatted"/>
    <w:basedOn w:val="a"/>
    <w:link w:val="HTML0"/>
    <w:uiPriority w:val="99"/>
    <w:semiHidden/>
    <w:unhideWhenUsed/>
    <w:rsid w:val="004A42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semiHidden/>
    <w:rsid w:val="004A42AC"/>
    <w:rPr>
      <w:rFonts w:ascii="Courier New" w:eastAsia="Times New Roman" w:hAnsi="Courier New" w:cs="Courier New"/>
      <w:sz w:val="20"/>
      <w:szCs w:val="20"/>
    </w:rPr>
  </w:style>
  <w:style w:type="paragraph" w:styleId="a5">
    <w:name w:val="Title"/>
    <w:basedOn w:val="a"/>
    <w:next w:val="a"/>
    <w:link w:val="a6"/>
    <w:uiPriority w:val="10"/>
    <w:qFormat/>
    <w:rsid w:val="004A42A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6">
    <w:name w:val="Название Знак"/>
    <w:basedOn w:val="a0"/>
    <w:link w:val="a5"/>
    <w:uiPriority w:val="10"/>
    <w:rsid w:val="004A42AC"/>
    <w:rPr>
      <w:rFonts w:asciiTheme="majorHAnsi" w:eastAsiaTheme="majorEastAsia" w:hAnsiTheme="majorHAnsi" w:cstheme="majorBidi"/>
      <w:color w:val="17365D" w:themeColor="text2" w:themeShade="BF"/>
      <w:spacing w:val="5"/>
      <w:kern w:val="28"/>
      <w:sz w:val="52"/>
      <w:szCs w:val="52"/>
    </w:rPr>
  </w:style>
  <w:style w:type="character" w:customStyle="1" w:styleId="20">
    <w:name w:val="Заголовок 2 Знак"/>
    <w:basedOn w:val="a0"/>
    <w:link w:val="2"/>
    <w:uiPriority w:val="9"/>
    <w:rsid w:val="00F40BA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137E6A"/>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137E6A"/>
    <w:rPr>
      <w:rFonts w:asciiTheme="majorHAnsi" w:eastAsiaTheme="majorEastAsia" w:hAnsiTheme="majorHAnsi" w:cstheme="majorBidi"/>
      <w:b/>
      <w:bCs/>
      <w:i/>
      <w:iCs/>
      <w:color w:val="4F81BD" w:themeColor="accent1"/>
    </w:rPr>
  </w:style>
  <w:style w:type="paragraph" w:styleId="a7">
    <w:name w:val="Balloon Text"/>
    <w:basedOn w:val="a"/>
    <w:link w:val="a8"/>
    <w:uiPriority w:val="99"/>
    <w:semiHidden/>
    <w:unhideWhenUsed/>
    <w:rsid w:val="00743636"/>
    <w:pPr>
      <w:spacing w:after="0" w:line="240" w:lineRule="auto"/>
    </w:pPr>
    <w:rPr>
      <w:rFonts w:ascii="Lucida Grande" w:hAnsi="Lucida Grande" w:cs="Lucida Grande"/>
      <w:sz w:val="18"/>
      <w:szCs w:val="18"/>
    </w:rPr>
  </w:style>
  <w:style w:type="character" w:customStyle="1" w:styleId="a8">
    <w:name w:val="Текст выноски Знак"/>
    <w:basedOn w:val="a0"/>
    <w:link w:val="a7"/>
    <w:uiPriority w:val="99"/>
    <w:semiHidden/>
    <w:rsid w:val="00743636"/>
    <w:rPr>
      <w:rFonts w:ascii="Lucida Grande" w:hAnsi="Lucida Grande" w:cs="Lucida Grande"/>
      <w:sz w:val="18"/>
      <w:szCs w:val="18"/>
    </w:rPr>
  </w:style>
  <w:style w:type="character" w:styleId="a9">
    <w:name w:val="annotation reference"/>
    <w:basedOn w:val="a0"/>
    <w:uiPriority w:val="99"/>
    <w:semiHidden/>
    <w:unhideWhenUsed/>
    <w:rsid w:val="00C94051"/>
    <w:rPr>
      <w:sz w:val="18"/>
      <w:szCs w:val="18"/>
    </w:rPr>
  </w:style>
  <w:style w:type="paragraph" w:styleId="aa">
    <w:name w:val="annotation text"/>
    <w:basedOn w:val="a"/>
    <w:link w:val="ab"/>
    <w:uiPriority w:val="99"/>
    <w:unhideWhenUsed/>
    <w:rsid w:val="00C94051"/>
    <w:pPr>
      <w:spacing w:line="240" w:lineRule="auto"/>
    </w:pPr>
    <w:rPr>
      <w:sz w:val="24"/>
      <w:szCs w:val="24"/>
    </w:rPr>
  </w:style>
  <w:style w:type="character" w:customStyle="1" w:styleId="ab">
    <w:name w:val="Текст примечания Знак"/>
    <w:basedOn w:val="a0"/>
    <w:link w:val="aa"/>
    <w:uiPriority w:val="99"/>
    <w:rsid w:val="00C94051"/>
    <w:rPr>
      <w:sz w:val="24"/>
      <w:szCs w:val="24"/>
    </w:rPr>
  </w:style>
  <w:style w:type="paragraph" w:styleId="ac">
    <w:name w:val="annotation subject"/>
    <w:basedOn w:val="aa"/>
    <w:next w:val="aa"/>
    <w:link w:val="ad"/>
    <w:uiPriority w:val="99"/>
    <w:semiHidden/>
    <w:unhideWhenUsed/>
    <w:rsid w:val="00C94051"/>
    <w:rPr>
      <w:b/>
      <w:bCs/>
      <w:sz w:val="20"/>
      <w:szCs w:val="20"/>
    </w:rPr>
  </w:style>
  <w:style w:type="character" w:customStyle="1" w:styleId="ad">
    <w:name w:val="Тема примечания Знак"/>
    <w:basedOn w:val="ab"/>
    <w:link w:val="ac"/>
    <w:uiPriority w:val="99"/>
    <w:semiHidden/>
    <w:rsid w:val="00C9405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966485">
      <w:bodyDiv w:val="1"/>
      <w:marLeft w:val="0"/>
      <w:marRight w:val="0"/>
      <w:marTop w:val="0"/>
      <w:marBottom w:val="0"/>
      <w:divBdr>
        <w:top w:val="none" w:sz="0" w:space="0" w:color="auto"/>
        <w:left w:val="none" w:sz="0" w:space="0" w:color="auto"/>
        <w:bottom w:val="none" w:sz="0" w:space="0" w:color="auto"/>
        <w:right w:val="none" w:sz="0" w:space="0" w:color="auto"/>
      </w:divBdr>
    </w:div>
    <w:div w:id="800423492">
      <w:bodyDiv w:val="1"/>
      <w:marLeft w:val="0"/>
      <w:marRight w:val="0"/>
      <w:marTop w:val="0"/>
      <w:marBottom w:val="0"/>
      <w:divBdr>
        <w:top w:val="none" w:sz="0" w:space="0" w:color="auto"/>
        <w:left w:val="none" w:sz="0" w:space="0" w:color="auto"/>
        <w:bottom w:val="none" w:sz="0" w:space="0" w:color="auto"/>
        <w:right w:val="none" w:sz="0" w:space="0" w:color="auto"/>
      </w:divBdr>
    </w:div>
    <w:div w:id="1376345618">
      <w:bodyDiv w:val="1"/>
      <w:marLeft w:val="0"/>
      <w:marRight w:val="0"/>
      <w:marTop w:val="0"/>
      <w:marBottom w:val="0"/>
      <w:divBdr>
        <w:top w:val="none" w:sz="0" w:space="0" w:color="auto"/>
        <w:left w:val="none" w:sz="0" w:space="0" w:color="auto"/>
        <w:bottom w:val="none" w:sz="0" w:space="0" w:color="auto"/>
        <w:right w:val="none" w:sz="0" w:space="0" w:color="auto"/>
      </w:divBdr>
    </w:div>
    <w:div w:id="1556502610">
      <w:bodyDiv w:val="1"/>
      <w:marLeft w:val="0"/>
      <w:marRight w:val="0"/>
      <w:marTop w:val="0"/>
      <w:marBottom w:val="0"/>
      <w:divBdr>
        <w:top w:val="none" w:sz="0" w:space="0" w:color="auto"/>
        <w:left w:val="none" w:sz="0" w:space="0" w:color="auto"/>
        <w:bottom w:val="none" w:sz="0" w:space="0" w:color="auto"/>
        <w:right w:val="none" w:sz="0" w:space="0" w:color="auto"/>
      </w:divBdr>
    </w:div>
    <w:div w:id="1781072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en.wikipedia.org/wiki/Help:IPA_for_English" TargetMode="External"/><Relationship Id="rId21" Type="http://schemas.openxmlformats.org/officeDocument/2006/relationships/hyperlink" Target="http://en.wikipedia.org/wiki/Help:IPA_for_English" TargetMode="External"/><Relationship Id="rId42" Type="http://schemas.openxmlformats.org/officeDocument/2006/relationships/hyperlink" Target="http://en.wikipedia.org/wiki/Help:IPA_for_English" TargetMode="External"/><Relationship Id="rId47" Type="http://schemas.openxmlformats.org/officeDocument/2006/relationships/hyperlink" Target="http://en.wikipedia.org/wiki/Help:IPA_for_English" TargetMode="External"/><Relationship Id="rId63" Type="http://schemas.openxmlformats.org/officeDocument/2006/relationships/hyperlink" Target="http://en.wikipedia.org/wiki/Church_Slavonic_language" TargetMode="External"/><Relationship Id="rId68" Type="http://schemas.openxmlformats.org/officeDocument/2006/relationships/hyperlink" Target="http://www.omniglot.com/writing/bosnian.htm" TargetMode="External"/><Relationship Id="rId7" Type="http://schemas.openxmlformats.org/officeDocument/2006/relationships/hyperlink" Target="http://en.wikipedia.org/wiki/Help:IPA_for_English" TargetMode="External"/><Relationship Id="rId71" Type="http://schemas.microsoft.com/office/2011/relationships/people" Target="people.xml"/><Relationship Id="rId2" Type="http://schemas.openxmlformats.org/officeDocument/2006/relationships/settings" Target="settings.xml"/><Relationship Id="rId16" Type="http://schemas.openxmlformats.org/officeDocument/2006/relationships/hyperlink" Target="http://en.wikipedia.org/wiki/Help:IPA_for_English" TargetMode="External"/><Relationship Id="rId29" Type="http://schemas.openxmlformats.org/officeDocument/2006/relationships/hyperlink" Target="http://en.wikipedia.org/wiki/Help:IPA_for_English" TargetMode="External"/><Relationship Id="rId11" Type="http://schemas.openxmlformats.org/officeDocument/2006/relationships/hyperlink" Target="http://en.wikipedia.org/wiki/Help:IPA_for_English" TargetMode="External"/><Relationship Id="rId24" Type="http://schemas.openxmlformats.org/officeDocument/2006/relationships/hyperlink" Target="http://en.wikipedia.org/wiki/Help:IPA_for_English" TargetMode="External"/><Relationship Id="rId32" Type="http://schemas.openxmlformats.org/officeDocument/2006/relationships/hyperlink" Target="http://en.wikipedia.org/wiki/Old_Church_Slavonic" TargetMode="External"/><Relationship Id="rId37" Type="http://schemas.openxmlformats.org/officeDocument/2006/relationships/hyperlink" Target="http://en.wikipedia.org/wiki/Help:IPA_for_English" TargetMode="External"/><Relationship Id="rId40" Type="http://schemas.openxmlformats.org/officeDocument/2006/relationships/hyperlink" Target="http://en.wikipedia.org/wiki/Help:IPA_for_English" TargetMode="External"/><Relationship Id="rId45" Type="http://schemas.openxmlformats.org/officeDocument/2006/relationships/hyperlink" Target="http://en.wikipedia.org/wiki/Help:IPA_for_English" TargetMode="External"/><Relationship Id="rId53" Type="http://schemas.openxmlformats.org/officeDocument/2006/relationships/hyperlink" Target="http://en.wikipedia.org/wiki/Saints_Cyril_and_Methodius" TargetMode="External"/><Relationship Id="rId58" Type="http://schemas.openxmlformats.org/officeDocument/2006/relationships/hyperlink" Target="http://en.wikipedia.org/wiki/Slavic_peoples" TargetMode="External"/><Relationship Id="rId66" Type="http://schemas.openxmlformats.org/officeDocument/2006/relationships/hyperlink" Target="http://en.wikipedia.org/wiki/Liturgical_language" TargetMode="External"/><Relationship Id="rId5" Type="http://schemas.microsoft.com/office/2011/relationships/commentsExtended" Target="commentsExtended.xml"/><Relationship Id="rId61" Type="http://schemas.openxmlformats.org/officeDocument/2006/relationships/hyperlink" Target="http://en.wikipedia.org/wiki/Thessalonica_%28theme%29" TargetMode="External"/><Relationship Id="rId19" Type="http://schemas.openxmlformats.org/officeDocument/2006/relationships/hyperlink" Target="http://en.wikipedia.org/wiki/Help:IPA_for_English" TargetMode="External"/><Relationship Id="rId14" Type="http://schemas.openxmlformats.org/officeDocument/2006/relationships/hyperlink" Target="http://en.wikipedia.org/wiki/Help:IPA_for_English" TargetMode="External"/><Relationship Id="rId22" Type="http://schemas.openxmlformats.org/officeDocument/2006/relationships/hyperlink" Target="http://en.wikipedia.org/wiki/Help:IPA_for_English" TargetMode="External"/><Relationship Id="rId27" Type="http://schemas.openxmlformats.org/officeDocument/2006/relationships/hyperlink" Target="http://en.wikipedia.org/wiki/Help:IPA_for_English" TargetMode="External"/><Relationship Id="rId30" Type="http://schemas.openxmlformats.org/officeDocument/2006/relationships/hyperlink" Target="http://en.wikipedia.org/wiki/Help:IPA_for_English" TargetMode="External"/><Relationship Id="rId35" Type="http://schemas.openxmlformats.org/officeDocument/2006/relationships/hyperlink" Target="http://en.wikipedia.org/wiki/Help:IPA_for_English" TargetMode="External"/><Relationship Id="rId43" Type="http://schemas.openxmlformats.org/officeDocument/2006/relationships/hyperlink" Target="http://en.wikipedia.org/wiki/Help:IPA_for_English" TargetMode="External"/><Relationship Id="rId48" Type="http://schemas.openxmlformats.org/officeDocument/2006/relationships/hyperlink" Target="http://en.wikipedia.org/wiki/Help:IPA_for_English" TargetMode="External"/><Relationship Id="rId56" Type="http://schemas.openxmlformats.org/officeDocument/2006/relationships/hyperlink" Target="http://en.wikipedia.org/wiki/Ancient_Greek_language" TargetMode="External"/><Relationship Id="rId64" Type="http://schemas.openxmlformats.org/officeDocument/2006/relationships/hyperlink" Target="http://en.wikipedia.org/wiki/Eastern_Orthodoxy" TargetMode="External"/><Relationship Id="rId69" Type="http://schemas.openxmlformats.org/officeDocument/2006/relationships/hyperlink" Target="http://www.ethnologue.com/country/RU/status" TargetMode="External"/><Relationship Id="rId8" Type="http://schemas.openxmlformats.org/officeDocument/2006/relationships/hyperlink" Target="http://en.wikipedia.org/wiki/Help:IPA_for_English" TargetMode="External"/><Relationship Id="rId51" Type="http://schemas.openxmlformats.org/officeDocument/2006/relationships/hyperlink" Target="http://en.wikipedia.org/wiki/Literary_language" TargetMode="External"/><Relationship Id="rId72"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hyperlink" Target="http://en.wikipedia.org/wiki/Help:IPA_for_English" TargetMode="External"/><Relationship Id="rId17" Type="http://schemas.openxmlformats.org/officeDocument/2006/relationships/hyperlink" Target="http://en.wikipedia.org/wiki/Help:IPA_for_English" TargetMode="External"/><Relationship Id="rId25" Type="http://schemas.openxmlformats.org/officeDocument/2006/relationships/hyperlink" Target="http://en.wikipedia.org/wiki/Help:IPA_for_English" TargetMode="External"/><Relationship Id="rId33" Type="http://schemas.openxmlformats.org/officeDocument/2006/relationships/hyperlink" Target="http://en.wikipedia.org/wiki/Help:IPA_for_English" TargetMode="External"/><Relationship Id="rId38" Type="http://schemas.openxmlformats.org/officeDocument/2006/relationships/hyperlink" Target="http://en.wikipedia.org/wiki/Help:IPA_for_English" TargetMode="External"/><Relationship Id="rId46" Type="http://schemas.openxmlformats.org/officeDocument/2006/relationships/hyperlink" Target="http://en.wikipedia.org/wiki/Help:IPA_for_English" TargetMode="External"/><Relationship Id="rId59" Type="http://schemas.openxmlformats.org/officeDocument/2006/relationships/hyperlink" Target="http://en.wikipedia.org/wiki/Old_Church_Slavonic" TargetMode="External"/><Relationship Id="rId67" Type="http://schemas.openxmlformats.org/officeDocument/2006/relationships/hyperlink" Target="http://en.wikipedia.org/wiki/Proto-Slavic" TargetMode="External"/><Relationship Id="rId20" Type="http://schemas.openxmlformats.org/officeDocument/2006/relationships/hyperlink" Target="http://en.wikipedia.org/wiki/Help:IPA_for_English" TargetMode="External"/><Relationship Id="rId41" Type="http://schemas.openxmlformats.org/officeDocument/2006/relationships/hyperlink" Target="http://en.wikipedia.org/wiki/Help:IPA_for_English" TargetMode="External"/><Relationship Id="rId54" Type="http://schemas.openxmlformats.org/officeDocument/2006/relationships/hyperlink" Target="http://en.wikipedia.org/wiki/Standard_language" TargetMode="External"/><Relationship Id="rId62" Type="http://schemas.openxmlformats.org/officeDocument/2006/relationships/hyperlink" Target="http://en.wikipedia.org/wiki/Greek_Macedonia" TargetMode="External"/><Relationship Id="rId7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en.wikipedia.org/wiki/Help:IPA_for_English" TargetMode="External"/><Relationship Id="rId15" Type="http://schemas.openxmlformats.org/officeDocument/2006/relationships/hyperlink" Target="http://en.wikipedia.org/wiki/Help:IPA_for_English" TargetMode="External"/><Relationship Id="rId23" Type="http://schemas.openxmlformats.org/officeDocument/2006/relationships/hyperlink" Target="http://en.wikipedia.org/wiki/Help:IPA_for_English" TargetMode="External"/><Relationship Id="rId28" Type="http://schemas.openxmlformats.org/officeDocument/2006/relationships/hyperlink" Target="http://en.wikipedia.org/wiki/Help:IPA_for_English" TargetMode="External"/><Relationship Id="rId36" Type="http://schemas.openxmlformats.org/officeDocument/2006/relationships/hyperlink" Target="http://en.wikipedia.org/wiki/Help:IPA_for_English" TargetMode="External"/><Relationship Id="rId49" Type="http://schemas.openxmlformats.org/officeDocument/2006/relationships/hyperlink" Target="http://en.wikipedia.org/wiki/Old_Church_Slavonic" TargetMode="External"/><Relationship Id="rId57" Type="http://schemas.openxmlformats.org/officeDocument/2006/relationships/hyperlink" Target="http://en.wikipedia.org/wiki/Christianisation" TargetMode="External"/><Relationship Id="rId10" Type="http://schemas.openxmlformats.org/officeDocument/2006/relationships/hyperlink" Target="http://en.wikipedia.org/wiki/Help:IPA_for_English" TargetMode="External"/><Relationship Id="rId31" Type="http://schemas.openxmlformats.org/officeDocument/2006/relationships/hyperlink" Target="http://en.wikipedia.org/wiki/Help:IPA_for_English" TargetMode="External"/><Relationship Id="rId44" Type="http://schemas.openxmlformats.org/officeDocument/2006/relationships/hyperlink" Target="http://en.wikipedia.org/wiki/Help:IPA_for_English" TargetMode="External"/><Relationship Id="rId52" Type="http://schemas.openxmlformats.org/officeDocument/2006/relationships/hyperlink" Target="http://en.wikipedia.org/wiki/Byzantine_Greeks" TargetMode="External"/><Relationship Id="rId60" Type="http://schemas.openxmlformats.org/officeDocument/2006/relationships/hyperlink" Target="http://en.wikipedia.org/wiki/Sclaveni" TargetMode="External"/><Relationship Id="rId65" Type="http://schemas.openxmlformats.org/officeDocument/2006/relationships/hyperlink" Target="http://en.wikipedia.org/wiki/Eastern_Catholic_Churches" TargetMode="External"/><Relationship Id="rId4" Type="http://schemas.openxmlformats.org/officeDocument/2006/relationships/comments" Target="comments.xml"/><Relationship Id="rId9" Type="http://schemas.openxmlformats.org/officeDocument/2006/relationships/hyperlink" Target="http://en.wikipedia.org/wiki/Help:IPA_for_English" TargetMode="External"/><Relationship Id="rId13" Type="http://schemas.openxmlformats.org/officeDocument/2006/relationships/hyperlink" Target="http://en.wikipedia.org/wiki/Help:IPA_for_English" TargetMode="External"/><Relationship Id="rId18" Type="http://schemas.openxmlformats.org/officeDocument/2006/relationships/hyperlink" Target="http://en.wikipedia.org/wiki/Help:IPA_for_English" TargetMode="External"/><Relationship Id="rId39" Type="http://schemas.openxmlformats.org/officeDocument/2006/relationships/hyperlink" Target="http://en.wikipedia.org/wiki/Help:IPA_for_English" TargetMode="External"/><Relationship Id="rId34" Type="http://schemas.openxmlformats.org/officeDocument/2006/relationships/hyperlink" Target="http://en.wikipedia.org/wiki/Help:IPA_for_English" TargetMode="External"/><Relationship Id="rId50" Type="http://schemas.openxmlformats.org/officeDocument/2006/relationships/hyperlink" Target="http://en.wikipedia.org/wiki/Slavic_languages" TargetMode="External"/><Relationship Id="rId55" Type="http://schemas.openxmlformats.org/officeDocument/2006/relationships/hyperlink" Target="http://en.wikipedia.org/wiki/Bib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8</Pages>
  <Words>3794</Words>
  <Characters>21629</Characters>
  <Application>Microsoft Office Word</Application>
  <DocSecurity>0</DocSecurity>
  <Lines>180</Lines>
  <Paragraphs>50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asmusf</dc:creator>
  <cp:lastModifiedBy>Yuri Kargapolov</cp:lastModifiedBy>
  <cp:revision>3</cp:revision>
  <dcterms:created xsi:type="dcterms:W3CDTF">2015-06-10T16:41:00Z</dcterms:created>
  <dcterms:modified xsi:type="dcterms:W3CDTF">2015-08-10T09:21:00Z</dcterms:modified>
</cp:coreProperties>
</file>