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3F0853" w14:textId="25987AB5" w:rsidR="009D7663" w:rsidRPr="00F00BFE" w:rsidRDefault="007D6261">
      <w:pPr>
        <w:rPr>
          <w:b/>
          <w:sz w:val="22"/>
          <w:szCs w:val="22"/>
        </w:rPr>
      </w:pPr>
      <w:r w:rsidRPr="00F00BFE">
        <w:rPr>
          <w:b/>
          <w:sz w:val="22"/>
          <w:szCs w:val="22"/>
        </w:rPr>
        <w:t xml:space="preserve">DRAFT PROBLEM STATEMENT RELATING TO THE PROTECTION OF CERTAIN RED CROSS NAMES AND ACRONYMS </w:t>
      </w:r>
      <w:r w:rsidR="004C6229" w:rsidRPr="00F00BFE">
        <w:rPr>
          <w:b/>
          <w:sz w:val="22"/>
          <w:szCs w:val="22"/>
        </w:rPr>
        <w:t xml:space="preserve">AT THE SECOND LEVEL </w:t>
      </w:r>
      <w:r w:rsidRPr="00F00BFE">
        <w:rPr>
          <w:b/>
          <w:sz w:val="22"/>
          <w:szCs w:val="22"/>
        </w:rPr>
        <w:t xml:space="preserve">IN GENERIC TOP LEVEL DOMAINS </w:t>
      </w:r>
      <w:r w:rsidR="0053243D" w:rsidRPr="00F00BFE">
        <w:rPr>
          <w:b/>
          <w:sz w:val="22"/>
          <w:szCs w:val="22"/>
        </w:rPr>
        <w:t xml:space="preserve">(draft as of </w:t>
      </w:r>
      <w:r w:rsidR="00F00BFE">
        <w:rPr>
          <w:b/>
          <w:sz w:val="22"/>
          <w:szCs w:val="22"/>
        </w:rPr>
        <w:t>12</w:t>
      </w:r>
      <w:r w:rsidR="0053243D" w:rsidRPr="00F00BFE">
        <w:rPr>
          <w:b/>
          <w:sz w:val="22"/>
          <w:szCs w:val="22"/>
        </w:rPr>
        <w:t xml:space="preserve"> January 2017)</w:t>
      </w:r>
    </w:p>
    <w:p w14:paraId="752F1DFC" w14:textId="77777777" w:rsidR="007D6261" w:rsidRPr="00F00BFE" w:rsidRDefault="007D6261">
      <w:pPr>
        <w:rPr>
          <w:sz w:val="22"/>
          <w:szCs w:val="22"/>
        </w:rPr>
      </w:pPr>
    </w:p>
    <w:p w14:paraId="2B9E317A" w14:textId="77777777" w:rsidR="007D6261" w:rsidRPr="00F00BFE" w:rsidRDefault="00044DE9">
      <w:pPr>
        <w:rPr>
          <w:b/>
          <w:sz w:val="22"/>
          <w:szCs w:val="22"/>
        </w:rPr>
      </w:pPr>
      <w:r w:rsidRPr="00F00BFE">
        <w:rPr>
          <w:b/>
          <w:sz w:val="22"/>
          <w:szCs w:val="22"/>
        </w:rPr>
        <w:t xml:space="preserve">The </w:t>
      </w:r>
      <w:r w:rsidR="007D6261" w:rsidRPr="00F00BFE">
        <w:rPr>
          <w:b/>
          <w:sz w:val="22"/>
          <w:szCs w:val="22"/>
        </w:rPr>
        <w:t>Objective:</w:t>
      </w:r>
    </w:p>
    <w:p w14:paraId="6EDCE292" w14:textId="77777777" w:rsidR="00B473C9" w:rsidRPr="00F00BFE" w:rsidRDefault="00B473C9">
      <w:pPr>
        <w:rPr>
          <w:sz w:val="22"/>
          <w:szCs w:val="22"/>
        </w:rPr>
      </w:pPr>
    </w:p>
    <w:p w14:paraId="2AECDF4B" w14:textId="5FFEF846" w:rsidR="007D6261" w:rsidRPr="00F00BFE" w:rsidRDefault="00E955CB" w:rsidP="00AA74A5">
      <w:pPr>
        <w:pStyle w:val="PlainText"/>
        <w:rPr>
          <w:szCs w:val="22"/>
        </w:rPr>
      </w:pPr>
      <w:r w:rsidRPr="00F00BFE">
        <w:rPr>
          <w:szCs w:val="22"/>
        </w:rPr>
        <w:t>The</w:t>
      </w:r>
      <w:r w:rsidR="007D6261" w:rsidRPr="00F00BFE">
        <w:rPr>
          <w:szCs w:val="22"/>
        </w:rPr>
        <w:t xml:space="preserve"> allocation, management and operation of generic top level domains (gTLDs) </w:t>
      </w:r>
      <w:r w:rsidR="005D28CD" w:rsidRPr="00F00BFE">
        <w:rPr>
          <w:szCs w:val="22"/>
        </w:rPr>
        <w:t xml:space="preserve">must </w:t>
      </w:r>
      <w:r w:rsidR="00E26769" w:rsidRPr="00F00BFE">
        <w:rPr>
          <w:szCs w:val="22"/>
        </w:rPr>
        <w:t>take into account the need to</w:t>
      </w:r>
      <w:r w:rsidRPr="00F00BFE">
        <w:rPr>
          <w:szCs w:val="22"/>
        </w:rPr>
        <w:t xml:space="preserve"> </w:t>
      </w:r>
      <w:r w:rsidR="005D28CD" w:rsidRPr="00F00BFE">
        <w:rPr>
          <w:szCs w:val="22"/>
        </w:rPr>
        <w:t>ensure that neither the registration of a domain name at the second level nor the manner in which it is used infringes the legal rights of the</w:t>
      </w:r>
      <w:r w:rsidR="007D6261" w:rsidRPr="00F00BFE">
        <w:rPr>
          <w:szCs w:val="22"/>
        </w:rPr>
        <w:t xml:space="preserve"> Red Cross</w:t>
      </w:r>
      <w:r w:rsidRPr="00F00BFE">
        <w:rPr>
          <w:szCs w:val="22"/>
        </w:rPr>
        <w:t>, in accordance with recognized principles of international law.</w:t>
      </w:r>
      <w:r w:rsidR="005D28CD" w:rsidRPr="00F00BFE">
        <w:rPr>
          <w:szCs w:val="22"/>
        </w:rPr>
        <w:t xml:space="preserve">  </w:t>
      </w:r>
      <w:r w:rsidRPr="00F00BFE">
        <w:rPr>
          <w:szCs w:val="22"/>
        </w:rPr>
        <w:t xml:space="preserve"> </w:t>
      </w:r>
      <w:r w:rsidR="00E26769" w:rsidRPr="00F00BFE">
        <w:rPr>
          <w:szCs w:val="22"/>
        </w:rPr>
        <w:t>In this s</w:t>
      </w:r>
      <w:r w:rsidRPr="00F00BFE">
        <w:rPr>
          <w:szCs w:val="22"/>
        </w:rPr>
        <w:t>pecific</w:t>
      </w:r>
      <w:r w:rsidR="00E26769" w:rsidRPr="00F00BFE">
        <w:rPr>
          <w:szCs w:val="22"/>
        </w:rPr>
        <w:t xml:space="preserve"> instance</w:t>
      </w:r>
      <w:r w:rsidRPr="00F00BFE">
        <w:rPr>
          <w:szCs w:val="22"/>
        </w:rPr>
        <w:t xml:space="preserve">, </w:t>
      </w:r>
      <w:r w:rsidR="0016232D" w:rsidRPr="00F00BFE">
        <w:rPr>
          <w:szCs w:val="22"/>
        </w:rPr>
        <w:t xml:space="preserve">any </w:t>
      </w:r>
      <w:r w:rsidRPr="00F00BFE">
        <w:rPr>
          <w:szCs w:val="22"/>
        </w:rPr>
        <w:t xml:space="preserve">gTLD policies </w:t>
      </w:r>
      <w:r w:rsidR="00E26769" w:rsidRPr="00F00BFE">
        <w:rPr>
          <w:szCs w:val="22"/>
        </w:rPr>
        <w:t>for the</w:t>
      </w:r>
      <w:r w:rsidRPr="00F00BFE">
        <w:rPr>
          <w:szCs w:val="22"/>
        </w:rPr>
        <w:t xml:space="preserve"> protection for </w:t>
      </w:r>
      <w:r w:rsidR="007D6261" w:rsidRPr="00F00BFE">
        <w:rPr>
          <w:szCs w:val="22"/>
        </w:rPr>
        <w:t xml:space="preserve">the official names of the </w:t>
      </w:r>
      <w:r w:rsidRPr="00F00BFE">
        <w:rPr>
          <w:szCs w:val="22"/>
        </w:rPr>
        <w:t xml:space="preserve">various </w:t>
      </w:r>
      <w:r w:rsidR="007D6261" w:rsidRPr="00F00BFE">
        <w:rPr>
          <w:szCs w:val="22"/>
        </w:rPr>
        <w:t xml:space="preserve">National Societies of the Red Cross movement, the </w:t>
      </w:r>
      <w:r w:rsidR="0016232D" w:rsidRPr="00F00BFE">
        <w:rPr>
          <w:szCs w:val="22"/>
        </w:rPr>
        <w:t xml:space="preserve">two international movement </w:t>
      </w:r>
      <w:r w:rsidR="007D6261" w:rsidRPr="00F00BFE">
        <w:rPr>
          <w:szCs w:val="22"/>
        </w:rPr>
        <w:t>name</w:t>
      </w:r>
      <w:r w:rsidR="0016232D" w:rsidRPr="00F00BFE">
        <w:rPr>
          <w:szCs w:val="22"/>
        </w:rPr>
        <w:t>s</w:t>
      </w:r>
      <w:r w:rsidR="007D6261" w:rsidRPr="00F00BFE">
        <w:rPr>
          <w:szCs w:val="22"/>
        </w:rPr>
        <w:t xml:space="preserve"> </w:t>
      </w:r>
      <w:r w:rsidR="0016232D" w:rsidRPr="00F00BFE">
        <w:rPr>
          <w:szCs w:val="22"/>
        </w:rPr>
        <w:t>(</w:t>
      </w:r>
      <w:r w:rsidR="007D6261" w:rsidRPr="00F00BFE">
        <w:rPr>
          <w:szCs w:val="22"/>
        </w:rPr>
        <w:t xml:space="preserve">International Federation of Red Cross </w:t>
      </w:r>
      <w:r w:rsidR="002B7576" w:rsidRPr="00F00BFE">
        <w:rPr>
          <w:szCs w:val="22"/>
        </w:rPr>
        <w:t>and</w:t>
      </w:r>
      <w:r w:rsidR="007D6261" w:rsidRPr="00F00BFE">
        <w:rPr>
          <w:szCs w:val="22"/>
        </w:rPr>
        <w:t xml:space="preserve"> Red Crescent Societies</w:t>
      </w:r>
      <w:r w:rsidR="002B7576" w:rsidRPr="00F00BFE">
        <w:rPr>
          <w:szCs w:val="22"/>
        </w:rPr>
        <w:t>,</w:t>
      </w:r>
      <w:r w:rsidR="0016232D" w:rsidRPr="00F00BFE">
        <w:rPr>
          <w:szCs w:val="22"/>
        </w:rPr>
        <w:t xml:space="preserve"> and</w:t>
      </w:r>
      <w:r w:rsidR="007D6261" w:rsidRPr="00F00BFE">
        <w:rPr>
          <w:szCs w:val="22"/>
        </w:rPr>
        <w:t xml:space="preserve"> International Committee of the Red Cross</w:t>
      </w:r>
      <w:r w:rsidR="0016232D" w:rsidRPr="00F00BFE">
        <w:rPr>
          <w:szCs w:val="22"/>
        </w:rPr>
        <w:t>),</w:t>
      </w:r>
      <w:r w:rsidR="007D6261" w:rsidRPr="00F00BFE">
        <w:rPr>
          <w:szCs w:val="22"/>
        </w:rPr>
        <w:t xml:space="preserve"> and </w:t>
      </w:r>
      <w:r w:rsidR="0016232D" w:rsidRPr="00F00BFE">
        <w:rPr>
          <w:szCs w:val="22"/>
        </w:rPr>
        <w:t>the</w:t>
      </w:r>
      <w:r w:rsidR="007D6261" w:rsidRPr="00F00BFE">
        <w:rPr>
          <w:szCs w:val="22"/>
        </w:rPr>
        <w:t xml:space="preserve"> acronym</w:t>
      </w:r>
      <w:r w:rsidR="0016232D" w:rsidRPr="00F00BFE">
        <w:rPr>
          <w:szCs w:val="22"/>
        </w:rPr>
        <w:t>s of the two international movement names</w:t>
      </w:r>
      <w:r w:rsidR="007D6261" w:rsidRPr="00F00BFE">
        <w:rPr>
          <w:szCs w:val="22"/>
        </w:rPr>
        <w:t xml:space="preserve"> (ICRC</w:t>
      </w:r>
      <w:r w:rsidR="0016232D" w:rsidRPr="00F00BFE">
        <w:rPr>
          <w:szCs w:val="22"/>
        </w:rPr>
        <w:t xml:space="preserve">, CICR, IFRC, </w:t>
      </w:r>
      <w:r w:rsidR="002B7576" w:rsidRPr="00F00BFE">
        <w:rPr>
          <w:szCs w:val="22"/>
        </w:rPr>
        <w:t xml:space="preserve">and </w:t>
      </w:r>
      <w:r w:rsidR="0016232D" w:rsidRPr="00F00BFE">
        <w:rPr>
          <w:szCs w:val="22"/>
        </w:rPr>
        <w:t>FICR</w:t>
      </w:r>
      <w:r w:rsidR="007D6261" w:rsidRPr="00F00BFE">
        <w:rPr>
          <w:szCs w:val="22"/>
        </w:rPr>
        <w:t>)</w:t>
      </w:r>
      <w:r w:rsidR="005D4ACC" w:rsidRPr="00F00BFE">
        <w:rPr>
          <w:szCs w:val="22"/>
        </w:rPr>
        <w:t>,</w:t>
      </w:r>
      <w:r w:rsidR="002B7576" w:rsidRPr="00F00BFE">
        <w:rPr>
          <w:szCs w:val="22"/>
        </w:rPr>
        <w:t xml:space="preserve"> should</w:t>
      </w:r>
      <w:r w:rsidRPr="00F00BFE">
        <w:rPr>
          <w:szCs w:val="22"/>
        </w:rPr>
        <w:t xml:space="preserve"> </w:t>
      </w:r>
      <w:r w:rsidR="002B7576" w:rsidRPr="00F00BFE">
        <w:rPr>
          <w:szCs w:val="22"/>
        </w:rPr>
        <w:t>reflect</w:t>
      </w:r>
      <w:r w:rsidRPr="00F00BFE">
        <w:rPr>
          <w:szCs w:val="22"/>
        </w:rPr>
        <w:t xml:space="preserve"> the scope of protection afforded to these </w:t>
      </w:r>
      <w:r w:rsidR="002B7576" w:rsidRPr="00F00BFE">
        <w:rPr>
          <w:szCs w:val="22"/>
        </w:rPr>
        <w:t>terms under</w:t>
      </w:r>
      <w:r w:rsidRPr="00F00BFE">
        <w:rPr>
          <w:szCs w:val="22"/>
        </w:rPr>
        <w:t xml:space="preserve"> international law while balancing the legitimate rights and interests of other domain name registrants. </w:t>
      </w:r>
    </w:p>
    <w:p w14:paraId="5C3F1B95" w14:textId="77777777" w:rsidR="00E26769" w:rsidRPr="00F00BFE" w:rsidRDefault="00E26769">
      <w:pPr>
        <w:rPr>
          <w:sz w:val="22"/>
          <w:szCs w:val="22"/>
        </w:rPr>
      </w:pPr>
    </w:p>
    <w:p w14:paraId="7C120D13" w14:textId="77777777" w:rsidR="00E26769" w:rsidRPr="00F00BFE" w:rsidRDefault="00044DE9">
      <w:pPr>
        <w:rPr>
          <w:b/>
          <w:sz w:val="22"/>
          <w:szCs w:val="22"/>
        </w:rPr>
      </w:pPr>
      <w:r w:rsidRPr="00F00BFE">
        <w:rPr>
          <w:b/>
          <w:sz w:val="22"/>
          <w:szCs w:val="22"/>
        </w:rPr>
        <w:t xml:space="preserve">The </w:t>
      </w:r>
      <w:r w:rsidR="00E26769" w:rsidRPr="00F00BFE">
        <w:rPr>
          <w:b/>
          <w:sz w:val="22"/>
          <w:szCs w:val="22"/>
        </w:rPr>
        <w:t>Problem:</w:t>
      </w:r>
    </w:p>
    <w:p w14:paraId="5B8C8BF6" w14:textId="77777777" w:rsidR="00E26769" w:rsidRPr="00F00BFE" w:rsidRDefault="00E26769">
      <w:pPr>
        <w:rPr>
          <w:sz w:val="22"/>
          <w:szCs w:val="22"/>
        </w:rPr>
      </w:pPr>
    </w:p>
    <w:p w14:paraId="39E23229" w14:textId="0D853E96" w:rsidR="00E26769" w:rsidRPr="00F00BFE" w:rsidRDefault="00E26769" w:rsidP="00E26769">
      <w:pPr>
        <w:rPr>
          <w:sz w:val="22"/>
          <w:szCs w:val="22"/>
        </w:rPr>
      </w:pPr>
      <w:r w:rsidRPr="00F00BFE">
        <w:rPr>
          <w:sz w:val="22"/>
          <w:szCs w:val="22"/>
        </w:rPr>
        <w:t xml:space="preserve">Since the </w:t>
      </w:r>
      <w:r w:rsidR="00E81B0D" w:rsidRPr="00F00BFE">
        <w:rPr>
          <w:sz w:val="22"/>
          <w:szCs w:val="22"/>
        </w:rPr>
        <w:t>Governmental Advisory Committee (</w:t>
      </w:r>
      <w:r w:rsidRPr="00F00BFE">
        <w:rPr>
          <w:sz w:val="22"/>
          <w:szCs w:val="22"/>
        </w:rPr>
        <w:t>GAC</w:t>
      </w:r>
      <w:r w:rsidR="00E81B0D" w:rsidRPr="00F00BFE">
        <w:rPr>
          <w:sz w:val="22"/>
          <w:szCs w:val="22"/>
        </w:rPr>
        <w:t>)</w:t>
      </w:r>
      <w:r w:rsidRPr="00F00BFE">
        <w:rPr>
          <w:sz w:val="22"/>
          <w:szCs w:val="22"/>
        </w:rPr>
        <w:t xml:space="preserve"> advice and </w:t>
      </w:r>
      <w:r w:rsidR="00E81B0D" w:rsidRPr="00F00BFE">
        <w:rPr>
          <w:sz w:val="22"/>
          <w:szCs w:val="22"/>
        </w:rPr>
        <w:t>Generic Names Supporting Organization (</w:t>
      </w:r>
      <w:r w:rsidRPr="00F00BFE">
        <w:rPr>
          <w:sz w:val="22"/>
          <w:szCs w:val="22"/>
        </w:rPr>
        <w:t>GNSO</w:t>
      </w:r>
      <w:r w:rsidR="00E81B0D" w:rsidRPr="00F00BFE">
        <w:rPr>
          <w:sz w:val="22"/>
          <w:szCs w:val="22"/>
        </w:rPr>
        <w:t>)</w:t>
      </w:r>
      <w:r w:rsidRPr="00F00BFE">
        <w:rPr>
          <w:sz w:val="22"/>
          <w:szCs w:val="22"/>
        </w:rPr>
        <w:t xml:space="preserve"> policy recommendations in relation to the above</w:t>
      </w:r>
      <w:r w:rsidR="005D28CD" w:rsidRPr="00F00BFE">
        <w:rPr>
          <w:sz w:val="22"/>
          <w:szCs w:val="22"/>
        </w:rPr>
        <w:t xml:space="preserve"> objective</w:t>
      </w:r>
      <w:r w:rsidRPr="00F00BFE">
        <w:rPr>
          <w:sz w:val="22"/>
          <w:szCs w:val="22"/>
        </w:rPr>
        <w:t xml:space="preserve"> are in conflict, a resolution is now being sought. The main questions concern: </w:t>
      </w:r>
      <w:r w:rsidRPr="00F00BFE">
        <w:rPr>
          <w:sz w:val="22"/>
          <w:szCs w:val="22"/>
        </w:rPr>
        <w:br/>
      </w:r>
    </w:p>
    <w:p w14:paraId="35AB27E9" w14:textId="77777777" w:rsidR="00E26769" w:rsidRPr="00F00BFE" w:rsidRDefault="00E26769" w:rsidP="00E26769">
      <w:pPr>
        <w:ind w:left="720"/>
        <w:rPr>
          <w:sz w:val="22"/>
          <w:szCs w:val="22"/>
        </w:rPr>
      </w:pPr>
      <w:r w:rsidRPr="00F00BFE">
        <w:rPr>
          <w:sz w:val="22"/>
          <w:szCs w:val="22"/>
        </w:rPr>
        <w:t xml:space="preserve">(1) the appropriate form and extent of any protections that are to be conferred; and </w:t>
      </w:r>
    </w:p>
    <w:p w14:paraId="0226E765" w14:textId="77777777" w:rsidR="00E26769" w:rsidRPr="00F00BFE" w:rsidRDefault="00E26769" w:rsidP="00E26769">
      <w:pPr>
        <w:ind w:left="720"/>
        <w:rPr>
          <w:sz w:val="22"/>
          <w:szCs w:val="22"/>
        </w:rPr>
      </w:pPr>
      <w:r w:rsidRPr="00F00BFE">
        <w:rPr>
          <w:sz w:val="22"/>
          <w:szCs w:val="22"/>
        </w:rPr>
        <w:t>(2) how to provide that protection in the context of the applicable legal rights framework as well as ICANN's narrow mission as encapsulated in the ICANN Bylaws. </w:t>
      </w:r>
    </w:p>
    <w:p w14:paraId="2987C7B0" w14:textId="77777777" w:rsidR="00E26769" w:rsidRPr="00F00BFE" w:rsidRDefault="00E26769">
      <w:pPr>
        <w:rPr>
          <w:sz w:val="22"/>
          <w:szCs w:val="22"/>
        </w:rPr>
      </w:pPr>
    </w:p>
    <w:p w14:paraId="5904750B" w14:textId="4BBEC174" w:rsidR="00E26769" w:rsidRPr="00F00BFE" w:rsidRDefault="00E26769">
      <w:pPr>
        <w:rPr>
          <w:sz w:val="22"/>
          <w:szCs w:val="22"/>
        </w:rPr>
      </w:pPr>
      <w:r w:rsidRPr="00F00BFE">
        <w:rPr>
          <w:sz w:val="22"/>
          <w:szCs w:val="22"/>
        </w:rPr>
        <w:t xml:space="preserve">Where practicable, any protection mechanisms to be developed should </w:t>
      </w:r>
      <w:r w:rsidR="005D28CD" w:rsidRPr="00F00BFE">
        <w:rPr>
          <w:sz w:val="22"/>
          <w:szCs w:val="22"/>
        </w:rPr>
        <w:t xml:space="preserve">take advantage of </w:t>
      </w:r>
      <w:r w:rsidRPr="00F00BFE">
        <w:rPr>
          <w:sz w:val="22"/>
          <w:szCs w:val="22"/>
        </w:rPr>
        <w:t>similar mechanisms that have been created for protecting other legal rights.</w:t>
      </w:r>
    </w:p>
    <w:p w14:paraId="1B0B0A21" w14:textId="77777777" w:rsidR="00044DE9" w:rsidRPr="00F00BFE" w:rsidRDefault="00044DE9">
      <w:pPr>
        <w:rPr>
          <w:sz w:val="22"/>
          <w:szCs w:val="22"/>
        </w:rPr>
      </w:pPr>
    </w:p>
    <w:p w14:paraId="11905361" w14:textId="77777777" w:rsidR="00044DE9" w:rsidRPr="00F00BFE" w:rsidRDefault="00044DE9">
      <w:pPr>
        <w:rPr>
          <w:b/>
          <w:sz w:val="22"/>
          <w:szCs w:val="22"/>
        </w:rPr>
      </w:pPr>
      <w:r w:rsidRPr="00F00BFE">
        <w:rPr>
          <w:b/>
          <w:sz w:val="22"/>
          <w:szCs w:val="22"/>
        </w:rPr>
        <w:t>Proposed Method:</w:t>
      </w:r>
    </w:p>
    <w:p w14:paraId="68DB7D56" w14:textId="77777777" w:rsidR="00044DE9" w:rsidRPr="00F00BFE" w:rsidRDefault="00044DE9">
      <w:pPr>
        <w:rPr>
          <w:sz w:val="22"/>
          <w:szCs w:val="22"/>
        </w:rPr>
      </w:pPr>
    </w:p>
    <w:p w14:paraId="476448EC" w14:textId="40F866EA" w:rsidR="00044DE9" w:rsidRPr="00F00BFE" w:rsidRDefault="00044DE9">
      <w:pPr>
        <w:rPr>
          <w:sz w:val="22"/>
          <w:szCs w:val="22"/>
        </w:rPr>
      </w:pPr>
      <w:r w:rsidRPr="00F00BFE">
        <w:rPr>
          <w:sz w:val="22"/>
          <w:szCs w:val="22"/>
        </w:rPr>
        <w:t xml:space="preserve">The GAC and the GNSO are being requested to engage in a dialogue based on this Problem Statement and agreed Briefing Materials, </w:t>
      </w:r>
      <w:r w:rsidR="005D28CD" w:rsidRPr="00F00BFE">
        <w:rPr>
          <w:sz w:val="22"/>
          <w:szCs w:val="22"/>
        </w:rPr>
        <w:t xml:space="preserve">assisted by a </w:t>
      </w:r>
      <w:r w:rsidRPr="00F00BFE">
        <w:rPr>
          <w:sz w:val="22"/>
          <w:szCs w:val="22"/>
        </w:rPr>
        <w:t>facilitator.</w:t>
      </w:r>
    </w:p>
    <w:p w14:paraId="6D4E6929" w14:textId="77777777" w:rsidR="00E955CB" w:rsidRPr="00F00BFE" w:rsidRDefault="00E955CB">
      <w:pPr>
        <w:rPr>
          <w:sz w:val="22"/>
          <w:szCs w:val="22"/>
        </w:rPr>
      </w:pPr>
    </w:p>
    <w:p w14:paraId="74254B85" w14:textId="77777777" w:rsidR="00E955CB" w:rsidRPr="00F00BFE" w:rsidRDefault="00044DE9">
      <w:pPr>
        <w:rPr>
          <w:b/>
          <w:sz w:val="22"/>
          <w:szCs w:val="22"/>
        </w:rPr>
      </w:pPr>
      <w:r w:rsidRPr="00F00BFE">
        <w:rPr>
          <w:b/>
          <w:sz w:val="22"/>
          <w:szCs w:val="22"/>
        </w:rPr>
        <w:t xml:space="preserve">The </w:t>
      </w:r>
      <w:r w:rsidR="00E955CB" w:rsidRPr="00F00BFE">
        <w:rPr>
          <w:b/>
          <w:sz w:val="22"/>
          <w:szCs w:val="22"/>
        </w:rPr>
        <w:t>Issue</w:t>
      </w:r>
      <w:r w:rsidR="00E26769" w:rsidRPr="00F00BFE">
        <w:rPr>
          <w:b/>
          <w:sz w:val="22"/>
          <w:szCs w:val="22"/>
        </w:rPr>
        <w:t xml:space="preserve"> in Context</w:t>
      </w:r>
      <w:r w:rsidR="00E955CB" w:rsidRPr="00F00BFE">
        <w:rPr>
          <w:b/>
          <w:sz w:val="22"/>
          <w:szCs w:val="22"/>
        </w:rPr>
        <w:t>:</w:t>
      </w:r>
    </w:p>
    <w:p w14:paraId="55CF1072" w14:textId="77777777" w:rsidR="00B473C9" w:rsidRPr="00F00BFE" w:rsidRDefault="00B473C9">
      <w:pPr>
        <w:rPr>
          <w:sz w:val="22"/>
          <w:szCs w:val="22"/>
        </w:rPr>
      </w:pPr>
    </w:p>
    <w:p w14:paraId="03B6CB3F" w14:textId="6BC6971A" w:rsidR="00AD69A3" w:rsidRPr="00F00BFE" w:rsidRDefault="00AD69A3">
      <w:pPr>
        <w:rPr>
          <w:sz w:val="22"/>
          <w:szCs w:val="22"/>
        </w:rPr>
      </w:pPr>
      <w:r w:rsidRPr="00F00BFE">
        <w:rPr>
          <w:sz w:val="22"/>
          <w:szCs w:val="22"/>
        </w:rPr>
        <w:t>A</w:t>
      </w:r>
      <w:r w:rsidR="005D4ACC" w:rsidRPr="00F00BFE">
        <w:rPr>
          <w:sz w:val="22"/>
          <w:szCs w:val="22"/>
        </w:rPr>
        <w:t xml:space="preserve"> few specific terms associated with the Red Cross movement</w:t>
      </w:r>
      <w:r w:rsidRPr="00F00BFE">
        <w:rPr>
          <w:sz w:val="22"/>
          <w:szCs w:val="22"/>
        </w:rPr>
        <w:t xml:space="preserve"> – namely, Red Cross, Red Crescent, Red Crystal, and Red Lion and Sun – are </w:t>
      </w:r>
      <w:r w:rsidR="00B473C9" w:rsidRPr="00F00BFE">
        <w:rPr>
          <w:sz w:val="22"/>
          <w:szCs w:val="22"/>
        </w:rPr>
        <w:t xml:space="preserve">already </w:t>
      </w:r>
      <w:r w:rsidRPr="00F00BFE">
        <w:rPr>
          <w:sz w:val="22"/>
          <w:szCs w:val="22"/>
        </w:rPr>
        <w:t xml:space="preserve">on the Reserved Names List at the top level of the 2012 New gTLD Program. </w:t>
      </w:r>
      <w:r w:rsidR="005D28CD" w:rsidRPr="00F00BFE">
        <w:rPr>
          <w:sz w:val="22"/>
          <w:szCs w:val="22"/>
        </w:rPr>
        <w:t xml:space="preserve">   </w:t>
      </w:r>
      <w:r w:rsidR="00B473C9" w:rsidRPr="00F00BFE">
        <w:rPr>
          <w:sz w:val="22"/>
          <w:szCs w:val="22"/>
        </w:rPr>
        <w:t>In addition, t</w:t>
      </w:r>
      <w:r w:rsidRPr="00F00BFE">
        <w:rPr>
          <w:sz w:val="22"/>
          <w:szCs w:val="22"/>
        </w:rPr>
        <w:t xml:space="preserve">hese </w:t>
      </w:r>
      <w:r w:rsidR="00B473C9" w:rsidRPr="00F00BFE">
        <w:rPr>
          <w:sz w:val="22"/>
          <w:szCs w:val="22"/>
        </w:rPr>
        <w:t xml:space="preserve">specific </w:t>
      </w:r>
      <w:r w:rsidRPr="00F00BFE">
        <w:rPr>
          <w:sz w:val="22"/>
          <w:szCs w:val="22"/>
        </w:rPr>
        <w:t>terms have been approved by the ICANN Board to be permanently withheld from registration at the second level in all new gTLDs delegated under the 2012 New gTLD Program, following the completion of a GNSO Policy Development Process (PDP) in 2013. However, the q</w:t>
      </w:r>
      <w:r w:rsidR="00B473C9" w:rsidRPr="00F00BFE">
        <w:rPr>
          <w:sz w:val="22"/>
          <w:szCs w:val="22"/>
        </w:rPr>
        <w:t>uestion of permanent protections</w:t>
      </w:r>
      <w:r w:rsidRPr="00F00BFE">
        <w:rPr>
          <w:sz w:val="22"/>
          <w:szCs w:val="22"/>
        </w:rPr>
        <w:t xml:space="preserve"> </w:t>
      </w:r>
      <w:r w:rsidR="00B473C9" w:rsidRPr="00F00BFE">
        <w:rPr>
          <w:sz w:val="22"/>
          <w:szCs w:val="22"/>
        </w:rPr>
        <w:t>at the second level</w:t>
      </w:r>
      <w:r w:rsidRPr="00F00BFE">
        <w:rPr>
          <w:sz w:val="22"/>
          <w:szCs w:val="22"/>
        </w:rPr>
        <w:t xml:space="preserve"> for certain other terms associated with the Red Cross movement remains unresolved.</w:t>
      </w:r>
      <w:r w:rsidR="006C631A" w:rsidRPr="00F00BFE">
        <w:rPr>
          <w:sz w:val="22"/>
          <w:szCs w:val="22"/>
        </w:rPr>
        <w:t xml:space="preserve">  </w:t>
      </w:r>
      <w:r w:rsidRPr="00F00BFE">
        <w:rPr>
          <w:sz w:val="22"/>
          <w:szCs w:val="22"/>
        </w:rPr>
        <w:t xml:space="preserve"> </w:t>
      </w:r>
      <w:r w:rsidR="002B7576" w:rsidRPr="00F00BFE">
        <w:rPr>
          <w:sz w:val="22"/>
          <w:szCs w:val="22"/>
        </w:rPr>
        <w:t>In relation to these other terms, t</w:t>
      </w:r>
      <w:r w:rsidRPr="00F00BFE">
        <w:rPr>
          <w:sz w:val="22"/>
          <w:szCs w:val="22"/>
        </w:rPr>
        <w:t>he advice that has been provided by the GAC to the ICANN Board between 201</w:t>
      </w:r>
      <w:r w:rsidR="00F00C73" w:rsidRPr="00F00BFE">
        <w:rPr>
          <w:sz w:val="22"/>
          <w:szCs w:val="22"/>
        </w:rPr>
        <w:t>3</w:t>
      </w:r>
      <w:r w:rsidRPr="00F00BFE">
        <w:rPr>
          <w:sz w:val="22"/>
          <w:szCs w:val="22"/>
        </w:rPr>
        <w:t xml:space="preserve">-2015 is not consistent with the </w:t>
      </w:r>
      <w:r w:rsidR="002B7576" w:rsidRPr="00F00BFE">
        <w:rPr>
          <w:sz w:val="22"/>
          <w:szCs w:val="22"/>
        </w:rPr>
        <w:t xml:space="preserve">policy </w:t>
      </w:r>
      <w:r w:rsidR="006C631A" w:rsidRPr="00F00BFE">
        <w:rPr>
          <w:sz w:val="22"/>
          <w:szCs w:val="22"/>
        </w:rPr>
        <w:t xml:space="preserve">recommendations </w:t>
      </w:r>
      <w:r w:rsidRPr="00F00BFE">
        <w:rPr>
          <w:sz w:val="22"/>
          <w:szCs w:val="22"/>
        </w:rPr>
        <w:t xml:space="preserve">of the 2013 GNSO PDP. </w:t>
      </w:r>
    </w:p>
    <w:p w14:paraId="169FDD99" w14:textId="77777777" w:rsidR="00AD69A3" w:rsidRPr="00F00BFE" w:rsidRDefault="00AD69A3">
      <w:pPr>
        <w:rPr>
          <w:sz w:val="22"/>
          <w:szCs w:val="22"/>
        </w:rPr>
      </w:pPr>
    </w:p>
    <w:p w14:paraId="1690D4D5" w14:textId="77777777" w:rsidR="00F00BFE" w:rsidRDefault="00F00BFE">
      <w:pPr>
        <w:rPr>
          <w:sz w:val="22"/>
          <w:szCs w:val="22"/>
        </w:rPr>
        <w:sectPr w:rsidR="00F00BFE" w:rsidSect="00326516">
          <w:footerReference w:type="even" r:id="rId7"/>
          <w:footerReference w:type="default" r:id="rId8"/>
          <w:pgSz w:w="12240" w:h="15840"/>
          <w:pgMar w:top="1440" w:right="1440" w:bottom="1440" w:left="1440" w:header="720" w:footer="720" w:gutter="0"/>
          <w:cols w:space="720"/>
          <w:docGrid w:linePitch="360"/>
        </w:sectPr>
      </w:pPr>
    </w:p>
    <w:p w14:paraId="4D41AFD1" w14:textId="6C02D25B" w:rsidR="00F00BFE" w:rsidRPr="00F00BFE" w:rsidRDefault="00AD69A3">
      <w:pPr>
        <w:rPr>
          <w:sz w:val="22"/>
          <w:szCs w:val="22"/>
        </w:rPr>
      </w:pPr>
      <w:r w:rsidRPr="00F00BFE">
        <w:rPr>
          <w:sz w:val="22"/>
          <w:szCs w:val="22"/>
        </w:rPr>
        <w:lastRenderedPageBreak/>
        <w:t xml:space="preserve">The </w:t>
      </w:r>
      <w:r w:rsidR="00B473C9" w:rsidRPr="00F00BFE">
        <w:rPr>
          <w:sz w:val="22"/>
          <w:szCs w:val="22"/>
        </w:rPr>
        <w:t xml:space="preserve">Red Cross </w:t>
      </w:r>
      <w:r w:rsidRPr="00F00BFE">
        <w:rPr>
          <w:sz w:val="22"/>
          <w:szCs w:val="22"/>
        </w:rPr>
        <w:t xml:space="preserve">terms </w:t>
      </w:r>
      <w:r w:rsidR="00B473C9" w:rsidRPr="00F00BFE">
        <w:rPr>
          <w:sz w:val="22"/>
          <w:szCs w:val="22"/>
        </w:rPr>
        <w:t xml:space="preserve">for which protection remains </w:t>
      </w:r>
      <w:r w:rsidRPr="00F00BFE">
        <w:rPr>
          <w:sz w:val="22"/>
          <w:szCs w:val="22"/>
        </w:rPr>
        <w:t xml:space="preserve">in question are: </w:t>
      </w:r>
      <w:bookmarkStart w:id="0" w:name="_GoBack"/>
      <w:bookmarkEnd w:id="0"/>
    </w:p>
    <w:p w14:paraId="6C6EE04F" w14:textId="77777777" w:rsidR="00AD69A3" w:rsidRPr="00F00BFE" w:rsidRDefault="00AD69A3" w:rsidP="00AD69A3">
      <w:pPr>
        <w:pStyle w:val="ListParagraph"/>
        <w:numPr>
          <w:ilvl w:val="0"/>
          <w:numId w:val="1"/>
        </w:numPr>
        <w:rPr>
          <w:sz w:val="22"/>
          <w:szCs w:val="22"/>
        </w:rPr>
      </w:pPr>
      <w:r w:rsidRPr="00F00BFE">
        <w:rPr>
          <w:sz w:val="22"/>
          <w:szCs w:val="22"/>
        </w:rPr>
        <w:t xml:space="preserve">the names of </w:t>
      </w:r>
      <w:r w:rsidR="002B7576" w:rsidRPr="00F00BFE">
        <w:rPr>
          <w:sz w:val="22"/>
          <w:szCs w:val="22"/>
        </w:rPr>
        <w:t>189</w:t>
      </w:r>
      <w:r w:rsidRPr="00F00BFE">
        <w:rPr>
          <w:sz w:val="22"/>
          <w:szCs w:val="22"/>
        </w:rPr>
        <w:t xml:space="preserve"> National Societies of the Red Cross movement;</w:t>
      </w:r>
    </w:p>
    <w:p w14:paraId="74A034CD" w14:textId="77777777" w:rsidR="00AD69A3" w:rsidRPr="00F00BFE" w:rsidRDefault="00AD69A3" w:rsidP="00AD69A3">
      <w:pPr>
        <w:pStyle w:val="ListParagraph"/>
        <w:numPr>
          <w:ilvl w:val="0"/>
          <w:numId w:val="1"/>
        </w:numPr>
        <w:rPr>
          <w:sz w:val="22"/>
          <w:szCs w:val="22"/>
        </w:rPr>
      </w:pPr>
      <w:r w:rsidRPr="00F00BFE">
        <w:rPr>
          <w:sz w:val="22"/>
          <w:szCs w:val="22"/>
        </w:rPr>
        <w:t xml:space="preserve">the name </w:t>
      </w:r>
      <w:r w:rsidRPr="00F00BFE">
        <w:rPr>
          <w:i/>
          <w:sz w:val="22"/>
          <w:szCs w:val="22"/>
        </w:rPr>
        <w:t>International Federation of Red Cross</w:t>
      </w:r>
      <w:r w:rsidRPr="00F00BFE">
        <w:rPr>
          <w:sz w:val="22"/>
          <w:szCs w:val="22"/>
        </w:rPr>
        <w:t xml:space="preserve"> and </w:t>
      </w:r>
      <w:r w:rsidRPr="00F00BFE">
        <w:rPr>
          <w:i/>
          <w:sz w:val="22"/>
          <w:szCs w:val="22"/>
        </w:rPr>
        <w:t>Red Crescent Societies</w:t>
      </w:r>
      <w:r w:rsidRPr="00F00BFE">
        <w:rPr>
          <w:sz w:val="22"/>
          <w:szCs w:val="22"/>
        </w:rPr>
        <w:t xml:space="preserve"> and its acronym</w:t>
      </w:r>
      <w:r w:rsidR="00F00C73" w:rsidRPr="00F00BFE">
        <w:rPr>
          <w:sz w:val="22"/>
          <w:szCs w:val="22"/>
        </w:rPr>
        <w:t>s</w:t>
      </w:r>
      <w:r w:rsidRPr="00F00BFE">
        <w:rPr>
          <w:sz w:val="22"/>
          <w:szCs w:val="22"/>
        </w:rPr>
        <w:t xml:space="preserve"> (</w:t>
      </w:r>
      <w:r w:rsidRPr="00F00BFE">
        <w:rPr>
          <w:i/>
          <w:sz w:val="22"/>
          <w:szCs w:val="22"/>
        </w:rPr>
        <w:t>IFRC</w:t>
      </w:r>
      <w:r w:rsidR="00F00C73" w:rsidRPr="00F00BFE">
        <w:rPr>
          <w:sz w:val="22"/>
          <w:szCs w:val="22"/>
        </w:rPr>
        <w:t xml:space="preserve"> and </w:t>
      </w:r>
      <w:r w:rsidR="00F00C73" w:rsidRPr="00F00BFE">
        <w:rPr>
          <w:i/>
          <w:sz w:val="22"/>
          <w:szCs w:val="22"/>
        </w:rPr>
        <w:t>CFRC</w:t>
      </w:r>
      <w:r w:rsidRPr="00F00BFE">
        <w:rPr>
          <w:sz w:val="22"/>
          <w:szCs w:val="22"/>
        </w:rPr>
        <w:t xml:space="preserve">); and </w:t>
      </w:r>
    </w:p>
    <w:p w14:paraId="41169149" w14:textId="77777777" w:rsidR="005D4ACC" w:rsidRPr="00F00BFE" w:rsidRDefault="00AD69A3" w:rsidP="00AD69A3">
      <w:pPr>
        <w:pStyle w:val="ListParagraph"/>
        <w:numPr>
          <w:ilvl w:val="0"/>
          <w:numId w:val="1"/>
        </w:numPr>
        <w:rPr>
          <w:sz w:val="22"/>
          <w:szCs w:val="22"/>
        </w:rPr>
      </w:pPr>
      <w:r w:rsidRPr="00F00BFE">
        <w:rPr>
          <w:sz w:val="22"/>
          <w:szCs w:val="22"/>
        </w:rPr>
        <w:t xml:space="preserve">the name </w:t>
      </w:r>
      <w:r w:rsidRPr="00F00BFE">
        <w:rPr>
          <w:i/>
          <w:sz w:val="22"/>
          <w:szCs w:val="22"/>
        </w:rPr>
        <w:t>International Committee of the Red Cross</w:t>
      </w:r>
      <w:r w:rsidRPr="00F00BFE">
        <w:rPr>
          <w:sz w:val="22"/>
          <w:szCs w:val="22"/>
        </w:rPr>
        <w:t xml:space="preserve"> and its acronym</w:t>
      </w:r>
      <w:r w:rsidR="00F00C73" w:rsidRPr="00F00BFE">
        <w:rPr>
          <w:sz w:val="22"/>
          <w:szCs w:val="22"/>
        </w:rPr>
        <w:t>s</w:t>
      </w:r>
      <w:r w:rsidRPr="00F00BFE">
        <w:rPr>
          <w:sz w:val="22"/>
          <w:szCs w:val="22"/>
        </w:rPr>
        <w:t xml:space="preserve"> (</w:t>
      </w:r>
      <w:r w:rsidRPr="00F00BFE">
        <w:rPr>
          <w:i/>
          <w:sz w:val="22"/>
          <w:szCs w:val="22"/>
        </w:rPr>
        <w:t>ICRC</w:t>
      </w:r>
      <w:r w:rsidR="00F00C73" w:rsidRPr="00F00BFE">
        <w:rPr>
          <w:sz w:val="22"/>
          <w:szCs w:val="22"/>
        </w:rPr>
        <w:t xml:space="preserve"> and </w:t>
      </w:r>
      <w:r w:rsidR="00F00C73" w:rsidRPr="00F00BFE">
        <w:rPr>
          <w:i/>
          <w:sz w:val="22"/>
          <w:szCs w:val="22"/>
        </w:rPr>
        <w:t>CICR</w:t>
      </w:r>
      <w:r w:rsidRPr="00F00BFE">
        <w:rPr>
          <w:sz w:val="22"/>
          <w:szCs w:val="22"/>
        </w:rPr>
        <w:t>).</w:t>
      </w:r>
    </w:p>
    <w:p w14:paraId="19D07E41" w14:textId="77777777" w:rsidR="00E955CB" w:rsidRPr="00F00BFE" w:rsidRDefault="00E955CB">
      <w:pPr>
        <w:rPr>
          <w:sz w:val="22"/>
          <w:szCs w:val="22"/>
        </w:rPr>
      </w:pPr>
    </w:p>
    <w:p w14:paraId="6E884A31" w14:textId="3C9FB8EE" w:rsidR="00E955CB" w:rsidRPr="00F00BFE" w:rsidRDefault="0016232D">
      <w:pPr>
        <w:rPr>
          <w:sz w:val="22"/>
          <w:szCs w:val="22"/>
        </w:rPr>
      </w:pPr>
      <w:r w:rsidRPr="00F00BFE">
        <w:rPr>
          <w:sz w:val="22"/>
          <w:szCs w:val="22"/>
        </w:rPr>
        <w:t xml:space="preserve">The GAC’s </w:t>
      </w:r>
      <w:r w:rsidR="002B7576" w:rsidRPr="00F00BFE">
        <w:rPr>
          <w:sz w:val="22"/>
          <w:szCs w:val="22"/>
        </w:rPr>
        <w:t xml:space="preserve">rationale for </w:t>
      </w:r>
      <w:r w:rsidR="00B473C9" w:rsidRPr="00F00BFE">
        <w:rPr>
          <w:sz w:val="22"/>
          <w:szCs w:val="22"/>
        </w:rPr>
        <w:t>seeking permanent protection for</w:t>
      </w:r>
      <w:r w:rsidR="002B7576" w:rsidRPr="00F00BFE">
        <w:rPr>
          <w:sz w:val="22"/>
          <w:szCs w:val="22"/>
        </w:rPr>
        <w:t xml:space="preserve"> </w:t>
      </w:r>
      <w:r w:rsidRPr="00F00BFE">
        <w:rPr>
          <w:sz w:val="22"/>
          <w:szCs w:val="22"/>
        </w:rPr>
        <w:t xml:space="preserve">terms most closely associated with the Red Cross movement </w:t>
      </w:r>
      <w:r w:rsidR="002B7576" w:rsidRPr="00F00BFE">
        <w:rPr>
          <w:sz w:val="22"/>
          <w:szCs w:val="22"/>
        </w:rPr>
        <w:t xml:space="preserve">is that these terms </w:t>
      </w:r>
      <w:r w:rsidRPr="00F00BFE">
        <w:rPr>
          <w:sz w:val="22"/>
          <w:szCs w:val="22"/>
        </w:rPr>
        <w:t xml:space="preserve">are protected by international treaty and under multiple national laws. In March 2014, the GAC clarified expressly that such protection should also apply to 189 National Society names (in English and the respective official language), and the </w:t>
      </w:r>
      <w:r w:rsidR="00930A72" w:rsidRPr="00F00BFE">
        <w:rPr>
          <w:sz w:val="22"/>
          <w:szCs w:val="22"/>
        </w:rPr>
        <w:t>2</w:t>
      </w:r>
      <w:r w:rsidR="00930A72" w:rsidRPr="00F00BFE">
        <w:rPr>
          <w:sz w:val="22"/>
          <w:szCs w:val="22"/>
        </w:rPr>
        <w:t xml:space="preserve"> </w:t>
      </w:r>
      <w:r w:rsidRPr="00F00BFE">
        <w:rPr>
          <w:sz w:val="22"/>
          <w:szCs w:val="22"/>
        </w:rPr>
        <w:t xml:space="preserve">international movement names (in the 6 official United Nations </w:t>
      </w:r>
      <w:r w:rsidR="002B7576" w:rsidRPr="00F00BFE">
        <w:rPr>
          <w:sz w:val="22"/>
          <w:szCs w:val="22"/>
        </w:rPr>
        <w:t xml:space="preserve">(UN) </w:t>
      </w:r>
      <w:r w:rsidRPr="00F00BFE">
        <w:rPr>
          <w:sz w:val="22"/>
          <w:szCs w:val="22"/>
        </w:rPr>
        <w:t>languages).</w:t>
      </w:r>
      <w:r w:rsidR="002B7576" w:rsidRPr="00F00BFE">
        <w:rPr>
          <w:sz w:val="22"/>
          <w:szCs w:val="22"/>
        </w:rPr>
        <w:t xml:space="preserve"> In relation to the </w:t>
      </w:r>
      <w:r w:rsidR="00B473C9" w:rsidRPr="00F00BFE">
        <w:rPr>
          <w:sz w:val="22"/>
          <w:szCs w:val="22"/>
        </w:rPr>
        <w:t>acronyms of the international movement</w:t>
      </w:r>
      <w:r w:rsidR="002B7576" w:rsidRPr="00F00BFE">
        <w:rPr>
          <w:sz w:val="22"/>
          <w:szCs w:val="22"/>
        </w:rPr>
        <w:t xml:space="preserve"> (ICRC, CICR, IFRC and FICR), the GAC’s advice was for protection similar to the proposed cost-neutral mechanisms </w:t>
      </w:r>
      <w:r w:rsidR="00B473C9" w:rsidRPr="00F00BFE">
        <w:rPr>
          <w:sz w:val="22"/>
          <w:szCs w:val="22"/>
        </w:rPr>
        <w:t>it recommended</w:t>
      </w:r>
      <w:r w:rsidR="002B7576" w:rsidRPr="00F00BFE">
        <w:rPr>
          <w:sz w:val="22"/>
          <w:szCs w:val="22"/>
        </w:rPr>
        <w:t xml:space="preserve"> be developed for International Governmental Organization acronyms.</w:t>
      </w:r>
    </w:p>
    <w:p w14:paraId="7D933E0C" w14:textId="77777777" w:rsidR="002B7576" w:rsidRPr="00F00BFE" w:rsidRDefault="002B7576">
      <w:pPr>
        <w:rPr>
          <w:sz w:val="22"/>
          <w:szCs w:val="22"/>
        </w:rPr>
      </w:pPr>
    </w:p>
    <w:p w14:paraId="14C04321" w14:textId="7C02C278" w:rsidR="002B7576" w:rsidRPr="00F00BFE" w:rsidRDefault="002B7576">
      <w:pPr>
        <w:rPr>
          <w:sz w:val="22"/>
          <w:szCs w:val="22"/>
        </w:rPr>
      </w:pPr>
      <w:r w:rsidRPr="00F00BFE">
        <w:rPr>
          <w:sz w:val="22"/>
          <w:szCs w:val="22"/>
        </w:rPr>
        <w:t xml:space="preserve">Under its PDP conducted between October </w:t>
      </w:r>
      <w:r w:rsidR="00AA74A5" w:rsidRPr="00F00BFE">
        <w:rPr>
          <w:sz w:val="22"/>
          <w:szCs w:val="22"/>
        </w:rPr>
        <w:t>201</w:t>
      </w:r>
      <w:r w:rsidR="00AA74A5" w:rsidRPr="00F00BFE">
        <w:rPr>
          <w:sz w:val="22"/>
          <w:szCs w:val="22"/>
        </w:rPr>
        <w:t>2</w:t>
      </w:r>
      <w:r w:rsidR="00AA74A5" w:rsidRPr="00F00BFE">
        <w:rPr>
          <w:sz w:val="22"/>
          <w:szCs w:val="22"/>
        </w:rPr>
        <w:t xml:space="preserve"> </w:t>
      </w:r>
      <w:r w:rsidRPr="00F00BFE">
        <w:rPr>
          <w:sz w:val="22"/>
          <w:szCs w:val="22"/>
        </w:rPr>
        <w:t xml:space="preserve">and November </w:t>
      </w:r>
      <w:r w:rsidR="00AA74A5" w:rsidRPr="00F00BFE">
        <w:rPr>
          <w:sz w:val="22"/>
          <w:szCs w:val="22"/>
        </w:rPr>
        <w:t>201</w:t>
      </w:r>
      <w:r w:rsidR="00AA74A5" w:rsidRPr="00F00BFE">
        <w:rPr>
          <w:sz w:val="22"/>
          <w:szCs w:val="22"/>
        </w:rPr>
        <w:t>3</w:t>
      </w:r>
      <w:r w:rsidRPr="00F00BFE">
        <w:rPr>
          <w:sz w:val="22"/>
          <w:szCs w:val="22"/>
        </w:rPr>
        <w:t xml:space="preserve">, the GNSO’s final policy recommendations for </w:t>
      </w:r>
      <w:r w:rsidR="00B473C9" w:rsidRPr="00F00BFE">
        <w:rPr>
          <w:sz w:val="22"/>
          <w:szCs w:val="22"/>
        </w:rPr>
        <w:t xml:space="preserve">protection of </w:t>
      </w:r>
      <w:r w:rsidRPr="00F00BFE">
        <w:rPr>
          <w:sz w:val="22"/>
          <w:szCs w:val="22"/>
        </w:rPr>
        <w:t xml:space="preserve">the 189 National Society names and each of their acronyms (in English and the respective official language), as well as the 2 international movement names and each of their acronyms (in the 6 official UN languages), were that they be </w:t>
      </w:r>
      <w:r w:rsidR="00B473C9" w:rsidRPr="00F00BFE">
        <w:rPr>
          <w:sz w:val="22"/>
          <w:szCs w:val="22"/>
        </w:rPr>
        <w:t>placed</w:t>
      </w:r>
      <w:r w:rsidRPr="00F00BFE">
        <w:rPr>
          <w:sz w:val="22"/>
          <w:szCs w:val="22"/>
        </w:rPr>
        <w:t xml:space="preserve"> into the Trademark Clearinghouse mechanism such that: (1) a potential registrant of a second level domain matching one of these names or acronyms would receive a Claims Notice informing them of the fact; and (2) the affected organization would receive a Notice of Registered Name if the registrant nevertheless proceeds with the attempted registration.</w:t>
      </w:r>
    </w:p>
    <w:p w14:paraId="2EDC0AB4" w14:textId="77777777" w:rsidR="002B7576" w:rsidRPr="00F00BFE" w:rsidRDefault="002B7576">
      <w:pPr>
        <w:rPr>
          <w:sz w:val="22"/>
          <w:szCs w:val="22"/>
        </w:rPr>
      </w:pPr>
    </w:p>
    <w:p w14:paraId="4A935A54" w14:textId="0E185F9E" w:rsidR="002B7576" w:rsidRPr="00F00BFE" w:rsidRDefault="000C55FA">
      <w:pPr>
        <w:rPr>
          <w:b/>
          <w:sz w:val="22"/>
          <w:szCs w:val="22"/>
        </w:rPr>
      </w:pPr>
      <w:r w:rsidRPr="00F00BFE">
        <w:rPr>
          <w:b/>
          <w:sz w:val="22"/>
          <w:szCs w:val="22"/>
        </w:rPr>
        <w:t xml:space="preserve">Current ICANN </w:t>
      </w:r>
      <w:r w:rsidR="002B7576" w:rsidRPr="00F00BFE">
        <w:rPr>
          <w:b/>
          <w:sz w:val="22"/>
          <w:szCs w:val="22"/>
        </w:rPr>
        <w:t>Mechanisms</w:t>
      </w:r>
      <w:r w:rsidRPr="00F00BFE">
        <w:rPr>
          <w:b/>
          <w:sz w:val="22"/>
          <w:szCs w:val="22"/>
        </w:rPr>
        <w:t xml:space="preserve"> Developed </w:t>
      </w:r>
      <w:r w:rsidR="00C82D45" w:rsidRPr="00F00BFE">
        <w:rPr>
          <w:b/>
          <w:sz w:val="22"/>
          <w:szCs w:val="22"/>
        </w:rPr>
        <w:t>to Reflect</w:t>
      </w:r>
      <w:r w:rsidRPr="00F00BFE">
        <w:rPr>
          <w:b/>
          <w:sz w:val="22"/>
          <w:szCs w:val="22"/>
        </w:rPr>
        <w:t xml:space="preserve"> Existing Legal Protections</w:t>
      </w:r>
      <w:r w:rsidR="002B7576" w:rsidRPr="00F00BFE">
        <w:rPr>
          <w:b/>
          <w:sz w:val="22"/>
          <w:szCs w:val="22"/>
        </w:rPr>
        <w:t>:</w:t>
      </w:r>
    </w:p>
    <w:p w14:paraId="11FD3889" w14:textId="77777777" w:rsidR="002B7576" w:rsidRPr="00F00BFE" w:rsidRDefault="002B7576">
      <w:pPr>
        <w:rPr>
          <w:sz w:val="22"/>
          <w:szCs w:val="22"/>
        </w:rPr>
      </w:pPr>
    </w:p>
    <w:p w14:paraId="3A6EA873" w14:textId="77777777" w:rsidR="00EA0369" w:rsidRPr="00F00BFE" w:rsidRDefault="00EA0369" w:rsidP="00EA0369">
      <w:pPr>
        <w:rPr>
          <w:sz w:val="22"/>
          <w:szCs w:val="22"/>
        </w:rPr>
      </w:pPr>
      <w:r w:rsidRPr="00F00BFE">
        <w:rPr>
          <w:sz w:val="22"/>
          <w:szCs w:val="22"/>
        </w:rPr>
        <w:t xml:space="preserve">When registering a gTLD domain, a Registered Name Holder represents that, to the best of the Registered Name Holder's knowledge and belief, neither the registration of the Registered Name nor the manner in which it is </w:t>
      </w:r>
      <w:r w:rsidR="00B473C9" w:rsidRPr="00F00BFE">
        <w:rPr>
          <w:sz w:val="22"/>
          <w:szCs w:val="22"/>
        </w:rPr>
        <w:t xml:space="preserve">to be </w:t>
      </w:r>
      <w:r w:rsidRPr="00F00BFE">
        <w:rPr>
          <w:sz w:val="22"/>
          <w:szCs w:val="22"/>
        </w:rPr>
        <w:t>directly or indirectly used infringes the legal rights of any third party.</w:t>
      </w:r>
    </w:p>
    <w:p w14:paraId="424124F6" w14:textId="77777777" w:rsidR="00EA0369" w:rsidRPr="00F00BFE" w:rsidRDefault="00EA0369" w:rsidP="00EA0369">
      <w:pPr>
        <w:rPr>
          <w:sz w:val="22"/>
          <w:szCs w:val="22"/>
        </w:rPr>
      </w:pPr>
    </w:p>
    <w:p w14:paraId="5833BB65" w14:textId="77777777" w:rsidR="00EA0369" w:rsidRPr="00F00BFE" w:rsidRDefault="00EA0369" w:rsidP="00EA0369">
      <w:pPr>
        <w:rPr>
          <w:sz w:val="22"/>
          <w:szCs w:val="22"/>
        </w:rPr>
      </w:pPr>
      <w:r w:rsidRPr="00F00BFE">
        <w:rPr>
          <w:sz w:val="22"/>
          <w:szCs w:val="22"/>
        </w:rPr>
        <w:t>Where the allegation concerns infringement of trademark rights, ICANN has an existing consensus policy (the Uniform Domain Name Dispute Resolution Policy (UDRP)) that allows trademark holders to initiate a dispute resolution process where:</w:t>
      </w:r>
    </w:p>
    <w:p w14:paraId="53A8FD36" w14:textId="77777777" w:rsidR="00EA0369" w:rsidRPr="00F00BFE" w:rsidRDefault="00EA0369" w:rsidP="00B473C9">
      <w:pPr>
        <w:ind w:left="720" w:hanging="720"/>
        <w:rPr>
          <w:sz w:val="22"/>
          <w:szCs w:val="22"/>
        </w:rPr>
      </w:pPr>
      <w:r w:rsidRPr="00F00BFE">
        <w:rPr>
          <w:sz w:val="22"/>
          <w:szCs w:val="22"/>
        </w:rPr>
        <w:tab/>
        <w:t>(i) the registered domain name is identical or confusingly similar to a trademark or service mark in which the complainant has rights; AND</w:t>
      </w:r>
    </w:p>
    <w:p w14:paraId="1506F38F" w14:textId="77777777" w:rsidR="00EA0369" w:rsidRPr="00F00BFE" w:rsidRDefault="00EA0369" w:rsidP="00B473C9">
      <w:pPr>
        <w:ind w:left="720" w:hanging="720"/>
        <w:rPr>
          <w:sz w:val="22"/>
          <w:szCs w:val="22"/>
        </w:rPr>
      </w:pPr>
      <w:r w:rsidRPr="00F00BFE">
        <w:rPr>
          <w:sz w:val="22"/>
          <w:szCs w:val="22"/>
        </w:rPr>
        <w:tab/>
        <w:t>(ii) the registrant has no rights or legitimate interests in respect of the domain name; AND</w:t>
      </w:r>
    </w:p>
    <w:p w14:paraId="46BA80DA" w14:textId="77777777" w:rsidR="00EA0369" w:rsidRPr="00F00BFE" w:rsidRDefault="00EA0369" w:rsidP="00B473C9">
      <w:pPr>
        <w:ind w:left="720" w:hanging="720"/>
        <w:rPr>
          <w:sz w:val="22"/>
          <w:szCs w:val="22"/>
        </w:rPr>
      </w:pPr>
      <w:r w:rsidRPr="00F00BFE">
        <w:rPr>
          <w:sz w:val="22"/>
          <w:szCs w:val="22"/>
        </w:rPr>
        <w:tab/>
        <w:t>(iii) the domain name was registered and is being used in bad faith.  </w:t>
      </w:r>
    </w:p>
    <w:p w14:paraId="7BEE051B" w14:textId="77777777" w:rsidR="00EA0369" w:rsidRPr="00F00BFE" w:rsidRDefault="00EA0369" w:rsidP="00EA0369">
      <w:pPr>
        <w:rPr>
          <w:sz w:val="22"/>
          <w:szCs w:val="22"/>
        </w:rPr>
      </w:pPr>
    </w:p>
    <w:p w14:paraId="7546DBCF" w14:textId="77777777" w:rsidR="00EA0369" w:rsidRPr="00F00BFE" w:rsidRDefault="00EA0369" w:rsidP="00EA0369">
      <w:pPr>
        <w:rPr>
          <w:sz w:val="22"/>
          <w:szCs w:val="22"/>
        </w:rPr>
      </w:pPr>
      <w:r w:rsidRPr="00F00BFE">
        <w:rPr>
          <w:sz w:val="22"/>
          <w:szCs w:val="22"/>
        </w:rPr>
        <w:t>Examples of bad faith include: (1) instances where a Registered Name Holder intentionally attempts to attract, for commercial gain, Internet users to the Registered Name Holder's website by creating a likelihood of confusion with the complainant's mark as to the source, sponsorship, affiliation, or endorsement of the website or of a product or service on the website; or (2) circumstances indicating that the domain name was registered primarily for the purpose of selling, renting, or otherwise transferring the domain name registration to the complainant/mark-holder for valuable consideration in excess of documented out-of-pocket costs directly related to the domain name.</w:t>
      </w:r>
    </w:p>
    <w:p w14:paraId="3A6B8FE8" w14:textId="77777777" w:rsidR="00EA0369" w:rsidRPr="00F00BFE" w:rsidRDefault="00EA0369" w:rsidP="00EA0369">
      <w:pPr>
        <w:rPr>
          <w:sz w:val="22"/>
          <w:szCs w:val="22"/>
        </w:rPr>
      </w:pPr>
    </w:p>
    <w:p w14:paraId="4B7C8CED" w14:textId="11EEB7C5" w:rsidR="00EA0369" w:rsidRPr="00F00BFE" w:rsidRDefault="00EA0369" w:rsidP="00EA0369">
      <w:pPr>
        <w:rPr>
          <w:sz w:val="22"/>
          <w:szCs w:val="22"/>
        </w:rPr>
      </w:pPr>
      <w:r w:rsidRPr="00F00BFE">
        <w:rPr>
          <w:sz w:val="22"/>
          <w:szCs w:val="22"/>
        </w:rPr>
        <w:t>In addition to the UDRP, the 2012 New gTLD Program incorporated new and additional trademark rights protection mechanisms.</w:t>
      </w:r>
      <w:r w:rsidR="00D56B8F" w:rsidRPr="00F00BFE">
        <w:rPr>
          <w:sz w:val="22"/>
          <w:szCs w:val="22"/>
        </w:rPr>
        <w:t xml:space="preserve">  </w:t>
      </w:r>
      <w:r w:rsidRPr="00F00BFE">
        <w:rPr>
          <w:sz w:val="22"/>
          <w:szCs w:val="22"/>
        </w:rPr>
        <w:t xml:space="preserve"> For example, entering one’s trademark into the new Trademark Clearinghouse </w:t>
      </w:r>
      <w:r w:rsidRPr="00F00BFE">
        <w:rPr>
          <w:sz w:val="22"/>
          <w:szCs w:val="22"/>
        </w:rPr>
        <w:lastRenderedPageBreak/>
        <w:t xml:space="preserve">database ensures that a trademark holder will be notified when a domain name is registered that matches their trademark, and </w:t>
      </w:r>
      <w:r w:rsidR="00B473C9" w:rsidRPr="00F00BFE">
        <w:rPr>
          <w:sz w:val="22"/>
          <w:szCs w:val="22"/>
        </w:rPr>
        <w:t>potential registrants</w:t>
      </w:r>
      <w:r w:rsidRPr="00F00BFE">
        <w:rPr>
          <w:sz w:val="22"/>
          <w:szCs w:val="22"/>
        </w:rPr>
        <w:t xml:space="preserve"> are advised of trademark rights that may exist in a domain name as part of the registration process.</w:t>
      </w:r>
      <w:r w:rsidR="00B473C9" w:rsidRPr="00F00BFE">
        <w:rPr>
          <w:sz w:val="22"/>
          <w:szCs w:val="22"/>
        </w:rPr>
        <w:t xml:space="preserve"> A new dispute resolution policy based substantially on the UDRP – the Uniform Rapid Suspension system (URS) - was also introduced for the 2012 New gTLD Program. </w:t>
      </w:r>
    </w:p>
    <w:p w14:paraId="04372B2E" w14:textId="77777777" w:rsidR="002B7576" w:rsidRPr="00F00BFE" w:rsidRDefault="002B7576">
      <w:pPr>
        <w:rPr>
          <w:sz w:val="22"/>
          <w:szCs w:val="22"/>
        </w:rPr>
      </w:pPr>
    </w:p>
    <w:p w14:paraId="53803756" w14:textId="324CB94A" w:rsidR="0016232D" w:rsidRPr="00F00BFE" w:rsidRDefault="00B473C9">
      <w:pPr>
        <w:rPr>
          <w:sz w:val="22"/>
          <w:szCs w:val="22"/>
        </w:rPr>
      </w:pPr>
      <w:r w:rsidRPr="00F00BFE">
        <w:rPr>
          <w:sz w:val="22"/>
          <w:szCs w:val="22"/>
        </w:rPr>
        <w:t xml:space="preserve">The above-mentioned protection mechanisms are based on the existence of </w:t>
      </w:r>
      <w:r w:rsidR="00D56B8F" w:rsidRPr="00F00BFE">
        <w:rPr>
          <w:sz w:val="22"/>
          <w:szCs w:val="22"/>
        </w:rPr>
        <w:t xml:space="preserve">legal </w:t>
      </w:r>
      <w:r w:rsidRPr="00F00BFE">
        <w:rPr>
          <w:sz w:val="22"/>
          <w:szCs w:val="22"/>
        </w:rPr>
        <w:t>rights</w:t>
      </w:r>
      <w:r w:rsidR="00D56B8F" w:rsidRPr="00F00BFE">
        <w:rPr>
          <w:sz w:val="22"/>
          <w:szCs w:val="22"/>
        </w:rPr>
        <w:t xml:space="preserve"> based on numerous national trademark laws and international treaties related to trademarks.</w:t>
      </w:r>
      <w:r w:rsidR="00E26769" w:rsidRPr="00F00BFE">
        <w:rPr>
          <w:sz w:val="22"/>
          <w:szCs w:val="22"/>
        </w:rPr>
        <w:t xml:space="preserve"> </w:t>
      </w:r>
    </w:p>
    <w:sectPr w:rsidR="0016232D" w:rsidRPr="00F00BFE" w:rsidSect="003265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294171" w14:textId="77777777" w:rsidR="009A069E" w:rsidRDefault="009A069E" w:rsidP="00044DE9">
      <w:r>
        <w:separator/>
      </w:r>
    </w:p>
  </w:endnote>
  <w:endnote w:type="continuationSeparator" w:id="0">
    <w:p w14:paraId="57BD77C6" w14:textId="77777777" w:rsidR="009A069E" w:rsidRDefault="009A069E" w:rsidP="00044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843AAF" w14:textId="77777777" w:rsidR="00044DE9" w:rsidRDefault="00044DE9" w:rsidP="002E753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CC1F91" w14:textId="77777777" w:rsidR="00044DE9" w:rsidRDefault="00044DE9" w:rsidP="00044DE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EEBA1" w14:textId="77777777" w:rsidR="00044DE9" w:rsidRDefault="00044DE9" w:rsidP="002E753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00BFE">
      <w:rPr>
        <w:rStyle w:val="PageNumber"/>
        <w:noProof/>
      </w:rPr>
      <w:t>1</w:t>
    </w:r>
    <w:r>
      <w:rPr>
        <w:rStyle w:val="PageNumber"/>
      </w:rPr>
      <w:fldChar w:fldCharType="end"/>
    </w:r>
  </w:p>
  <w:p w14:paraId="1D8256DB" w14:textId="77777777" w:rsidR="00044DE9" w:rsidRDefault="00044DE9" w:rsidP="00044DE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7AF92D" w14:textId="77777777" w:rsidR="009A069E" w:rsidRDefault="009A069E" w:rsidP="00044DE9">
      <w:r>
        <w:separator/>
      </w:r>
    </w:p>
  </w:footnote>
  <w:footnote w:type="continuationSeparator" w:id="0">
    <w:p w14:paraId="0A458B43" w14:textId="77777777" w:rsidR="009A069E" w:rsidRDefault="009A069E" w:rsidP="00044DE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674B33"/>
    <w:multiLevelType w:val="hybridMultilevel"/>
    <w:tmpl w:val="4A249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261"/>
    <w:rsid w:val="00044DE9"/>
    <w:rsid w:val="00082537"/>
    <w:rsid w:val="000930F3"/>
    <w:rsid w:val="000A2AAC"/>
    <w:rsid w:val="000C55FA"/>
    <w:rsid w:val="001140E7"/>
    <w:rsid w:val="0012147B"/>
    <w:rsid w:val="0016232D"/>
    <w:rsid w:val="001A155B"/>
    <w:rsid w:val="00273856"/>
    <w:rsid w:val="002B7576"/>
    <w:rsid w:val="002D5E90"/>
    <w:rsid w:val="00326516"/>
    <w:rsid w:val="00435BDF"/>
    <w:rsid w:val="00436DA4"/>
    <w:rsid w:val="004C6229"/>
    <w:rsid w:val="0050055F"/>
    <w:rsid w:val="0053243D"/>
    <w:rsid w:val="005D28CD"/>
    <w:rsid w:val="005D4ACC"/>
    <w:rsid w:val="006A3F3E"/>
    <w:rsid w:val="006C631A"/>
    <w:rsid w:val="007D6261"/>
    <w:rsid w:val="007D68BC"/>
    <w:rsid w:val="00916A67"/>
    <w:rsid w:val="00930A72"/>
    <w:rsid w:val="009A069E"/>
    <w:rsid w:val="00AA74A5"/>
    <w:rsid w:val="00AD69A3"/>
    <w:rsid w:val="00B473C9"/>
    <w:rsid w:val="00C82D45"/>
    <w:rsid w:val="00CE2F84"/>
    <w:rsid w:val="00D56B8F"/>
    <w:rsid w:val="00E24B2D"/>
    <w:rsid w:val="00E26769"/>
    <w:rsid w:val="00E81B0D"/>
    <w:rsid w:val="00E955CB"/>
    <w:rsid w:val="00EA0369"/>
    <w:rsid w:val="00F00BFE"/>
    <w:rsid w:val="00F00C73"/>
    <w:rsid w:val="00F07ED6"/>
    <w:rsid w:val="00FB2D09"/>
    <w:rsid w:val="00FE6547"/>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BB7D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7ED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1"/>
    <w:autoRedefine/>
    <w:qFormat/>
    <w:rsid w:val="00F07ED6"/>
    <w:pPr>
      <w:spacing w:before="400" w:after="120" w:line="276" w:lineRule="auto"/>
      <w:contextualSpacing/>
    </w:pPr>
    <w:rPr>
      <w:rFonts w:ascii="Arial" w:eastAsia="Arial" w:hAnsi="Arial" w:cs="Arial"/>
      <w:color w:val="000000"/>
      <w:sz w:val="40"/>
      <w:szCs w:val="40"/>
      <w:lang w:eastAsia="en-US"/>
    </w:rPr>
  </w:style>
  <w:style w:type="character" w:customStyle="1" w:styleId="Heading1Char">
    <w:name w:val="Heading 1 Char"/>
    <w:basedOn w:val="DefaultParagraphFont"/>
    <w:link w:val="Heading1"/>
    <w:uiPriority w:val="9"/>
    <w:rsid w:val="00F07ED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AD69A3"/>
    <w:pPr>
      <w:ind w:left="720"/>
      <w:contextualSpacing/>
    </w:pPr>
  </w:style>
  <w:style w:type="paragraph" w:styleId="Footer">
    <w:name w:val="footer"/>
    <w:basedOn w:val="Normal"/>
    <w:link w:val="FooterChar"/>
    <w:uiPriority w:val="99"/>
    <w:unhideWhenUsed/>
    <w:rsid w:val="00044DE9"/>
    <w:pPr>
      <w:tabs>
        <w:tab w:val="center" w:pos="4680"/>
        <w:tab w:val="right" w:pos="9360"/>
      </w:tabs>
    </w:pPr>
  </w:style>
  <w:style w:type="character" w:customStyle="1" w:styleId="FooterChar">
    <w:name w:val="Footer Char"/>
    <w:basedOn w:val="DefaultParagraphFont"/>
    <w:link w:val="Footer"/>
    <w:uiPriority w:val="99"/>
    <w:rsid w:val="00044DE9"/>
  </w:style>
  <w:style w:type="character" w:styleId="PageNumber">
    <w:name w:val="page number"/>
    <w:basedOn w:val="DefaultParagraphFont"/>
    <w:uiPriority w:val="99"/>
    <w:semiHidden/>
    <w:unhideWhenUsed/>
    <w:rsid w:val="00044DE9"/>
  </w:style>
  <w:style w:type="paragraph" w:styleId="PlainText">
    <w:name w:val="Plain Text"/>
    <w:basedOn w:val="Normal"/>
    <w:link w:val="PlainTextChar"/>
    <w:uiPriority w:val="99"/>
    <w:unhideWhenUsed/>
    <w:rsid w:val="005D28CD"/>
    <w:rPr>
      <w:rFonts w:ascii="Calibri" w:eastAsiaTheme="minorHAnsi" w:hAnsi="Calibri"/>
      <w:sz w:val="22"/>
      <w:szCs w:val="21"/>
      <w:lang w:val="en-AU" w:eastAsia="en-US"/>
    </w:rPr>
  </w:style>
  <w:style w:type="character" w:customStyle="1" w:styleId="PlainTextChar">
    <w:name w:val="Plain Text Char"/>
    <w:basedOn w:val="DefaultParagraphFont"/>
    <w:link w:val="PlainText"/>
    <w:uiPriority w:val="99"/>
    <w:rsid w:val="005D28CD"/>
    <w:rPr>
      <w:rFonts w:ascii="Calibri" w:eastAsiaTheme="minorHAnsi" w:hAnsi="Calibri"/>
      <w:sz w:val="22"/>
      <w:szCs w:val="21"/>
      <w:lang w:val="en-AU" w:eastAsia="en-US"/>
    </w:rPr>
  </w:style>
  <w:style w:type="paragraph" w:styleId="BalloonText">
    <w:name w:val="Balloon Text"/>
    <w:basedOn w:val="Normal"/>
    <w:link w:val="BalloonTextChar"/>
    <w:uiPriority w:val="99"/>
    <w:semiHidden/>
    <w:unhideWhenUsed/>
    <w:rsid w:val="007D68B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D68B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399721">
      <w:bodyDiv w:val="1"/>
      <w:marLeft w:val="0"/>
      <w:marRight w:val="0"/>
      <w:marTop w:val="0"/>
      <w:marBottom w:val="0"/>
      <w:divBdr>
        <w:top w:val="none" w:sz="0" w:space="0" w:color="auto"/>
        <w:left w:val="none" w:sz="0" w:space="0" w:color="auto"/>
        <w:bottom w:val="none" w:sz="0" w:space="0" w:color="auto"/>
        <w:right w:val="none" w:sz="0" w:space="0" w:color="auto"/>
      </w:divBdr>
    </w:div>
    <w:div w:id="1044210770">
      <w:bodyDiv w:val="1"/>
      <w:marLeft w:val="0"/>
      <w:marRight w:val="0"/>
      <w:marTop w:val="0"/>
      <w:marBottom w:val="0"/>
      <w:divBdr>
        <w:top w:val="none" w:sz="0" w:space="0" w:color="auto"/>
        <w:left w:val="none" w:sz="0" w:space="0" w:color="auto"/>
        <w:bottom w:val="none" w:sz="0" w:space="0" w:color="auto"/>
        <w:right w:val="none" w:sz="0" w:space="0" w:color="auto"/>
      </w:divBdr>
    </w:div>
    <w:div w:id="1150248925">
      <w:bodyDiv w:val="1"/>
      <w:marLeft w:val="0"/>
      <w:marRight w:val="0"/>
      <w:marTop w:val="0"/>
      <w:marBottom w:val="0"/>
      <w:divBdr>
        <w:top w:val="none" w:sz="0" w:space="0" w:color="auto"/>
        <w:left w:val="none" w:sz="0" w:space="0" w:color="auto"/>
        <w:bottom w:val="none" w:sz="0" w:space="0" w:color="auto"/>
        <w:right w:val="none" w:sz="0" w:space="0" w:color="auto"/>
      </w:divBdr>
    </w:div>
    <w:div w:id="153776828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1035</Words>
  <Characters>5900</Characters>
  <Application>Microsoft Macintosh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Melbourne IT</Company>
  <LinksUpToDate>false</LinksUpToDate>
  <CharactersWithSpaces>6922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Mary Wong</cp:lastModifiedBy>
  <cp:revision>2</cp:revision>
  <dcterms:created xsi:type="dcterms:W3CDTF">2017-01-12T21:13:00Z</dcterms:created>
  <dcterms:modified xsi:type="dcterms:W3CDTF">2017-01-12T21:13:00Z</dcterms:modified>
</cp:coreProperties>
</file>