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7C18E32E" w:rsidR="001C6F30" w:rsidRDefault="009057D4">
      <w:pPr>
        <w:rPr>
          <w:b/>
        </w:rPr>
      </w:pPr>
      <w:r w:rsidRPr="009057D4">
        <w:rPr>
          <w:b/>
        </w:rPr>
        <w:t xml:space="preserve">Tabular Summary of </w:t>
      </w:r>
      <w:bookmarkStart w:id="0" w:name="_GoBack"/>
      <w:bookmarkEnd w:id="0"/>
      <w:r w:rsidRPr="009057D4">
        <w:rPr>
          <w:b/>
        </w:rPr>
        <w:t>comments received at ICANN56 (ordered in accordance with corresponding sections of Draft Cross Community Working Group (CCWG) on new gTLD Auction Proceeds)</w:t>
      </w:r>
      <w:r w:rsidR="00154E57">
        <w:rPr>
          <w:b/>
        </w:rPr>
        <w:t xml:space="preserve"> – </w:t>
      </w:r>
      <w:r w:rsidR="00516006">
        <w:rPr>
          <w:b/>
        </w:rPr>
        <w:t xml:space="preserve">updated </w:t>
      </w:r>
      <w:r w:rsidR="00154E57">
        <w:rPr>
          <w:b/>
        </w:rPr>
        <w:t>1</w:t>
      </w:r>
      <w:r w:rsidR="00516006">
        <w:rPr>
          <w:b/>
        </w:rPr>
        <w:t>9</w:t>
      </w:r>
      <w:r w:rsidR="0069607D">
        <w:rPr>
          <w:b/>
        </w:rPr>
        <w:t xml:space="preserve"> July 2016 </w:t>
      </w:r>
    </w:p>
    <w:p w14:paraId="68A1F1D5" w14:textId="77777777" w:rsidR="009057D4" w:rsidRDefault="009057D4"/>
    <w:tbl>
      <w:tblPr>
        <w:tblStyle w:val="TableGrid"/>
        <w:tblW w:w="0" w:type="auto"/>
        <w:tblLook w:val="04A0" w:firstRow="1" w:lastRow="0" w:firstColumn="1" w:lastColumn="0" w:noHBand="0" w:noVBand="1"/>
      </w:tblPr>
      <w:tblGrid>
        <w:gridCol w:w="442"/>
        <w:gridCol w:w="5763"/>
        <w:gridCol w:w="2070"/>
        <w:gridCol w:w="2970"/>
        <w:gridCol w:w="2705"/>
      </w:tblGrid>
      <w:tr w:rsidR="008E2BCB" w14:paraId="2661CC3B" w14:textId="48CD35CB" w:rsidTr="00503AEF">
        <w:tc>
          <w:tcPr>
            <w:tcW w:w="442" w:type="dxa"/>
            <w:shd w:val="clear" w:color="auto" w:fill="D0CECE" w:themeFill="background2" w:themeFillShade="E6"/>
          </w:tcPr>
          <w:p w14:paraId="112CD54E" w14:textId="77777777" w:rsidR="002E4801" w:rsidRPr="00AA29C6" w:rsidRDefault="002E4801">
            <w:pPr>
              <w:rPr>
                <w:b/>
                <w:i/>
              </w:rPr>
            </w:pPr>
          </w:p>
        </w:tc>
        <w:tc>
          <w:tcPr>
            <w:tcW w:w="13508" w:type="dxa"/>
            <w:gridSpan w:val="4"/>
            <w:shd w:val="clear" w:color="auto" w:fill="D0CECE" w:themeFill="background2" w:themeFillShade="E6"/>
          </w:tcPr>
          <w:p w14:paraId="03957BF3" w14:textId="30D4326B" w:rsidR="002E4801" w:rsidRPr="00AA29C6" w:rsidRDefault="002E4801" w:rsidP="00AB0EED">
            <w:pPr>
              <w:rPr>
                <w:b/>
                <w:i/>
              </w:rPr>
            </w:pPr>
            <w:r w:rsidRPr="00AA29C6">
              <w:rPr>
                <w:b/>
                <w:i/>
              </w:rPr>
              <w:t>Section II:  Problem Statement, Goals &amp; Objectives, and Scope</w:t>
            </w:r>
          </w:p>
        </w:tc>
      </w:tr>
      <w:tr w:rsidR="008E2BCB" w14:paraId="321185B8" w14:textId="18C0CC88" w:rsidTr="00503AEF">
        <w:tc>
          <w:tcPr>
            <w:tcW w:w="442" w:type="dxa"/>
            <w:shd w:val="clear" w:color="auto" w:fill="D0CECE" w:themeFill="background2" w:themeFillShade="E6"/>
          </w:tcPr>
          <w:p w14:paraId="13A1008E" w14:textId="77777777" w:rsidR="002E4801" w:rsidRDefault="002E4801" w:rsidP="00FB2E84">
            <w:pPr>
              <w:rPr>
                <w:b/>
              </w:rPr>
            </w:pPr>
          </w:p>
        </w:tc>
        <w:tc>
          <w:tcPr>
            <w:tcW w:w="13508" w:type="dxa"/>
            <w:gridSpan w:val="4"/>
            <w:shd w:val="clear" w:color="auto" w:fill="D0CECE" w:themeFill="background2" w:themeFillShade="E6"/>
          </w:tcPr>
          <w:p w14:paraId="37733A2D" w14:textId="648E8695" w:rsidR="002E4801" w:rsidRDefault="002E4801" w:rsidP="00AB0EED">
            <w:pPr>
              <w:rPr>
                <w:b/>
              </w:rPr>
            </w:pPr>
            <w:r>
              <w:rPr>
                <w:b/>
              </w:rPr>
              <w:t>Sub-Section</w:t>
            </w:r>
            <w:r w:rsidRPr="00A1133C">
              <w:rPr>
                <w:b/>
              </w:rPr>
              <w:t xml:space="preserve">: </w:t>
            </w:r>
            <w:r>
              <w:rPr>
                <w:b/>
              </w:rPr>
              <w:t>Scope (Legal and Fiduciary)</w:t>
            </w:r>
          </w:p>
        </w:tc>
      </w:tr>
      <w:tr w:rsidR="00503AEF" w14:paraId="67966758" w14:textId="5A8B8FBC" w:rsidTr="00503AEF">
        <w:tc>
          <w:tcPr>
            <w:tcW w:w="442" w:type="dxa"/>
          </w:tcPr>
          <w:p w14:paraId="48D5DDB1" w14:textId="77777777" w:rsidR="00E5354A" w:rsidRPr="0053706F" w:rsidRDefault="00E5354A">
            <w:pPr>
              <w:rPr>
                <w:b/>
              </w:rPr>
            </w:pPr>
          </w:p>
        </w:tc>
        <w:tc>
          <w:tcPr>
            <w:tcW w:w="5763" w:type="dxa"/>
          </w:tcPr>
          <w:p w14:paraId="6543ADDF" w14:textId="229F0029" w:rsidR="00E5354A" w:rsidRPr="0053706F" w:rsidRDefault="00E5354A" w:rsidP="00AB0EED">
            <w:pPr>
              <w:rPr>
                <w:b/>
              </w:rPr>
            </w:pPr>
            <w:r w:rsidRPr="0053706F">
              <w:rPr>
                <w:b/>
              </w:rPr>
              <w:t>Public Comment</w:t>
            </w:r>
          </w:p>
        </w:tc>
        <w:tc>
          <w:tcPr>
            <w:tcW w:w="2070" w:type="dxa"/>
          </w:tcPr>
          <w:p w14:paraId="70722F88" w14:textId="2BB8117E" w:rsidR="00E5354A" w:rsidRPr="0053706F" w:rsidRDefault="001E1819" w:rsidP="00AB0EED">
            <w:pPr>
              <w:rPr>
                <w:b/>
              </w:rPr>
            </w:pPr>
            <w:r>
              <w:rPr>
                <w:b/>
              </w:rPr>
              <w:t>Source</w:t>
            </w:r>
          </w:p>
        </w:tc>
        <w:tc>
          <w:tcPr>
            <w:tcW w:w="2970" w:type="dxa"/>
          </w:tcPr>
          <w:p w14:paraId="376BF590" w14:textId="6D9968A1" w:rsidR="00E5354A" w:rsidRPr="0053706F" w:rsidRDefault="00E5354A" w:rsidP="00AB0EED">
            <w:pPr>
              <w:rPr>
                <w:b/>
              </w:rPr>
            </w:pPr>
            <w:r w:rsidRPr="0053706F">
              <w:rPr>
                <w:b/>
              </w:rPr>
              <w:t>DT View</w:t>
            </w:r>
          </w:p>
        </w:tc>
        <w:tc>
          <w:tcPr>
            <w:tcW w:w="2705" w:type="dxa"/>
          </w:tcPr>
          <w:p w14:paraId="371612C3" w14:textId="314FD62F" w:rsidR="00E5354A" w:rsidRDefault="00E5354A" w:rsidP="00AB0EED">
            <w:pPr>
              <w:rPr>
                <w:b/>
              </w:rPr>
            </w:pPr>
            <w:r>
              <w:rPr>
                <w:b/>
              </w:rPr>
              <w:t>Action taken</w:t>
            </w:r>
          </w:p>
        </w:tc>
      </w:tr>
      <w:tr w:rsidR="00503AEF" w14:paraId="6894C289" w14:textId="64DA9928" w:rsidTr="00503AEF">
        <w:trPr>
          <w:trHeight w:val="341"/>
        </w:trPr>
        <w:tc>
          <w:tcPr>
            <w:tcW w:w="442" w:type="dxa"/>
          </w:tcPr>
          <w:p w14:paraId="45E1F0B3" w14:textId="77777777" w:rsidR="002E4801" w:rsidRPr="00C32E0F" w:rsidRDefault="002E4801" w:rsidP="0069607D">
            <w:pPr>
              <w:pStyle w:val="ListParagraph"/>
              <w:numPr>
                <w:ilvl w:val="0"/>
                <w:numId w:val="1"/>
              </w:numPr>
              <w:jc w:val="both"/>
            </w:pPr>
          </w:p>
        </w:tc>
        <w:tc>
          <w:tcPr>
            <w:tcW w:w="5763" w:type="dxa"/>
          </w:tcPr>
          <w:p w14:paraId="10078D63" w14:textId="4FA69D00" w:rsidR="002E4801" w:rsidRDefault="002E4801" w:rsidP="00AB0EED">
            <w:r w:rsidRPr="00C32E0F">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Limitation of certain organisations may have undesired effect - what for example about public-private partnerships. This is for CCWG to consider.</w:t>
            </w:r>
          </w:p>
        </w:tc>
        <w:tc>
          <w:tcPr>
            <w:tcW w:w="2070" w:type="dxa"/>
          </w:tcPr>
          <w:p w14:paraId="0CC7D075" w14:textId="6222C8D3" w:rsidR="002E4801" w:rsidRDefault="001E1819" w:rsidP="00AB0EED">
            <w:r>
              <w:t>Helsinki Public Comment</w:t>
            </w:r>
          </w:p>
        </w:tc>
        <w:tc>
          <w:tcPr>
            <w:tcW w:w="2970" w:type="dxa"/>
          </w:tcPr>
          <w:p w14:paraId="13035A12" w14:textId="39C4C470" w:rsidR="002E4801" w:rsidRDefault="00516006" w:rsidP="00AB0EED">
            <w:r>
              <w:t>No prohibition currently included because: 1) that is a CCWG decision (who is eligible to apply), 2) may be difficult to distinguish between where governments are involved, in smaller countries, governments may be active at many different levels so this could create a unintended consequences.</w:t>
            </w:r>
          </w:p>
        </w:tc>
        <w:tc>
          <w:tcPr>
            <w:tcW w:w="2705" w:type="dxa"/>
          </w:tcPr>
          <w:p w14:paraId="313276F6" w14:textId="4CEAF7A1" w:rsidR="002E4801" w:rsidRDefault="00516006" w:rsidP="00AB0EED">
            <w:r>
              <w:t>No changes needed – is for CCWG to consider.</w:t>
            </w:r>
          </w:p>
        </w:tc>
      </w:tr>
      <w:tr w:rsidR="00503AEF" w14:paraId="64C2D5F4" w14:textId="780A96A0" w:rsidTr="00503AEF">
        <w:tc>
          <w:tcPr>
            <w:tcW w:w="442" w:type="dxa"/>
          </w:tcPr>
          <w:p w14:paraId="1AF3E875" w14:textId="77777777" w:rsidR="00B033D8" w:rsidRPr="00C32E0F" w:rsidRDefault="00B033D8" w:rsidP="0069607D">
            <w:pPr>
              <w:pStyle w:val="ListParagraph"/>
              <w:numPr>
                <w:ilvl w:val="0"/>
                <w:numId w:val="1"/>
              </w:numPr>
              <w:jc w:val="both"/>
            </w:pPr>
          </w:p>
        </w:tc>
        <w:tc>
          <w:tcPr>
            <w:tcW w:w="5763" w:type="dxa"/>
          </w:tcPr>
          <w:p w14:paraId="2DF7FE27" w14:textId="07DBEBDB" w:rsidR="00B033D8" w:rsidRDefault="00B033D8" w:rsidP="00AB0EED">
            <w:r w:rsidRPr="00C32E0F">
              <w:t>How broadly defined is lobbying? Some NGOs would advocate as part of their activities. Would that be considered lobbying? Some examples have been included in the memo that may provide some further insight.</w:t>
            </w:r>
          </w:p>
        </w:tc>
        <w:tc>
          <w:tcPr>
            <w:tcW w:w="2070" w:type="dxa"/>
          </w:tcPr>
          <w:p w14:paraId="1DDDE5BA" w14:textId="0F9E69E3" w:rsidR="00B033D8" w:rsidRDefault="00B033D8" w:rsidP="00AB0EED">
            <w:r>
              <w:t>Helsinki Public Comment</w:t>
            </w:r>
          </w:p>
        </w:tc>
        <w:tc>
          <w:tcPr>
            <w:tcW w:w="2970" w:type="dxa"/>
            <w:vMerge w:val="restart"/>
          </w:tcPr>
          <w:p w14:paraId="47641189" w14:textId="17B29424" w:rsidR="00B033D8" w:rsidRDefault="00516006" w:rsidP="00AB0EED">
            <w:r>
              <w:t xml:space="preserve">Funds cannot be allocated to lobbying – if this means that an organization cannot have any lobbying activities, consider making this clear in the charter? Leave it up to the CCWG to figure out what could potentially affect ICANN’s tax status and make this clear in the requirements. Rules </w:t>
            </w:r>
            <w:r>
              <w:lastRenderedPageBreak/>
              <w:t>shouldn’t be US centric, so there may be a need to expand the definition as it currently focuses on a US definition of lobbying. CCWG will need to understand the scope of prohibitions that are made applicable across the board so there is a clear line of what is permissible and what is not permissible with regards to activities. As this has a potential impact on ICANN’s tax status, it is important that this is carefully considered by the CCWG.</w:t>
            </w:r>
          </w:p>
        </w:tc>
        <w:tc>
          <w:tcPr>
            <w:tcW w:w="2705" w:type="dxa"/>
            <w:vMerge w:val="restart"/>
          </w:tcPr>
          <w:p w14:paraId="49418178" w14:textId="5DCF0DE0" w:rsidR="00B033D8" w:rsidRDefault="00516006" w:rsidP="00AB0EED">
            <w:r>
              <w:lastRenderedPageBreak/>
              <w:t xml:space="preserve">Charter specifies that lobbying must be prohibited to the extent that it protects the tax status of ICANN. Such a prohibition should be applied uniformly and not be US centric. That work is done by the CCWG – charter to provide direction at the </w:t>
            </w:r>
            <w:r>
              <w:lastRenderedPageBreak/>
              <w:t>high level in relation to this topic – check charter and confirm whether further direction is needed in the charter on this topic.</w:t>
            </w:r>
          </w:p>
        </w:tc>
      </w:tr>
      <w:tr w:rsidR="00503AEF" w14:paraId="3147504C" w14:textId="7110B07B" w:rsidTr="00503AEF">
        <w:tc>
          <w:tcPr>
            <w:tcW w:w="442" w:type="dxa"/>
          </w:tcPr>
          <w:p w14:paraId="489EA47D" w14:textId="77777777" w:rsidR="00B033D8" w:rsidRPr="00C32E0F" w:rsidRDefault="00B033D8" w:rsidP="0069607D">
            <w:pPr>
              <w:pStyle w:val="ListParagraph"/>
              <w:numPr>
                <w:ilvl w:val="0"/>
                <w:numId w:val="1"/>
              </w:numPr>
              <w:jc w:val="both"/>
            </w:pPr>
          </w:p>
        </w:tc>
        <w:tc>
          <w:tcPr>
            <w:tcW w:w="5763" w:type="dxa"/>
          </w:tcPr>
          <w:p w14:paraId="2196D320" w14:textId="1A299750" w:rsidR="00B033D8" w:rsidRDefault="00B033D8" w:rsidP="00AB0EED">
            <w:r w:rsidRPr="00C32E0F">
              <w:t>Grants to organisation - how can you ensure that US governments cannot block granting on the basis of linking it to 501(3)C requirement that may not exist in a similar way abroad.</w:t>
            </w:r>
          </w:p>
        </w:tc>
        <w:tc>
          <w:tcPr>
            <w:tcW w:w="2070" w:type="dxa"/>
          </w:tcPr>
          <w:p w14:paraId="322E322A" w14:textId="69DABE3C" w:rsidR="00B033D8" w:rsidRDefault="00B033D8" w:rsidP="00AB0EED">
            <w:r>
              <w:t>Helsinki Public Comment</w:t>
            </w:r>
          </w:p>
        </w:tc>
        <w:tc>
          <w:tcPr>
            <w:tcW w:w="2970" w:type="dxa"/>
            <w:vMerge/>
          </w:tcPr>
          <w:p w14:paraId="09F68643" w14:textId="77777777" w:rsidR="00B033D8" w:rsidRDefault="00B033D8" w:rsidP="00AB0EED"/>
        </w:tc>
        <w:tc>
          <w:tcPr>
            <w:tcW w:w="2705" w:type="dxa"/>
            <w:vMerge/>
          </w:tcPr>
          <w:p w14:paraId="284F615C" w14:textId="77777777" w:rsidR="00B033D8" w:rsidRDefault="00B033D8" w:rsidP="00AB0EED"/>
        </w:tc>
      </w:tr>
      <w:tr w:rsidR="00503AEF" w14:paraId="14BD5256" w14:textId="0856D7DF" w:rsidTr="00503AEF">
        <w:tc>
          <w:tcPr>
            <w:tcW w:w="442" w:type="dxa"/>
          </w:tcPr>
          <w:p w14:paraId="26E2BBD1" w14:textId="77777777" w:rsidR="00B033D8" w:rsidRPr="00FB2E84" w:rsidRDefault="00B033D8" w:rsidP="0069607D">
            <w:pPr>
              <w:pStyle w:val="ListParagraph"/>
              <w:numPr>
                <w:ilvl w:val="0"/>
                <w:numId w:val="1"/>
              </w:numPr>
              <w:jc w:val="both"/>
            </w:pPr>
          </w:p>
        </w:tc>
        <w:tc>
          <w:tcPr>
            <w:tcW w:w="5763" w:type="dxa"/>
          </w:tcPr>
          <w:p w14:paraId="17E041B0" w14:textId="091933BE" w:rsidR="00B033D8" w:rsidRDefault="00B033D8" w:rsidP="00AB0EED">
            <w:r w:rsidRPr="00FB2E84">
              <w:t xml:space="preserve">Concern about political and lobbying activities restrictions - restricted to any country or not. May </w:t>
            </w:r>
            <w:r w:rsidRPr="00FB2E84">
              <w:lastRenderedPageBreak/>
              <w:t>provide challenges to implement. Expect that CCWG would go into further details on this.</w:t>
            </w:r>
          </w:p>
        </w:tc>
        <w:tc>
          <w:tcPr>
            <w:tcW w:w="2070" w:type="dxa"/>
          </w:tcPr>
          <w:p w14:paraId="1144BAC2" w14:textId="1244FE3A" w:rsidR="00B033D8" w:rsidRDefault="00B033D8" w:rsidP="00AB0EED">
            <w:r>
              <w:lastRenderedPageBreak/>
              <w:t>Helsinki Public Comment</w:t>
            </w:r>
          </w:p>
        </w:tc>
        <w:tc>
          <w:tcPr>
            <w:tcW w:w="2970" w:type="dxa"/>
            <w:vMerge/>
          </w:tcPr>
          <w:p w14:paraId="1F78A86B" w14:textId="77777777" w:rsidR="00B033D8" w:rsidRDefault="00B033D8" w:rsidP="00AB0EED"/>
        </w:tc>
        <w:tc>
          <w:tcPr>
            <w:tcW w:w="2705" w:type="dxa"/>
            <w:vMerge/>
          </w:tcPr>
          <w:p w14:paraId="06A44A80" w14:textId="77777777" w:rsidR="00B033D8" w:rsidRDefault="00B033D8" w:rsidP="00AB0EED"/>
        </w:tc>
      </w:tr>
      <w:tr w:rsidR="00503AEF" w14:paraId="21571429" w14:textId="67CAC4B9" w:rsidTr="00503AEF">
        <w:tc>
          <w:tcPr>
            <w:tcW w:w="442" w:type="dxa"/>
          </w:tcPr>
          <w:p w14:paraId="7960E63C" w14:textId="77777777" w:rsidR="00B033D8" w:rsidRPr="00FB2E84" w:rsidRDefault="00B033D8" w:rsidP="0069607D">
            <w:pPr>
              <w:pStyle w:val="ListParagraph"/>
              <w:numPr>
                <w:ilvl w:val="0"/>
                <w:numId w:val="1"/>
              </w:numPr>
              <w:jc w:val="both"/>
            </w:pPr>
          </w:p>
        </w:tc>
        <w:tc>
          <w:tcPr>
            <w:tcW w:w="5763" w:type="dxa"/>
          </w:tcPr>
          <w:p w14:paraId="3E0C6703" w14:textId="634C18D1" w:rsidR="00B033D8" w:rsidRDefault="00B033D8" w:rsidP="00AB0EED">
            <w:r w:rsidRPr="00FB2E84">
              <w:t>Difference in definition and understanding of the term lobbying. Need for precision of what level of lobbying that is allowed to be done.</w:t>
            </w:r>
          </w:p>
        </w:tc>
        <w:tc>
          <w:tcPr>
            <w:tcW w:w="2070" w:type="dxa"/>
          </w:tcPr>
          <w:p w14:paraId="7CD8B9A6" w14:textId="6ECA00CE" w:rsidR="00B033D8" w:rsidRDefault="00B033D8" w:rsidP="00AB0EED">
            <w:r>
              <w:t>Helsinki Public Comment</w:t>
            </w:r>
          </w:p>
        </w:tc>
        <w:tc>
          <w:tcPr>
            <w:tcW w:w="2970" w:type="dxa"/>
            <w:vMerge/>
          </w:tcPr>
          <w:p w14:paraId="5EF0858E" w14:textId="77777777" w:rsidR="00B033D8" w:rsidRDefault="00B033D8" w:rsidP="00AB0EED"/>
        </w:tc>
        <w:tc>
          <w:tcPr>
            <w:tcW w:w="2705" w:type="dxa"/>
            <w:vMerge/>
          </w:tcPr>
          <w:p w14:paraId="68E9DE32" w14:textId="77777777" w:rsidR="00B033D8" w:rsidRDefault="00B033D8" w:rsidP="00AB0EED"/>
        </w:tc>
      </w:tr>
      <w:tr w:rsidR="00503AEF" w14:paraId="0ABCFD62" w14:textId="6EFE2111" w:rsidTr="00503AEF">
        <w:tc>
          <w:tcPr>
            <w:tcW w:w="442" w:type="dxa"/>
          </w:tcPr>
          <w:p w14:paraId="255EBC3C" w14:textId="77777777" w:rsidR="002E4801" w:rsidRPr="00FB2E84" w:rsidRDefault="002E4801" w:rsidP="0069607D">
            <w:pPr>
              <w:pStyle w:val="ListParagraph"/>
              <w:numPr>
                <w:ilvl w:val="0"/>
                <w:numId w:val="1"/>
              </w:numPr>
              <w:jc w:val="both"/>
            </w:pPr>
          </w:p>
        </w:tc>
        <w:tc>
          <w:tcPr>
            <w:tcW w:w="5763" w:type="dxa"/>
          </w:tcPr>
          <w:p w14:paraId="24AD304E" w14:textId="156D839C" w:rsidR="002E4801" w:rsidRDefault="002E4801" w:rsidP="00AB0EED">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070" w:type="dxa"/>
          </w:tcPr>
          <w:p w14:paraId="2322D7C9" w14:textId="62293A59" w:rsidR="002E4801" w:rsidRDefault="00BA7D54" w:rsidP="00AB0EED">
            <w:r>
              <w:t>Helsinki Public Comment</w:t>
            </w:r>
          </w:p>
        </w:tc>
        <w:tc>
          <w:tcPr>
            <w:tcW w:w="2970" w:type="dxa"/>
          </w:tcPr>
          <w:p w14:paraId="63D95E92" w14:textId="2AAAA87E" w:rsidR="002E4801" w:rsidRDefault="00516006" w:rsidP="00AB0EED">
            <w:r>
              <w:t>DT shall and will consider as it moves through the charter. However, this Is a philosophical (how broad or narrow do you go) but also legal question that will need to be addressed in the CCWG.</w:t>
            </w:r>
          </w:p>
        </w:tc>
        <w:tc>
          <w:tcPr>
            <w:tcW w:w="2705" w:type="dxa"/>
          </w:tcPr>
          <w:p w14:paraId="26478183" w14:textId="484878A7" w:rsidR="002E4801" w:rsidRDefault="00516006" w:rsidP="00AB0EED">
            <w:r>
              <w:t>DT will further consideration to this point as it reviews the charter.</w:t>
            </w:r>
          </w:p>
        </w:tc>
      </w:tr>
      <w:tr w:rsidR="00503AEF" w14:paraId="14488212" w14:textId="20404DA4" w:rsidTr="00503AEF">
        <w:tc>
          <w:tcPr>
            <w:tcW w:w="442" w:type="dxa"/>
          </w:tcPr>
          <w:p w14:paraId="37944AC8" w14:textId="77777777" w:rsidR="002E4801" w:rsidRPr="00FB2E84" w:rsidRDefault="002E4801" w:rsidP="0069607D">
            <w:pPr>
              <w:pStyle w:val="ListParagraph"/>
              <w:numPr>
                <w:ilvl w:val="0"/>
                <w:numId w:val="1"/>
              </w:numPr>
              <w:jc w:val="both"/>
            </w:pPr>
          </w:p>
        </w:tc>
        <w:tc>
          <w:tcPr>
            <w:tcW w:w="5763" w:type="dxa"/>
          </w:tcPr>
          <w:p w14:paraId="0F515765" w14:textId="3E6804FE" w:rsidR="002E4801" w:rsidRDefault="002E4801" w:rsidP="00AB0EED">
            <w:r w:rsidRPr="00FB2E84">
              <w:t>Not clear in the charter, when can these funds be used for activities within ICANN itself, for example, funds for a CCWG? Could chartering organisations request funding for CCWG or other activities within ICANN? Is this possible and if so, what would be the process? ICANN should continue these efforts as part of its normal budget.</w:t>
            </w:r>
          </w:p>
        </w:tc>
        <w:tc>
          <w:tcPr>
            <w:tcW w:w="2070" w:type="dxa"/>
          </w:tcPr>
          <w:p w14:paraId="3E927969" w14:textId="62B050B5" w:rsidR="002E4801" w:rsidRDefault="00BA7D54" w:rsidP="00AB0EED">
            <w:r>
              <w:t>Helsinki Public Comment</w:t>
            </w:r>
          </w:p>
        </w:tc>
        <w:tc>
          <w:tcPr>
            <w:tcW w:w="2970" w:type="dxa"/>
          </w:tcPr>
          <w:p w14:paraId="25866F37" w14:textId="77777777" w:rsidR="002E4801" w:rsidRDefault="002E4801" w:rsidP="00AB0EED"/>
        </w:tc>
        <w:tc>
          <w:tcPr>
            <w:tcW w:w="2705" w:type="dxa"/>
          </w:tcPr>
          <w:p w14:paraId="5DEF5841" w14:textId="77777777" w:rsidR="002E4801" w:rsidRDefault="002E4801" w:rsidP="00AB0EED"/>
        </w:tc>
      </w:tr>
      <w:tr w:rsidR="00503AEF" w14:paraId="094F6F83" w14:textId="4219A0FC" w:rsidTr="00503AEF">
        <w:tc>
          <w:tcPr>
            <w:tcW w:w="442" w:type="dxa"/>
            <w:tcBorders>
              <w:bottom w:val="single" w:sz="4" w:space="0" w:color="auto"/>
            </w:tcBorders>
          </w:tcPr>
          <w:p w14:paraId="287A22DB" w14:textId="77777777" w:rsidR="002E4801" w:rsidRPr="00FB2E84" w:rsidRDefault="002E4801" w:rsidP="0069607D">
            <w:pPr>
              <w:pStyle w:val="ListParagraph"/>
              <w:numPr>
                <w:ilvl w:val="0"/>
                <w:numId w:val="1"/>
              </w:numPr>
              <w:jc w:val="both"/>
            </w:pPr>
          </w:p>
        </w:tc>
        <w:tc>
          <w:tcPr>
            <w:tcW w:w="5763" w:type="dxa"/>
            <w:tcBorders>
              <w:bottom w:val="single" w:sz="4" w:space="0" w:color="auto"/>
            </w:tcBorders>
          </w:tcPr>
          <w:p w14:paraId="30BCE66A" w14:textId="54BC3752" w:rsidR="002E4801" w:rsidRDefault="002E4801" w:rsidP="00AB0EED">
            <w:r w:rsidRPr="00FB2E84">
              <w:t xml:space="preserve">Funding should not be allowed for anything that distorts competition within the ICANN </w:t>
            </w:r>
            <w:r w:rsidR="00AB0EED">
              <w:t xml:space="preserve">organisation. </w:t>
            </w:r>
            <w:r w:rsidRPr="00FB2E84">
              <w:t>.</w:t>
            </w:r>
          </w:p>
        </w:tc>
        <w:tc>
          <w:tcPr>
            <w:tcW w:w="2070" w:type="dxa"/>
            <w:tcBorders>
              <w:bottom w:val="single" w:sz="4" w:space="0" w:color="auto"/>
            </w:tcBorders>
          </w:tcPr>
          <w:p w14:paraId="59E0349E" w14:textId="21150A92" w:rsidR="002E4801" w:rsidRDefault="00BA7D54" w:rsidP="00AB0EED">
            <w:r>
              <w:t>Helsinki Public Comment</w:t>
            </w:r>
          </w:p>
        </w:tc>
        <w:tc>
          <w:tcPr>
            <w:tcW w:w="2970" w:type="dxa"/>
            <w:tcBorders>
              <w:bottom w:val="single" w:sz="4" w:space="0" w:color="auto"/>
            </w:tcBorders>
          </w:tcPr>
          <w:p w14:paraId="18BA633E" w14:textId="77777777" w:rsidR="002E4801" w:rsidRDefault="002E4801" w:rsidP="00AB0EED"/>
        </w:tc>
        <w:tc>
          <w:tcPr>
            <w:tcW w:w="2705" w:type="dxa"/>
            <w:tcBorders>
              <w:bottom w:val="single" w:sz="4" w:space="0" w:color="auto"/>
            </w:tcBorders>
          </w:tcPr>
          <w:p w14:paraId="6C41C88C" w14:textId="77777777" w:rsidR="002E4801" w:rsidRDefault="002E4801" w:rsidP="00AB0EED"/>
        </w:tc>
      </w:tr>
      <w:tr w:rsidR="00503AEF" w14:paraId="7D053D32" w14:textId="32B79D5E" w:rsidTr="00503AEF">
        <w:tc>
          <w:tcPr>
            <w:tcW w:w="442" w:type="dxa"/>
            <w:tcBorders>
              <w:bottom w:val="single" w:sz="4" w:space="0" w:color="auto"/>
            </w:tcBorders>
          </w:tcPr>
          <w:p w14:paraId="0E59C22D"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370C40FB" w14:textId="7097E5DA" w:rsidR="002E4801" w:rsidRPr="00FB2E84" w:rsidRDefault="002E4801" w:rsidP="00AB0EED">
            <w:r w:rsidRPr="003E4817">
              <w:t>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proposal is actually in line with ICANN’s mission. The previous word in use was “furtherance”, which was already wide enough. By changing it to “non consistent” the text has an even weaker approach to support ICANN’s mission.</w:t>
            </w:r>
          </w:p>
        </w:tc>
        <w:tc>
          <w:tcPr>
            <w:tcW w:w="2070" w:type="dxa"/>
            <w:tcBorders>
              <w:bottom w:val="single" w:sz="4" w:space="0" w:color="auto"/>
            </w:tcBorders>
          </w:tcPr>
          <w:p w14:paraId="6C25B107" w14:textId="5AF8D1F2" w:rsidR="002E4801" w:rsidRDefault="00483579" w:rsidP="00AB0EED">
            <w:r w:rsidRPr="00483579">
              <w:t>Sylvia Cadena</w:t>
            </w:r>
            <w:r>
              <w:t xml:space="preserve"> Comment</w:t>
            </w:r>
          </w:p>
        </w:tc>
        <w:tc>
          <w:tcPr>
            <w:tcW w:w="2970" w:type="dxa"/>
            <w:tcBorders>
              <w:bottom w:val="single" w:sz="4" w:space="0" w:color="auto"/>
            </w:tcBorders>
          </w:tcPr>
          <w:p w14:paraId="1A09FD35" w14:textId="77777777" w:rsidR="002E4801" w:rsidRDefault="002E4801" w:rsidP="00AB0EED"/>
        </w:tc>
        <w:tc>
          <w:tcPr>
            <w:tcW w:w="2705" w:type="dxa"/>
            <w:tcBorders>
              <w:bottom w:val="single" w:sz="4" w:space="0" w:color="auto"/>
            </w:tcBorders>
          </w:tcPr>
          <w:p w14:paraId="491CF863" w14:textId="77777777" w:rsidR="002E4801" w:rsidRDefault="002E4801" w:rsidP="00AB0EED"/>
        </w:tc>
      </w:tr>
      <w:tr w:rsidR="00503AEF" w14:paraId="1286C681" w14:textId="7771D49D" w:rsidTr="00503AEF">
        <w:tc>
          <w:tcPr>
            <w:tcW w:w="442" w:type="dxa"/>
            <w:tcBorders>
              <w:bottom w:val="single" w:sz="4" w:space="0" w:color="auto"/>
            </w:tcBorders>
          </w:tcPr>
          <w:p w14:paraId="6CC75D7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B370CFC" w14:textId="7BCC8C06" w:rsidR="002E4801" w:rsidRDefault="002E4801" w:rsidP="00AB0EED">
            <w:r>
              <w:t>(submitted by email) The use of "not inconsistent" with ICANN's mission is a clear departure from the original intent to do something "good for the Internet" aligned</w:t>
            </w:r>
          </w:p>
          <w:p w14:paraId="3759B2BD" w14:textId="1DFD09E3" w:rsidR="002E4801" w:rsidRPr="003E4817" w:rsidRDefault="002E4801" w:rsidP="00AB0EED">
            <w:r>
              <w:t>with ICANN's principles ("support directly" was the original terms used). Anything that doesn't hurt the Internet would be OK by this weak requirement, such as growing corn with no water or developing clean energy sources. Although there are good projects, they won't help the Internet or the Web reach their full potential.</w:t>
            </w:r>
          </w:p>
        </w:tc>
        <w:tc>
          <w:tcPr>
            <w:tcW w:w="2070" w:type="dxa"/>
            <w:tcBorders>
              <w:bottom w:val="single" w:sz="4" w:space="0" w:color="auto"/>
            </w:tcBorders>
          </w:tcPr>
          <w:p w14:paraId="072AD71A" w14:textId="1AF1B714" w:rsidR="002E4801" w:rsidRDefault="00483579" w:rsidP="00AB0EED">
            <w:r>
              <w:t>Helsinki Email Comment</w:t>
            </w:r>
          </w:p>
        </w:tc>
        <w:tc>
          <w:tcPr>
            <w:tcW w:w="2970" w:type="dxa"/>
            <w:tcBorders>
              <w:bottom w:val="single" w:sz="4" w:space="0" w:color="auto"/>
            </w:tcBorders>
          </w:tcPr>
          <w:p w14:paraId="118ABD24" w14:textId="77777777" w:rsidR="002E4801" w:rsidRDefault="002E4801" w:rsidP="00AB0EED"/>
        </w:tc>
        <w:tc>
          <w:tcPr>
            <w:tcW w:w="2705" w:type="dxa"/>
            <w:tcBorders>
              <w:bottom w:val="single" w:sz="4" w:space="0" w:color="auto"/>
            </w:tcBorders>
          </w:tcPr>
          <w:p w14:paraId="64F68564" w14:textId="77777777" w:rsidR="002E4801" w:rsidRDefault="002E4801" w:rsidP="00AB0EED"/>
        </w:tc>
      </w:tr>
      <w:tr w:rsidR="00503AEF" w14:paraId="09181733" w14:textId="60683EFE" w:rsidTr="00503AEF">
        <w:tc>
          <w:tcPr>
            <w:tcW w:w="442" w:type="dxa"/>
            <w:tcBorders>
              <w:bottom w:val="single" w:sz="4" w:space="0" w:color="auto"/>
            </w:tcBorders>
          </w:tcPr>
          <w:p w14:paraId="346FD0C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40A96B0A" w14:textId="41BF1C85" w:rsidR="002E4801" w:rsidRDefault="002E4801" w:rsidP="00AB0EED">
            <w:r w:rsidRPr="004E531B">
              <w:t>The Board recommends that the DT add a new guiding principle that the recommendations should be designed in a manner to support ICANN’s nonprofit status and financial and operational stability.  This primary guiding principle is implicitly stated through the limitations and considerations identified in the Charter, but an explicit statement of this key tenet is important.</w:t>
            </w:r>
          </w:p>
        </w:tc>
        <w:tc>
          <w:tcPr>
            <w:tcW w:w="2070" w:type="dxa"/>
            <w:tcBorders>
              <w:bottom w:val="single" w:sz="4" w:space="0" w:color="auto"/>
            </w:tcBorders>
          </w:tcPr>
          <w:p w14:paraId="3E7C2511" w14:textId="44A14CFE" w:rsidR="002E4801" w:rsidRDefault="001A6953" w:rsidP="00AB0EED">
            <w:r>
              <w:t>Board comments</w:t>
            </w:r>
          </w:p>
        </w:tc>
        <w:tc>
          <w:tcPr>
            <w:tcW w:w="2970" w:type="dxa"/>
            <w:tcBorders>
              <w:bottom w:val="single" w:sz="4" w:space="0" w:color="auto"/>
            </w:tcBorders>
          </w:tcPr>
          <w:p w14:paraId="3BA6CD20" w14:textId="77777777" w:rsidR="002E4801" w:rsidRDefault="002E4801" w:rsidP="00AB0EED"/>
        </w:tc>
        <w:tc>
          <w:tcPr>
            <w:tcW w:w="2705" w:type="dxa"/>
            <w:tcBorders>
              <w:bottom w:val="single" w:sz="4" w:space="0" w:color="auto"/>
            </w:tcBorders>
          </w:tcPr>
          <w:p w14:paraId="1A45852C" w14:textId="77777777" w:rsidR="002E4801" w:rsidRDefault="002E4801" w:rsidP="00AB0EED"/>
        </w:tc>
      </w:tr>
      <w:tr w:rsidR="00503AEF" w14:paraId="73A31CC2" w14:textId="781295DD" w:rsidTr="00503AEF">
        <w:tc>
          <w:tcPr>
            <w:tcW w:w="442" w:type="dxa"/>
            <w:tcBorders>
              <w:bottom w:val="single" w:sz="4" w:space="0" w:color="auto"/>
            </w:tcBorders>
          </w:tcPr>
          <w:p w14:paraId="7C32333F"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CE4E2F6" w14:textId="322E4078" w:rsidR="002E4801" w:rsidRDefault="002E4801" w:rsidP="00AB0EED">
            <w:r>
              <w:t xml:space="preserve">(Board comments) </w:t>
            </w:r>
            <w:r w:rsidRPr="00165F58">
              <w:t>The Board confirms that the auction proceeds shall be used consistently with ICANN’s mission.  It will be important that any proposed uses for the proceeds be tested against ICANN’s mission.</w:t>
            </w:r>
          </w:p>
        </w:tc>
        <w:tc>
          <w:tcPr>
            <w:tcW w:w="2070" w:type="dxa"/>
            <w:tcBorders>
              <w:bottom w:val="single" w:sz="4" w:space="0" w:color="auto"/>
            </w:tcBorders>
          </w:tcPr>
          <w:p w14:paraId="63E3C092" w14:textId="034BB73A" w:rsidR="002E4801" w:rsidRDefault="001A6953" w:rsidP="00AB0EED">
            <w:r>
              <w:t>Board comments</w:t>
            </w:r>
          </w:p>
        </w:tc>
        <w:tc>
          <w:tcPr>
            <w:tcW w:w="2970" w:type="dxa"/>
            <w:tcBorders>
              <w:bottom w:val="single" w:sz="4" w:space="0" w:color="auto"/>
            </w:tcBorders>
          </w:tcPr>
          <w:p w14:paraId="335F8CA3" w14:textId="77777777" w:rsidR="002E4801" w:rsidRDefault="002E4801" w:rsidP="00AB0EED"/>
        </w:tc>
        <w:tc>
          <w:tcPr>
            <w:tcW w:w="2705" w:type="dxa"/>
            <w:tcBorders>
              <w:bottom w:val="single" w:sz="4" w:space="0" w:color="auto"/>
            </w:tcBorders>
          </w:tcPr>
          <w:p w14:paraId="7C0C37EB" w14:textId="77777777" w:rsidR="002E4801" w:rsidRDefault="002E4801" w:rsidP="00AB0EED"/>
        </w:tc>
      </w:tr>
      <w:tr w:rsidR="00503AEF" w14:paraId="3A86CE32" w14:textId="7BCA1D4A" w:rsidTr="00503AEF">
        <w:tc>
          <w:tcPr>
            <w:tcW w:w="442" w:type="dxa"/>
            <w:tcBorders>
              <w:bottom w:val="single" w:sz="4" w:space="0" w:color="auto"/>
            </w:tcBorders>
          </w:tcPr>
          <w:p w14:paraId="1BF2011A"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02F76494" w14:textId="247AF411" w:rsidR="002E4801" w:rsidRPr="003E4817" w:rsidRDefault="002E4801" w:rsidP="00AB0EED">
            <w:r w:rsidRPr="00642FDB">
              <w:t>The text about diversity was modified, and the mention to the 3 communities that ICANN serves was removed. I do not support that change. It is very important that the diversity focus also applies to the communities ICANN serves.</w:t>
            </w:r>
          </w:p>
        </w:tc>
        <w:tc>
          <w:tcPr>
            <w:tcW w:w="2070" w:type="dxa"/>
            <w:tcBorders>
              <w:bottom w:val="single" w:sz="4" w:space="0" w:color="auto"/>
            </w:tcBorders>
          </w:tcPr>
          <w:p w14:paraId="67DA3DEE" w14:textId="02A82670" w:rsidR="002E4801" w:rsidRDefault="008A63D9" w:rsidP="00AB0EED">
            <w:r w:rsidRPr="00483579">
              <w:t>Sylvia Cadena</w:t>
            </w:r>
            <w:r>
              <w:t xml:space="preserve"> Comment</w:t>
            </w:r>
          </w:p>
        </w:tc>
        <w:tc>
          <w:tcPr>
            <w:tcW w:w="2970" w:type="dxa"/>
            <w:tcBorders>
              <w:bottom w:val="single" w:sz="4" w:space="0" w:color="auto"/>
            </w:tcBorders>
          </w:tcPr>
          <w:p w14:paraId="17870643" w14:textId="77777777" w:rsidR="002E4801" w:rsidRDefault="002E4801" w:rsidP="00AB0EED"/>
        </w:tc>
        <w:tc>
          <w:tcPr>
            <w:tcW w:w="2705" w:type="dxa"/>
            <w:tcBorders>
              <w:bottom w:val="single" w:sz="4" w:space="0" w:color="auto"/>
            </w:tcBorders>
          </w:tcPr>
          <w:p w14:paraId="13D2A7E1" w14:textId="77777777" w:rsidR="002E4801" w:rsidRDefault="002E4801" w:rsidP="00AB0EED"/>
        </w:tc>
      </w:tr>
      <w:tr w:rsidR="00503AEF" w14:paraId="1D9AA20A" w14:textId="137F304B" w:rsidTr="00503AEF">
        <w:tc>
          <w:tcPr>
            <w:tcW w:w="442" w:type="dxa"/>
            <w:tcBorders>
              <w:bottom w:val="single" w:sz="4" w:space="0" w:color="auto"/>
            </w:tcBorders>
          </w:tcPr>
          <w:p w14:paraId="03C41160"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13DB4574" w14:textId="582991E5" w:rsidR="002E4801" w:rsidRPr="00642FDB" w:rsidRDefault="002E4801" w:rsidP="00AB0EED">
            <w:r w:rsidRPr="000C4DD3">
              <w:t>The Board recommends that the language be removed from diversity section that touches upon diversity of the ultimate recipients of the proceeds.  This language appears to be out of scope for the Draft Charter, in that it suggests limitations for the design and recipients that should be left to the determination of the CCWG.</w:t>
            </w:r>
          </w:p>
        </w:tc>
        <w:tc>
          <w:tcPr>
            <w:tcW w:w="2070" w:type="dxa"/>
            <w:tcBorders>
              <w:bottom w:val="single" w:sz="4" w:space="0" w:color="auto"/>
            </w:tcBorders>
          </w:tcPr>
          <w:p w14:paraId="5E0421BF" w14:textId="0AC0CD31" w:rsidR="002E4801" w:rsidRDefault="001A6953" w:rsidP="00AB0EED">
            <w:r>
              <w:t>Board comments</w:t>
            </w:r>
          </w:p>
        </w:tc>
        <w:tc>
          <w:tcPr>
            <w:tcW w:w="2970" w:type="dxa"/>
            <w:tcBorders>
              <w:bottom w:val="single" w:sz="4" w:space="0" w:color="auto"/>
            </w:tcBorders>
          </w:tcPr>
          <w:p w14:paraId="5F8F757A" w14:textId="77777777" w:rsidR="002E4801" w:rsidRDefault="002E4801" w:rsidP="00AB0EED"/>
        </w:tc>
        <w:tc>
          <w:tcPr>
            <w:tcW w:w="2705" w:type="dxa"/>
            <w:tcBorders>
              <w:bottom w:val="single" w:sz="4" w:space="0" w:color="auto"/>
            </w:tcBorders>
          </w:tcPr>
          <w:p w14:paraId="116C60A6" w14:textId="77777777" w:rsidR="002E4801" w:rsidRDefault="002E4801" w:rsidP="00AB0EED"/>
        </w:tc>
      </w:tr>
      <w:tr w:rsidR="00503AEF" w14:paraId="5F746C82" w14:textId="05C48B03" w:rsidTr="00503AEF">
        <w:tc>
          <w:tcPr>
            <w:tcW w:w="442" w:type="dxa"/>
            <w:tcBorders>
              <w:bottom w:val="single" w:sz="4" w:space="0" w:color="auto"/>
            </w:tcBorders>
          </w:tcPr>
          <w:p w14:paraId="6637325D"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6E940501" w14:textId="177B4BF4" w:rsidR="002E4801" w:rsidRPr="00642FDB" w:rsidRDefault="002E4801" w:rsidP="00AB0EED">
            <w:r w:rsidRPr="001B3520">
              <w:t>The Board recommends to the DT that the Charter should include specific direction to the CCWG to develop or identify a Governance Policy to be used to guide the distribution of the proceeds. The Board also recommends that specific measures of success should be considered for the reporting on the use of the proceeds.</w:t>
            </w:r>
          </w:p>
        </w:tc>
        <w:tc>
          <w:tcPr>
            <w:tcW w:w="2070" w:type="dxa"/>
            <w:tcBorders>
              <w:bottom w:val="single" w:sz="4" w:space="0" w:color="auto"/>
            </w:tcBorders>
          </w:tcPr>
          <w:p w14:paraId="3F90F4CB" w14:textId="218C8F38" w:rsidR="002E4801" w:rsidRDefault="001A6953" w:rsidP="00AB0EED">
            <w:r>
              <w:t>Board comments</w:t>
            </w:r>
          </w:p>
        </w:tc>
        <w:tc>
          <w:tcPr>
            <w:tcW w:w="2970" w:type="dxa"/>
            <w:tcBorders>
              <w:bottom w:val="single" w:sz="4" w:space="0" w:color="auto"/>
            </w:tcBorders>
          </w:tcPr>
          <w:p w14:paraId="370BEC49" w14:textId="77777777" w:rsidR="002E4801" w:rsidRDefault="002E4801" w:rsidP="00AB0EED"/>
        </w:tc>
        <w:tc>
          <w:tcPr>
            <w:tcW w:w="2705" w:type="dxa"/>
            <w:tcBorders>
              <w:bottom w:val="single" w:sz="4" w:space="0" w:color="auto"/>
            </w:tcBorders>
          </w:tcPr>
          <w:p w14:paraId="6015A93C" w14:textId="77777777" w:rsidR="002E4801" w:rsidRDefault="002E4801" w:rsidP="00AB0EED"/>
        </w:tc>
      </w:tr>
      <w:tr w:rsidR="008E2BCB" w14:paraId="4FD81F5E" w14:textId="3A0A5703" w:rsidTr="00503AEF">
        <w:tc>
          <w:tcPr>
            <w:tcW w:w="442" w:type="dxa"/>
            <w:shd w:val="clear" w:color="auto" w:fill="D0CECE" w:themeFill="background2" w:themeFillShade="E6"/>
          </w:tcPr>
          <w:p w14:paraId="42842507" w14:textId="77777777" w:rsidR="002E4801" w:rsidRPr="00AA29C6" w:rsidRDefault="002E4801">
            <w:pPr>
              <w:rPr>
                <w:b/>
                <w:i/>
              </w:rPr>
            </w:pPr>
          </w:p>
        </w:tc>
        <w:tc>
          <w:tcPr>
            <w:tcW w:w="7833" w:type="dxa"/>
            <w:gridSpan w:val="2"/>
            <w:shd w:val="clear" w:color="auto" w:fill="D0CECE" w:themeFill="background2" w:themeFillShade="E6"/>
          </w:tcPr>
          <w:p w14:paraId="092AF3D0" w14:textId="2E20FC84" w:rsidR="002E4801" w:rsidRPr="0053706F" w:rsidRDefault="002E4801" w:rsidP="00AB0EED">
            <w:pPr>
              <w:rPr>
                <w:b/>
                <w:i/>
              </w:rPr>
            </w:pPr>
            <w:r w:rsidRPr="00AA29C6">
              <w:rPr>
                <w:b/>
                <w:i/>
              </w:rPr>
              <w:t>Section II:  Problem Statement, Goals &amp; Objectives, and Scope</w:t>
            </w:r>
          </w:p>
        </w:tc>
        <w:tc>
          <w:tcPr>
            <w:tcW w:w="2970" w:type="dxa"/>
            <w:shd w:val="clear" w:color="auto" w:fill="D0CECE" w:themeFill="background2" w:themeFillShade="E6"/>
          </w:tcPr>
          <w:p w14:paraId="77332879" w14:textId="77777777" w:rsidR="002E4801" w:rsidRPr="00AA29C6" w:rsidRDefault="002E4801" w:rsidP="00AB0EED">
            <w:pPr>
              <w:rPr>
                <w:b/>
                <w:i/>
              </w:rPr>
            </w:pPr>
          </w:p>
        </w:tc>
        <w:tc>
          <w:tcPr>
            <w:tcW w:w="2705" w:type="dxa"/>
            <w:shd w:val="clear" w:color="auto" w:fill="D0CECE" w:themeFill="background2" w:themeFillShade="E6"/>
          </w:tcPr>
          <w:p w14:paraId="39B8DD5D" w14:textId="77777777" w:rsidR="002E4801" w:rsidRPr="00AA29C6" w:rsidRDefault="002E4801" w:rsidP="00AB0EED">
            <w:pPr>
              <w:rPr>
                <w:b/>
                <w:i/>
              </w:rPr>
            </w:pPr>
          </w:p>
        </w:tc>
      </w:tr>
      <w:tr w:rsidR="008E2BCB" w14:paraId="71AB7372" w14:textId="0411195F" w:rsidTr="00503AEF">
        <w:tc>
          <w:tcPr>
            <w:tcW w:w="442" w:type="dxa"/>
            <w:shd w:val="clear" w:color="auto" w:fill="D0CECE" w:themeFill="background2" w:themeFillShade="E6"/>
          </w:tcPr>
          <w:p w14:paraId="60B1FB0D" w14:textId="77777777" w:rsidR="002E4801" w:rsidRDefault="002E4801">
            <w:pPr>
              <w:rPr>
                <w:b/>
              </w:rPr>
            </w:pPr>
          </w:p>
        </w:tc>
        <w:tc>
          <w:tcPr>
            <w:tcW w:w="7833" w:type="dxa"/>
            <w:gridSpan w:val="2"/>
            <w:shd w:val="clear" w:color="auto" w:fill="D0CECE" w:themeFill="background2" w:themeFillShade="E6"/>
          </w:tcPr>
          <w:p w14:paraId="1AC0CDFF" w14:textId="628D458C" w:rsidR="002E4801" w:rsidRPr="0053706F" w:rsidRDefault="002E4801" w:rsidP="00AB0EED">
            <w:pPr>
              <w:rPr>
                <w:b/>
                <w:i/>
              </w:rPr>
            </w:pPr>
            <w:r>
              <w:rPr>
                <w:b/>
              </w:rPr>
              <w:t>Sub-Section</w:t>
            </w:r>
            <w:r w:rsidRPr="00A1133C">
              <w:rPr>
                <w:b/>
              </w:rPr>
              <w:t xml:space="preserve">: </w:t>
            </w:r>
            <w:r>
              <w:rPr>
                <w:b/>
              </w:rPr>
              <w:t>Scope (Conflict of Interest)</w:t>
            </w:r>
          </w:p>
        </w:tc>
        <w:tc>
          <w:tcPr>
            <w:tcW w:w="2970" w:type="dxa"/>
            <w:shd w:val="clear" w:color="auto" w:fill="D0CECE" w:themeFill="background2" w:themeFillShade="E6"/>
          </w:tcPr>
          <w:p w14:paraId="440A67B7" w14:textId="77777777" w:rsidR="002E4801" w:rsidRDefault="002E4801" w:rsidP="00AB0EED">
            <w:pPr>
              <w:rPr>
                <w:b/>
              </w:rPr>
            </w:pPr>
          </w:p>
        </w:tc>
        <w:tc>
          <w:tcPr>
            <w:tcW w:w="2705" w:type="dxa"/>
            <w:shd w:val="clear" w:color="auto" w:fill="D0CECE" w:themeFill="background2" w:themeFillShade="E6"/>
          </w:tcPr>
          <w:p w14:paraId="1F070A29" w14:textId="77777777" w:rsidR="002E4801" w:rsidRDefault="002E4801" w:rsidP="00AB0EED">
            <w:pPr>
              <w:rPr>
                <w:b/>
              </w:rPr>
            </w:pPr>
          </w:p>
        </w:tc>
      </w:tr>
      <w:tr w:rsidR="00503AEF" w14:paraId="57CB8C74" w14:textId="6C1D86A8" w:rsidTr="00503AEF">
        <w:tc>
          <w:tcPr>
            <w:tcW w:w="442" w:type="dxa"/>
          </w:tcPr>
          <w:p w14:paraId="3C07F042" w14:textId="77777777" w:rsidR="00853108" w:rsidRPr="0053706F" w:rsidRDefault="00853108">
            <w:pPr>
              <w:rPr>
                <w:b/>
              </w:rPr>
            </w:pPr>
          </w:p>
        </w:tc>
        <w:tc>
          <w:tcPr>
            <w:tcW w:w="5763" w:type="dxa"/>
          </w:tcPr>
          <w:p w14:paraId="2E9B7FE5" w14:textId="26F910D8" w:rsidR="00853108" w:rsidRPr="0053706F" w:rsidRDefault="00853108" w:rsidP="00AB0EED">
            <w:pPr>
              <w:rPr>
                <w:b/>
                <w:i/>
              </w:rPr>
            </w:pPr>
            <w:r w:rsidRPr="0053706F">
              <w:rPr>
                <w:b/>
              </w:rPr>
              <w:t>Public Comment</w:t>
            </w:r>
          </w:p>
        </w:tc>
        <w:tc>
          <w:tcPr>
            <w:tcW w:w="2070" w:type="dxa"/>
          </w:tcPr>
          <w:p w14:paraId="394CF123" w14:textId="1AE7CD5A" w:rsidR="00853108" w:rsidRPr="0053706F" w:rsidRDefault="00853108" w:rsidP="00AB0EED">
            <w:pPr>
              <w:rPr>
                <w:b/>
                <w:i/>
              </w:rPr>
            </w:pPr>
            <w:r>
              <w:rPr>
                <w:b/>
              </w:rPr>
              <w:t>Source</w:t>
            </w:r>
          </w:p>
        </w:tc>
        <w:tc>
          <w:tcPr>
            <w:tcW w:w="2970" w:type="dxa"/>
          </w:tcPr>
          <w:p w14:paraId="67E401F2" w14:textId="0C6EAA64" w:rsidR="00853108" w:rsidRPr="0053706F" w:rsidRDefault="00853108" w:rsidP="00AB0EED">
            <w:pPr>
              <w:rPr>
                <w:b/>
              </w:rPr>
            </w:pPr>
            <w:r w:rsidRPr="0053706F">
              <w:rPr>
                <w:b/>
              </w:rPr>
              <w:t>DT View</w:t>
            </w:r>
          </w:p>
        </w:tc>
        <w:tc>
          <w:tcPr>
            <w:tcW w:w="2705" w:type="dxa"/>
          </w:tcPr>
          <w:p w14:paraId="43C3CAF9" w14:textId="0C8B82D1" w:rsidR="00853108" w:rsidRDefault="00853108" w:rsidP="00AB0EED">
            <w:pPr>
              <w:rPr>
                <w:b/>
              </w:rPr>
            </w:pPr>
            <w:r>
              <w:rPr>
                <w:b/>
              </w:rPr>
              <w:t>Action taken</w:t>
            </w:r>
          </w:p>
        </w:tc>
      </w:tr>
      <w:tr w:rsidR="00503AEF" w14:paraId="07D7D138" w14:textId="494E9AAF" w:rsidTr="00503AEF">
        <w:tc>
          <w:tcPr>
            <w:tcW w:w="442" w:type="dxa"/>
          </w:tcPr>
          <w:p w14:paraId="5DEB9EFF" w14:textId="77777777" w:rsidR="002E4801" w:rsidRPr="00A750D8" w:rsidRDefault="002E4801" w:rsidP="0069607D">
            <w:pPr>
              <w:pStyle w:val="ListParagraph"/>
              <w:numPr>
                <w:ilvl w:val="0"/>
                <w:numId w:val="1"/>
              </w:numPr>
              <w:jc w:val="both"/>
            </w:pPr>
          </w:p>
        </w:tc>
        <w:tc>
          <w:tcPr>
            <w:tcW w:w="5763" w:type="dxa"/>
          </w:tcPr>
          <w:p w14:paraId="4BF479AB" w14:textId="1798D9E3" w:rsidR="002E4801" w:rsidRPr="00A750D8" w:rsidRDefault="002E4801" w:rsidP="00AB0EED">
            <w:r w:rsidRPr="00A750D8">
              <w:t>How to avoid conflict of interest? Is SOI sufficient?</w:t>
            </w:r>
          </w:p>
        </w:tc>
        <w:tc>
          <w:tcPr>
            <w:tcW w:w="2070" w:type="dxa"/>
          </w:tcPr>
          <w:p w14:paraId="3DA541BD" w14:textId="5B4322F5" w:rsidR="002E4801" w:rsidRPr="0053706F" w:rsidRDefault="001A6953" w:rsidP="00AB0EED">
            <w:pPr>
              <w:rPr>
                <w:b/>
                <w:i/>
              </w:rPr>
            </w:pPr>
            <w:r>
              <w:t>Helsinki Public Comment</w:t>
            </w:r>
          </w:p>
        </w:tc>
        <w:tc>
          <w:tcPr>
            <w:tcW w:w="2970" w:type="dxa"/>
          </w:tcPr>
          <w:p w14:paraId="70F097A8" w14:textId="77777777" w:rsidR="002E4801" w:rsidRPr="0053706F" w:rsidRDefault="002E4801" w:rsidP="00AB0EED">
            <w:pPr>
              <w:rPr>
                <w:b/>
                <w:i/>
              </w:rPr>
            </w:pPr>
          </w:p>
        </w:tc>
        <w:tc>
          <w:tcPr>
            <w:tcW w:w="2705" w:type="dxa"/>
          </w:tcPr>
          <w:p w14:paraId="6790F873" w14:textId="77777777" w:rsidR="002E4801" w:rsidRPr="0053706F" w:rsidRDefault="002E4801" w:rsidP="00AB0EED">
            <w:pPr>
              <w:rPr>
                <w:b/>
                <w:i/>
              </w:rPr>
            </w:pPr>
          </w:p>
        </w:tc>
      </w:tr>
      <w:tr w:rsidR="00503AEF" w14:paraId="6FD3E7BF" w14:textId="3F983B8E" w:rsidTr="00503AEF">
        <w:tc>
          <w:tcPr>
            <w:tcW w:w="442" w:type="dxa"/>
          </w:tcPr>
          <w:p w14:paraId="27ECD2C0" w14:textId="77777777" w:rsidR="002E4801" w:rsidRPr="00A750D8" w:rsidRDefault="002E4801" w:rsidP="0069607D">
            <w:pPr>
              <w:pStyle w:val="ListParagraph"/>
              <w:numPr>
                <w:ilvl w:val="0"/>
                <w:numId w:val="1"/>
              </w:numPr>
              <w:jc w:val="both"/>
            </w:pPr>
          </w:p>
        </w:tc>
        <w:tc>
          <w:tcPr>
            <w:tcW w:w="5763" w:type="dxa"/>
          </w:tcPr>
          <w:p w14:paraId="75B2BAA6" w14:textId="333F8C0E" w:rsidR="002E4801" w:rsidRPr="00A750D8" w:rsidRDefault="002E4801" w:rsidP="00AB0EE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070" w:type="dxa"/>
          </w:tcPr>
          <w:p w14:paraId="579AFC75" w14:textId="39A0FC87" w:rsidR="002E4801" w:rsidRPr="0053706F" w:rsidRDefault="001A6953" w:rsidP="00AB0EED">
            <w:pPr>
              <w:rPr>
                <w:b/>
                <w:i/>
              </w:rPr>
            </w:pPr>
            <w:r>
              <w:t>Helsinki Public Comment</w:t>
            </w:r>
          </w:p>
        </w:tc>
        <w:tc>
          <w:tcPr>
            <w:tcW w:w="2970" w:type="dxa"/>
          </w:tcPr>
          <w:p w14:paraId="14606173" w14:textId="77777777" w:rsidR="002E4801" w:rsidRPr="0053706F" w:rsidRDefault="002E4801" w:rsidP="00AB0EED">
            <w:pPr>
              <w:rPr>
                <w:b/>
                <w:i/>
              </w:rPr>
            </w:pPr>
          </w:p>
        </w:tc>
        <w:tc>
          <w:tcPr>
            <w:tcW w:w="2705" w:type="dxa"/>
          </w:tcPr>
          <w:p w14:paraId="4E318004" w14:textId="77777777" w:rsidR="002E4801" w:rsidRPr="0053706F" w:rsidRDefault="002E4801" w:rsidP="00AB0EED">
            <w:pPr>
              <w:rPr>
                <w:b/>
                <w:i/>
              </w:rPr>
            </w:pPr>
          </w:p>
        </w:tc>
      </w:tr>
      <w:tr w:rsidR="00503AEF" w14:paraId="7AF9BF98" w14:textId="5C08F397" w:rsidTr="00503AEF">
        <w:tc>
          <w:tcPr>
            <w:tcW w:w="442" w:type="dxa"/>
          </w:tcPr>
          <w:p w14:paraId="7F621660" w14:textId="77777777" w:rsidR="002E4801" w:rsidRPr="00A750D8" w:rsidRDefault="002E4801" w:rsidP="0069607D">
            <w:pPr>
              <w:pStyle w:val="ListParagraph"/>
              <w:numPr>
                <w:ilvl w:val="0"/>
                <w:numId w:val="1"/>
              </w:numPr>
              <w:jc w:val="both"/>
            </w:pPr>
          </w:p>
        </w:tc>
        <w:tc>
          <w:tcPr>
            <w:tcW w:w="5763" w:type="dxa"/>
          </w:tcPr>
          <w:p w14:paraId="7BFEBABF" w14:textId="435DC52D" w:rsidR="002E4801" w:rsidRPr="00A750D8" w:rsidRDefault="002E4801" w:rsidP="00AB0EED">
            <w:r w:rsidRPr="00A750D8">
              <w:t>If you apply too strict COI, no one will basically participate. Need specific criteria and consensus around those criteria.</w:t>
            </w:r>
          </w:p>
        </w:tc>
        <w:tc>
          <w:tcPr>
            <w:tcW w:w="2070" w:type="dxa"/>
          </w:tcPr>
          <w:p w14:paraId="1309D33E" w14:textId="7004939E" w:rsidR="002E4801" w:rsidRPr="0053706F" w:rsidRDefault="001A6953" w:rsidP="00AB0EED">
            <w:pPr>
              <w:rPr>
                <w:b/>
                <w:i/>
              </w:rPr>
            </w:pPr>
            <w:r>
              <w:t>Helsinki Public Comment</w:t>
            </w:r>
          </w:p>
        </w:tc>
        <w:tc>
          <w:tcPr>
            <w:tcW w:w="2970" w:type="dxa"/>
          </w:tcPr>
          <w:p w14:paraId="6C942CF7" w14:textId="77777777" w:rsidR="002E4801" w:rsidRPr="0053706F" w:rsidRDefault="002E4801" w:rsidP="00AB0EED">
            <w:pPr>
              <w:rPr>
                <w:b/>
                <w:i/>
              </w:rPr>
            </w:pPr>
          </w:p>
        </w:tc>
        <w:tc>
          <w:tcPr>
            <w:tcW w:w="2705" w:type="dxa"/>
          </w:tcPr>
          <w:p w14:paraId="5E75D566" w14:textId="77777777" w:rsidR="002E4801" w:rsidRPr="0053706F" w:rsidRDefault="002E4801" w:rsidP="00AB0EED">
            <w:pPr>
              <w:rPr>
                <w:b/>
                <w:i/>
              </w:rPr>
            </w:pPr>
          </w:p>
        </w:tc>
      </w:tr>
      <w:tr w:rsidR="00503AEF" w14:paraId="7E4EFD95" w14:textId="69889952" w:rsidTr="00503AEF">
        <w:tc>
          <w:tcPr>
            <w:tcW w:w="442" w:type="dxa"/>
          </w:tcPr>
          <w:p w14:paraId="5E158114" w14:textId="77777777" w:rsidR="002E4801" w:rsidRPr="00A750D8" w:rsidRDefault="002E4801" w:rsidP="0069607D">
            <w:pPr>
              <w:pStyle w:val="ListParagraph"/>
              <w:numPr>
                <w:ilvl w:val="0"/>
                <w:numId w:val="1"/>
              </w:numPr>
              <w:jc w:val="both"/>
            </w:pPr>
          </w:p>
        </w:tc>
        <w:tc>
          <w:tcPr>
            <w:tcW w:w="5763" w:type="dxa"/>
          </w:tcPr>
          <w:p w14:paraId="07D0D662" w14:textId="71016891" w:rsidR="002E4801" w:rsidRPr="00A750D8" w:rsidRDefault="002E4801" w:rsidP="00AB0EED">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070" w:type="dxa"/>
          </w:tcPr>
          <w:p w14:paraId="71BD1802" w14:textId="7AA006A9" w:rsidR="002E4801" w:rsidRPr="0053706F" w:rsidRDefault="001A6953" w:rsidP="00AB0EED">
            <w:pPr>
              <w:rPr>
                <w:b/>
                <w:i/>
              </w:rPr>
            </w:pPr>
            <w:r>
              <w:t>Helsinki Public Comment</w:t>
            </w:r>
          </w:p>
        </w:tc>
        <w:tc>
          <w:tcPr>
            <w:tcW w:w="2970" w:type="dxa"/>
          </w:tcPr>
          <w:p w14:paraId="5E16CE3B" w14:textId="77777777" w:rsidR="002E4801" w:rsidRPr="0053706F" w:rsidRDefault="002E4801" w:rsidP="00AB0EED">
            <w:pPr>
              <w:rPr>
                <w:b/>
                <w:i/>
              </w:rPr>
            </w:pPr>
          </w:p>
        </w:tc>
        <w:tc>
          <w:tcPr>
            <w:tcW w:w="2705" w:type="dxa"/>
          </w:tcPr>
          <w:p w14:paraId="386ED4E0" w14:textId="77777777" w:rsidR="002E4801" w:rsidRPr="0053706F" w:rsidRDefault="002E4801" w:rsidP="00AB0EED">
            <w:pPr>
              <w:rPr>
                <w:b/>
                <w:i/>
              </w:rPr>
            </w:pPr>
          </w:p>
        </w:tc>
      </w:tr>
      <w:tr w:rsidR="00503AEF" w14:paraId="6EADD827" w14:textId="0EE97968" w:rsidTr="00503AEF">
        <w:tc>
          <w:tcPr>
            <w:tcW w:w="442" w:type="dxa"/>
            <w:tcBorders>
              <w:bottom w:val="single" w:sz="4" w:space="0" w:color="auto"/>
            </w:tcBorders>
          </w:tcPr>
          <w:p w14:paraId="4AA05F07" w14:textId="77777777" w:rsidR="002E4801" w:rsidRPr="00A750D8" w:rsidRDefault="002E4801" w:rsidP="0069607D">
            <w:pPr>
              <w:pStyle w:val="ListParagraph"/>
              <w:numPr>
                <w:ilvl w:val="0"/>
                <w:numId w:val="1"/>
              </w:numPr>
              <w:jc w:val="both"/>
            </w:pPr>
          </w:p>
        </w:tc>
        <w:tc>
          <w:tcPr>
            <w:tcW w:w="5763" w:type="dxa"/>
            <w:tcBorders>
              <w:bottom w:val="single" w:sz="4" w:space="0" w:color="auto"/>
            </w:tcBorders>
          </w:tcPr>
          <w:p w14:paraId="6CCEDA23" w14:textId="7A05C696" w:rsidR="002E4801" w:rsidRPr="00A750D8" w:rsidRDefault="002E4801" w:rsidP="00AB0EED">
            <w:r w:rsidRPr="00A750D8">
              <w:t>COI could happen at different levels - CCWG members/participants, those who will make decisions and those who will use the funds.</w:t>
            </w:r>
          </w:p>
        </w:tc>
        <w:tc>
          <w:tcPr>
            <w:tcW w:w="2070" w:type="dxa"/>
            <w:tcBorders>
              <w:bottom w:val="single" w:sz="4" w:space="0" w:color="auto"/>
            </w:tcBorders>
          </w:tcPr>
          <w:p w14:paraId="56935EEF" w14:textId="682C81BF" w:rsidR="002E4801" w:rsidRPr="0053706F" w:rsidRDefault="001A6953" w:rsidP="00AB0EED">
            <w:pPr>
              <w:rPr>
                <w:b/>
                <w:i/>
              </w:rPr>
            </w:pPr>
            <w:r>
              <w:t>Helsinki Public Comment</w:t>
            </w:r>
          </w:p>
        </w:tc>
        <w:tc>
          <w:tcPr>
            <w:tcW w:w="2970" w:type="dxa"/>
            <w:tcBorders>
              <w:bottom w:val="single" w:sz="4" w:space="0" w:color="auto"/>
            </w:tcBorders>
          </w:tcPr>
          <w:p w14:paraId="16FC4366" w14:textId="77777777" w:rsidR="002E4801" w:rsidRPr="0053706F" w:rsidRDefault="002E4801" w:rsidP="00AB0EED">
            <w:pPr>
              <w:rPr>
                <w:b/>
                <w:i/>
              </w:rPr>
            </w:pPr>
          </w:p>
        </w:tc>
        <w:tc>
          <w:tcPr>
            <w:tcW w:w="2705" w:type="dxa"/>
            <w:tcBorders>
              <w:bottom w:val="single" w:sz="4" w:space="0" w:color="auto"/>
            </w:tcBorders>
          </w:tcPr>
          <w:p w14:paraId="2DE35111" w14:textId="77777777" w:rsidR="002E4801" w:rsidRPr="0053706F" w:rsidRDefault="002E4801" w:rsidP="00AB0EED">
            <w:pPr>
              <w:rPr>
                <w:b/>
                <w:i/>
              </w:rPr>
            </w:pPr>
          </w:p>
        </w:tc>
      </w:tr>
      <w:tr w:rsidR="00503AEF" w14:paraId="6E920DDE" w14:textId="04A9BB31" w:rsidTr="00503AEF">
        <w:tc>
          <w:tcPr>
            <w:tcW w:w="442" w:type="dxa"/>
            <w:tcBorders>
              <w:bottom w:val="single" w:sz="4" w:space="0" w:color="auto"/>
            </w:tcBorders>
          </w:tcPr>
          <w:p w14:paraId="1BC1E259" w14:textId="77777777" w:rsidR="002E4801" w:rsidRPr="00A750D8" w:rsidRDefault="002E4801" w:rsidP="0069607D">
            <w:pPr>
              <w:pStyle w:val="ListParagraph"/>
              <w:numPr>
                <w:ilvl w:val="0"/>
                <w:numId w:val="1"/>
              </w:numPr>
              <w:jc w:val="both"/>
            </w:pPr>
          </w:p>
        </w:tc>
        <w:tc>
          <w:tcPr>
            <w:tcW w:w="5763" w:type="dxa"/>
            <w:tcBorders>
              <w:bottom w:val="single" w:sz="4" w:space="0" w:color="auto"/>
            </w:tcBorders>
          </w:tcPr>
          <w:p w14:paraId="0A9FF311" w14:textId="1525C950" w:rsidR="002E4801" w:rsidRDefault="002E4801" w:rsidP="00AB0EED">
            <w:r>
              <w:t xml:space="preserve">The Board reconfirms that conflict of interest concerns, and appropriate identification and management of conflicts, is paramount at all levels of the DT, CCWG and ultimate proceed distribution process.  </w:t>
            </w:r>
          </w:p>
          <w:p w14:paraId="353C7AAA" w14:textId="77777777" w:rsidR="002E4801" w:rsidRDefault="002E4801" w:rsidP="00AB0EED"/>
          <w:p w14:paraId="78153843" w14:textId="1F5A627E" w:rsidR="002E4801" w:rsidRPr="00A750D8" w:rsidRDefault="002E4801" w:rsidP="00AB0EED">
            <w:r>
              <w:t>The Board strongly recommends that the following language be reflected in the Charter in order to adhere to high ethical standards and support arms-length transactions in the distribution of the proceeds: No member of the CCWG may be related in any way to prospective applicants for proceeds, and the administrative mechanism for processing applications must include strong rules and enforcement of conflict of interest.  Individuals involved in the CCWG and in the subsequent administrative mechanism must execute a conflict of interest declaration documenting their existing potential involvements and agreement not to be involved in application or direction of the proceeds.</w:t>
            </w:r>
          </w:p>
        </w:tc>
        <w:tc>
          <w:tcPr>
            <w:tcW w:w="2070" w:type="dxa"/>
            <w:tcBorders>
              <w:bottom w:val="single" w:sz="4" w:space="0" w:color="auto"/>
            </w:tcBorders>
          </w:tcPr>
          <w:p w14:paraId="611C4A90" w14:textId="164555E3" w:rsidR="002E4801" w:rsidRPr="0053706F" w:rsidRDefault="001A6953" w:rsidP="00AB0EED">
            <w:pPr>
              <w:rPr>
                <w:b/>
                <w:i/>
              </w:rPr>
            </w:pPr>
            <w:r>
              <w:t>Board comments</w:t>
            </w:r>
          </w:p>
        </w:tc>
        <w:tc>
          <w:tcPr>
            <w:tcW w:w="2970" w:type="dxa"/>
            <w:tcBorders>
              <w:bottom w:val="single" w:sz="4" w:space="0" w:color="auto"/>
            </w:tcBorders>
          </w:tcPr>
          <w:p w14:paraId="156569A1" w14:textId="77777777" w:rsidR="002E4801" w:rsidRPr="0053706F" w:rsidRDefault="002E4801" w:rsidP="00AB0EED">
            <w:pPr>
              <w:rPr>
                <w:b/>
                <w:i/>
              </w:rPr>
            </w:pPr>
          </w:p>
        </w:tc>
        <w:tc>
          <w:tcPr>
            <w:tcW w:w="2705" w:type="dxa"/>
            <w:tcBorders>
              <w:bottom w:val="single" w:sz="4" w:space="0" w:color="auto"/>
            </w:tcBorders>
          </w:tcPr>
          <w:p w14:paraId="7E7EFB3F" w14:textId="77777777" w:rsidR="002E4801" w:rsidRPr="0053706F" w:rsidRDefault="002E4801" w:rsidP="00AB0EED">
            <w:pPr>
              <w:rPr>
                <w:b/>
                <w:i/>
              </w:rPr>
            </w:pPr>
          </w:p>
        </w:tc>
      </w:tr>
      <w:tr w:rsidR="008E2BCB" w14:paraId="4DDDEE25" w14:textId="6879A5C8" w:rsidTr="00503AEF">
        <w:tc>
          <w:tcPr>
            <w:tcW w:w="442" w:type="dxa"/>
            <w:shd w:val="clear" w:color="auto" w:fill="D0CECE" w:themeFill="background2" w:themeFillShade="E6"/>
          </w:tcPr>
          <w:p w14:paraId="3764785E" w14:textId="77777777" w:rsidR="002E4801" w:rsidRPr="0053706F" w:rsidRDefault="002E4801">
            <w:pPr>
              <w:rPr>
                <w:b/>
                <w:i/>
              </w:rPr>
            </w:pPr>
          </w:p>
        </w:tc>
        <w:tc>
          <w:tcPr>
            <w:tcW w:w="7833" w:type="dxa"/>
            <w:gridSpan w:val="2"/>
            <w:shd w:val="clear" w:color="auto" w:fill="D0CECE" w:themeFill="background2" w:themeFillShade="E6"/>
          </w:tcPr>
          <w:p w14:paraId="66405A88" w14:textId="113EF5B2" w:rsidR="002E4801" w:rsidRPr="0053706F" w:rsidRDefault="002E4801" w:rsidP="00AB0EED">
            <w:pPr>
              <w:rPr>
                <w:b/>
                <w:i/>
              </w:rPr>
            </w:pPr>
            <w:r w:rsidRPr="0053706F">
              <w:rPr>
                <w:b/>
                <w:i/>
              </w:rPr>
              <w:t>Section IV:  Membership, Staffing, and Organization</w:t>
            </w:r>
          </w:p>
        </w:tc>
        <w:tc>
          <w:tcPr>
            <w:tcW w:w="2970" w:type="dxa"/>
            <w:shd w:val="clear" w:color="auto" w:fill="D0CECE" w:themeFill="background2" w:themeFillShade="E6"/>
          </w:tcPr>
          <w:p w14:paraId="26E9F3A8" w14:textId="77777777" w:rsidR="002E4801" w:rsidRPr="0053706F" w:rsidRDefault="002E4801" w:rsidP="00AB0EED">
            <w:pPr>
              <w:rPr>
                <w:b/>
                <w:i/>
              </w:rPr>
            </w:pPr>
          </w:p>
        </w:tc>
        <w:tc>
          <w:tcPr>
            <w:tcW w:w="2705" w:type="dxa"/>
            <w:shd w:val="clear" w:color="auto" w:fill="D0CECE" w:themeFill="background2" w:themeFillShade="E6"/>
          </w:tcPr>
          <w:p w14:paraId="1DD9DA47" w14:textId="77777777" w:rsidR="002E4801" w:rsidRPr="0053706F" w:rsidRDefault="002E4801" w:rsidP="00AB0EED">
            <w:pPr>
              <w:rPr>
                <w:b/>
                <w:i/>
              </w:rPr>
            </w:pPr>
          </w:p>
        </w:tc>
      </w:tr>
      <w:tr w:rsidR="008E2BCB" w14:paraId="12A7FF36" w14:textId="4997897E" w:rsidTr="00503AEF">
        <w:tc>
          <w:tcPr>
            <w:tcW w:w="442" w:type="dxa"/>
            <w:shd w:val="clear" w:color="auto" w:fill="D0CECE" w:themeFill="background2" w:themeFillShade="E6"/>
          </w:tcPr>
          <w:p w14:paraId="267CA03F" w14:textId="77777777" w:rsidR="002E4801" w:rsidRDefault="002E4801">
            <w:pPr>
              <w:rPr>
                <w:b/>
              </w:rPr>
            </w:pPr>
          </w:p>
        </w:tc>
        <w:tc>
          <w:tcPr>
            <w:tcW w:w="7833" w:type="dxa"/>
            <w:gridSpan w:val="2"/>
            <w:shd w:val="clear" w:color="auto" w:fill="D0CECE" w:themeFill="background2" w:themeFillShade="E6"/>
          </w:tcPr>
          <w:p w14:paraId="7BE1708E" w14:textId="246A8BA9" w:rsidR="002E4801" w:rsidRPr="0053706F" w:rsidRDefault="002E4801" w:rsidP="00AB0EED">
            <w:pPr>
              <w:rPr>
                <w:b/>
              </w:rPr>
            </w:pPr>
            <w:r>
              <w:rPr>
                <w:b/>
              </w:rPr>
              <w:t>Sub-Section: Membership Criteria</w:t>
            </w:r>
          </w:p>
        </w:tc>
        <w:tc>
          <w:tcPr>
            <w:tcW w:w="2970" w:type="dxa"/>
            <w:shd w:val="clear" w:color="auto" w:fill="D0CECE" w:themeFill="background2" w:themeFillShade="E6"/>
          </w:tcPr>
          <w:p w14:paraId="2E416979" w14:textId="77777777" w:rsidR="002E4801" w:rsidRDefault="002E4801" w:rsidP="00AB0EED">
            <w:pPr>
              <w:rPr>
                <w:b/>
              </w:rPr>
            </w:pPr>
          </w:p>
        </w:tc>
        <w:tc>
          <w:tcPr>
            <w:tcW w:w="2705" w:type="dxa"/>
            <w:shd w:val="clear" w:color="auto" w:fill="D0CECE" w:themeFill="background2" w:themeFillShade="E6"/>
          </w:tcPr>
          <w:p w14:paraId="55828D59" w14:textId="77777777" w:rsidR="002E4801" w:rsidRDefault="002E4801" w:rsidP="00AB0EED">
            <w:pPr>
              <w:rPr>
                <w:b/>
              </w:rPr>
            </w:pPr>
          </w:p>
        </w:tc>
      </w:tr>
      <w:tr w:rsidR="00503AEF" w14:paraId="3EF1215C" w14:textId="0C7582BA" w:rsidTr="00503AEF">
        <w:tc>
          <w:tcPr>
            <w:tcW w:w="442" w:type="dxa"/>
          </w:tcPr>
          <w:p w14:paraId="59A1E57A" w14:textId="77777777" w:rsidR="00853108" w:rsidRPr="0053706F" w:rsidRDefault="00853108">
            <w:pPr>
              <w:rPr>
                <w:b/>
              </w:rPr>
            </w:pPr>
          </w:p>
        </w:tc>
        <w:tc>
          <w:tcPr>
            <w:tcW w:w="5763" w:type="dxa"/>
          </w:tcPr>
          <w:p w14:paraId="5456280A" w14:textId="161C602A" w:rsidR="00853108" w:rsidRDefault="00853108" w:rsidP="00AB0EED">
            <w:r w:rsidRPr="0053706F">
              <w:rPr>
                <w:b/>
              </w:rPr>
              <w:t>Public Comment</w:t>
            </w:r>
          </w:p>
        </w:tc>
        <w:tc>
          <w:tcPr>
            <w:tcW w:w="2070" w:type="dxa"/>
          </w:tcPr>
          <w:p w14:paraId="5533CA9F" w14:textId="1D54E86D" w:rsidR="00853108" w:rsidRDefault="00853108" w:rsidP="00AB0EED">
            <w:r>
              <w:rPr>
                <w:b/>
              </w:rPr>
              <w:t>Source</w:t>
            </w:r>
          </w:p>
        </w:tc>
        <w:tc>
          <w:tcPr>
            <w:tcW w:w="2970" w:type="dxa"/>
          </w:tcPr>
          <w:p w14:paraId="7E41E9CD" w14:textId="16C0EB17" w:rsidR="00853108" w:rsidRPr="0053706F" w:rsidRDefault="00853108" w:rsidP="00AB0EED">
            <w:pPr>
              <w:rPr>
                <w:b/>
              </w:rPr>
            </w:pPr>
            <w:r w:rsidRPr="0053706F">
              <w:rPr>
                <w:b/>
              </w:rPr>
              <w:t>DT View</w:t>
            </w:r>
          </w:p>
        </w:tc>
        <w:tc>
          <w:tcPr>
            <w:tcW w:w="2705" w:type="dxa"/>
          </w:tcPr>
          <w:p w14:paraId="1324C28F" w14:textId="0207862F" w:rsidR="00853108" w:rsidRDefault="00853108" w:rsidP="00AB0EED">
            <w:pPr>
              <w:rPr>
                <w:b/>
              </w:rPr>
            </w:pPr>
            <w:r>
              <w:rPr>
                <w:b/>
              </w:rPr>
              <w:t>Action taken</w:t>
            </w:r>
          </w:p>
        </w:tc>
      </w:tr>
      <w:tr w:rsidR="00503AEF" w14:paraId="65574F45" w14:textId="0448A924" w:rsidTr="00503AEF">
        <w:tc>
          <w:tcPr>
            <w:tcW w:w="442" w:type="dxa"/>
          </w:tcPr>
          <w:p w14:paraId="566274A4" w14:textId="77777777" w:rsidR="002E4801" w:rsidRPr="0053706F" w:rsidRDefault="002E4801" w:rsidP="0069607D">
            <w:pPr>
              <w:pStyle w:val="ListParagraph"/>
              <w:numPr>
                <w:ilvl w:val="0"/>
                <w:numId w:val="1"/>
              </w:numPr>
              <w:jc w:val="both"/>
            </w:pPr>
          </w:p>
        </w:tc>
        <w:tc>
          <w:tcPr>
            <w:tcW w:w="5763" w:type="dxa"/>
          </w:tcPr>
          <w:p w14:paraId="06A719AB" w14:textId="32ED5855" w:rsidR="002E4801" w:rsidRDefault="002E4801" w:rsidP="00AB0EED">
            <w:r w:rsidRPr="0053706F">
              <w:t>Many outside of ICANN have experience with allocation of funds - CCWG may benefit from that expertise. The charter deals with this issue, incl. possible expert participation.</w:t>
            </w:r>
          </w:p>
        </w:tc>
        <w:tc>
          <w:tcPr>
            <w:tcW w:w="2070" w:type="dxa"/>
          </w:tcPr>
          <w:p w14:paraId="539063F3" w14:textId="0084C37B" w:rsidR="002E4801" w:rsidRDefault="001A6953" w:rsidP="00AB0EED">
            <w:r>
              <w:t>Helsinki Public Comment</w:t>
            </w:r>
          </w:p>
        </w:tc>
        <w:tc>
          <w:tcPr>
            <w:tcW w:w="2970" w:type="dxa"/>
          </w:tcPr>
          <w:p w14:paraId="16A5240D" w14:textId="77777777" w:rsidR="002E4801" w:rsidRDefault="002E4801" w:rsidP="00AB0EED"/>
        </w:tc>
        <w:tc>
          <w:tcPr>
            <w:tcW w:w="2705" w:type="dxa"/>
          </w:tcPr>
          <w:p w14:paraId="728D7E9A" w14:textId="77777777" w:rsidR="002E4801" w:rsidRDefault="002E4801" w:rsidP="00AB0EED"/>
        </w:tc>
      </w:tr>
      <w:tr w:rsidR="00503AEF" w14:paraId="1E60059D" w14:textId="393EC073" w:rsidTr="00503AEF">
        <w:tc>
          <w:tcPr>
            <w:tcW w:w="442" w:type="dxa"/>
          </w:tcPr>
          <w:p w14:paraId="18248165" w14:textId="77777777" w:rsidR="002E4801" w:rsidRPr="0053706F" w:rsidRDefault="002E4801" w:rsidP="0069607D">
            <w:pPr>
              <w:pStyle w:val="ListParagraph"/>
              <w:numPr>
                <w:ilvl w:val="0"/>
                <w:numId w:val="1"/>
              </w:numPr>
              <w:jc w:val="both"/>
            </w:pPr>
          </w:p>
        </w:tc>
        <w:tc>
          <w:tcPr>
            <w:tcW w:w="5763" w:type="dxa"/>
          </w:tcPr>
          <w:p w14:paraId="0FFB19BC" w14:textId="1A21A786" w:rsidR="002E4801" w:rsidRDefault="002E4801" w:rsidP="00AB0EED">
            <w:r w:rsidRPr="0053706F">
              <w:t>CCWG members/participants need good understanding of ICANN eco-system.</w:t>
            </w:r>
          </w:p>
        </w:tc>
        <w:tc>
          <w:tcPr>
            <w:tcW w:w="2070" w:type="dxa"/>
          </w:tcPr>
          <w:p w14:paraId="2F16F274" w14:textId="004BFFD5" w:rsidR="002E4801" w:rsidRDefault="001A6953" w:rsidP="00AB0EED">
            <w:r>
              <w:t>Helsinki Public Comment</w:t>
            </w:r>
          </w:p>
        </w:tc>
        <w:tc>
          <w:tcPr>
            <w:tcW w:w="2970" w:type="dxa"/>
          </w:tcPr>
          <w:p w14:paraId="2A25B543" w14:textId="77777777" w:rsidR="002E4801" w:rsidRDefault="002E4801" w:rsidP="00AB0EED"/>
        </w:tc>
        <w:tc>
          <w:tcPr>
            <w:tcW w:w="2705" w:type="dxa"/>
          </w:tcPr>
          <w:p w14:paraId="3769C1D6" w14:textId="77777777" w:rsidR="002E4801" w:rsidRDefault="002E4801" w:rsidP="00AB0EED"/>
        </w:tc>
      </w:tr>
      <w:tr w:rsidR="00503AEF" w14:paraId="6CCE3D55" w14:textId="6F3E0236" w:rsidTr="00503AEF">
        <w:trPr>
          <w:trHeight w:val="809"/>
        </w:trPr>
        <w:tc>
          <w:tcPr>
            <w:tcW w:w="442" w:type="dxa"/>
            <w:tcBorders>
              <w:bottom w:val="single" w:sz="4" w:space="0" w:color="auto"/>
            </w:tcBorders>
          </w:tcPr>
          <w:p w14:paraId="32216480"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2510867E" w14:textId="24C19943" w:rsidR="002E4801" w:rsidRPr="00A221A6" w:rsidRDefault="002E4801" w:rsidP="00AB0EED">
            <w:r w:rsidRPr="0053706F">
              <w:t>Number of seats allocated is too limited - not even 1 per SG/C in the GNSO. Expertise and knowledge are important - think flexibly about the number of members. Are we clear about the self-dealing aspects and the risks?</w:t>
            </w:r>
          </w:p>
        </w:tc>
        <w:tc>
          <w:tcPr>
            <w:tcW w:w="2070" w:type="dxa"/>
            <w:tcBorders>
              <w:bottom w:val="single" w:sz="4" w:space="0" w:color="auto"/>
            </w:tcBorders>
          </w:tcPr>
          <w:p w14:paraId="060444C0" w14:textId="7EA2400E" w:rsidR="002E4801" w:rsidRDefault="001A6953" w:rsidP="00AB0EED">
            <w:r>
              <w:t>Helsinki Public Comment</w:t>
            </w:r>
          </w:p>
        </w:tc>
        <w:tc>
          <w:tcPr>
            <w:tcW w:w="2970" w:type="dxa"/>
            <w:tcBorders>
              <w:bottom w:val="single" w:sz="4" w:space="0" w:color="auto"/>
            </w:tcBorders>
          </w:tcPr>
          <w:p w14:paraId="56F9F75B" w14:textId="77777777" w:rsidR="002E4801" w:rsidRDefault="002E4801" w:rsidP="00AB0EED"/>
        </w:tc>
        <w:tc>
          <w:tcPr>
            <w:tcW w:w="2705" w:type="dxa"/>
            <w:tcBorders>
              <w:bottom w:val="single" w:sz="4" w:space="0" w:color="auto"/>
            </w:tcBorders>
          </w:tcPr>
          <w:p w14:paraId="38E7B8CB" w14:textId="77777777" w:rsidR="002E4801" w:rsidRDefault="002E4801" w:rsidP="00AB0EED"/>
        </w:tc>
      </w:tr>
      <w:tr w:rsidR="00503AEF" w14:paraId="42CF7E73" w14:textId="2CA9223B" w:rsidTr="00503AEF">
        <w:trPr>
          <w:trHeight w:val="809"/>
        </w:trPr>
        <w:tc>
          <w:tcPr>
            <w:tcW w:w="442" w:type="dxa"/>
            <w:tcBorders>
              <w:bottom w:val="single" w:sz="4" w:space="0" w:color="auto"/>
            </w:tcBorders>
          </w:tcPr>
          <w:p w14:paraId="1ECE5186"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4564E811" w14:textId="701D9A0B" w:rsidR="002E4801" w:rsidRDefault="002E4801" w:rsidP="00AB0EED">
            <w:r>
              <w:t xml:space="preserve">The Board recommends that the language relating to specific Board Committee Chairs be removed. The Board will appoint general liaison(s), which may or may not be the identified Chairs, and have the prerogative to alternate a liaison where necessary.  </w:t>
            </w:r>
          </w:p>
          <w:p w14:paraId="4B27BAE7" w14:textId="77777777" w:rsidR="002E4801" w:rsidRDefault="002E4801" w:rsidP="00AB0EED"/>
          <w:p w14:paraId="6C1A5034" w14:textId="4E3A0AE1" w:rsidR="002E4801" w:rsidRPr="0053706F" w:rsidRDefault="002E4801" w:rsidP="00AB0EED">
            <w:r>
              <w:t>In determining its participation on the DT, the Board identified the Chairs of the Audit Committee and Finance Committee to serve as liaisons due to the particular issues raised at the drafting stage.</w:t>
            </w:r>
          </w:p>
        </w:tc>
        <w:tc>
          <w:tcPr>
            <w:tcW w:w="2070" w:type="dxa"/>
            <w:tcBorders>
              <w:bottom w:val="single" w:sz="4" w:space="0" w:color="auto"/>
            </w:tcBorders>
          </w:tcPr>
          <w:p w14:paraId="4883C284" w14:textId="6B5CA8D2" w:rsidR="002E4801" w:rsidRDefault="001A6953" w:rsidP="00AB0EED">
            <w:r>
              <w:t>Board comments</w:t>
            </w:r>
          </w:p>
        </w:tc>
        <w:tc>
          <w:tcPr>
            <w:tcW w:w="2970" w:type="dxa"/>
            <w:tcBorders>
              <w:bottom w:val="single" w:sz="4" w:space="0" w:color="auto"/>
            </w:tcBorders>
          </w:tcPr>
          <w:p w14:paraId="01CA23E3" w14:textId="77777777" w:rsidR="002E4801" w:rsidRDefault="002E4801" w:rsidP="00AB0EED"/>
        </w:tc>
        <w:tc>
          <w:tcPr>
            <w:tcW w:w="2705" w:type="dxa"/>
            <w:tcBorders>
              <w:bottom w:val="single" w:sz="4" w:space="0" w:color="auto"/>
            </w:tcBorders>
          </w:tcPr>
          <w:p w14:paraId="6F930D25" w14:textId="77777777" w:rsidR="002E4801" w:rsidRDefault="002E4801" w:rsidP="00AB0EED"/>
        </w:tc>
      </w:tr>
      <w:tr w:rsidR="00503AEF" w14:paraId="1BE84E3B" w14:textId="776C2ADE" w:rsidTr="00503AEF">
        <w:trPr>
          <w:trHeight w:val="809"/>
        </w:trPr>
        <w:tc>
          <w:tcPr>
            <w:tcW w:w="442" w:type="dxa"/>
            <w:tcBorders>
              <w:bottom w:val="single" w:sz="4" w:space="0" w:color="auto"/>
            </w:tcBorders>
          </w:tcPr>
          <w:p w14:paraId="24E0EE01"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64175408" w14:textId="3AAB7FFF" w:rsidR="002E4801" w:rsidRPr="0053706F" w:rsidRDefault="002E4801" w:rsidP="00AB0EED">
            <w:r w:rsidRPr="00D92D37">
              <w:t>Given the Board’s role in considering the CCWG recommendations, it agrees with the DT that it does not need to affirm the Charter.</w:t>
            </w:r>
          </w:p>
        </w:tc>
        <w:tc>
          <w:tcPr>
            <w:tcW w:w="2070" w:type="dxa"/>
            <w:tcBorders>
              <w:bottom w:val="single" w:sz="4" w:space="0" w:color="auto"/>
            </w:tcBorders>
          </w:tcPr>
          <w:p w14:paraId="6DFFB588" w14:textId="5CC57001" w:rsidR="002E4801" w:rsidRDefault="001A6953" w:rsidP="00AB0EED">
            <w:r>
              <w:t>Board comments</w:t>
            </w:r>
          </w:p>
        </w:tc>
        <w:tc>
          <w:tcPr>
            <w:tcW w:w="2970" w:type="dxa"/>
            <w:tcBorders>
              <w:bottom w:val="single" w:sz="4" w:space="0" w:color="auto"/>
            </w:tcBorders>
          </w:tcPr>
          <w:p w14:paraId="05E42190" w14:textId="77777777" w:rsidR="002E4801" w:rsidRDefault="002E4801" w:rsidP="00AB0EED"/>
        </w:tc>
        <w:tc>
          <w:tcPr>
            <w:tcW w:w="2705" w:type="dxa"/>
            <w:tcBorders>
              <w:bottom w:val="single" w:sz="4" w:space="0" w:color="auto"/>
            </w:tcBorders>
          </w:tcPr>
          <w:p w14:paraId="0BB56C2E" w14:textId="77777777" w:rsidR="002E4801" w:rsidRDefault="002E4801" w:rsidP="00AB0EED"/>
        </w:tc>
      </w:tr>
      <w:tr w:rsidR="008E2BCB" w14:paraId="6DF36C85" w14:textId="4A03D8FB" w:rsidTr="00503AEF">
        <w:trPr>
          <w:trHeight w:val="332"/>
        </w:trPr>
        <w:tc>
          <w:tcPr>
            <w:tcW w:w="442" w:type="dxa"/>
            <w:shd w:val="clear" w:color="auto" w:fill="E7E6E6" w:themeFill="background2"/>
          </w:tcPr>
          <w:p w14:paraId="6E87E49D" w14:textId="77777777" w:rsidR="002E4801" w:rsidRPr="0053706F" w:rsidRDefault="002E4801" w:rsidP="00003181">
            <w:pPr>
              <w:rPr>
                <w:b/>
                <w:i/>
              </w:rPr>
            </w:pPr>
          </w:p>
        </w:tc>
        <w:tc>
          <w:tcPr>
            <w:tcW w:w="7833" w:type="dxa"/>
            <w:gridSpan w:val="2"/>
            <w:shd w:val="clear" w:color="auto" w:fill="E7E6E6" w:themeFill="background2"/>
          </w:tcPr>
          <w:p w14:paraId="6E5A5325" w14:textId="77777777" w:rsidR="002E4801" w:rsidRDefault="002E4801" w:rsidP="00AB0EED">
            <w:r w:rsidRPr="0053706F">
              <w:rPr>
                <w:b/>
                <w:i/>
              </w:rPr>
              <w:t>Section</w:t>
            </w:r>
            <w:r>
              <w:rPr>
                <w:b/>
                <w:i/>
              </w:rPr>
              <w:t xml:space="preserve"> N/A</w:t>
            </w:r>
          </w:p>
        </w:tc>
        <w:tc>
          <w:tcPr>
            <w:tcW w:w="2970" w:type="dxa"/>
            <w:shd w:val="clear" w:color="auto" w:fill="E7E6E6" w:themeFill="background2"/>
          </w:tcPr>
          <w:p w14:paraId="1A3492E0" w14:textId="77777777" w:rsidR="002E4801" w:rsidRPr="0053706F" w:rsidRDefault="002E4801" w:rsidP="00AB0EED">
            <w:pPr>
              <w:rPr>
                <w:b/>
                <w:i/>
              </w:rPr>
            </w:pPr>
          </w:p>
        </w:tc>
        <w:tc>
          <w:tcPr>
            <w:tcW w:w="2705" w:type="dxa"/>
            <w:shd w:val="clear" w:color="auto" w:fill="E7E6E6" w:themeFill="background2"/>
          </w:tcPr>
          <w:p w14:paraId="10A7FED6" w14:textId="77777777" w:rsidR="002E4801" w:rsidRPr="0053706F" w:rsidRDefault="002E4801" w:rsidP="00AB0EED">
            <w:pPr>
              <w:rPr>
                <w:b/>
                <w:i/>
              </w:rPr>
            </w:pPr>
          </w:p>
        </w:tc>
      </w:tr>
      <w:tr w:rsidR="008E2BCB" w14:paraId="1E4B5EBB" w14:textId="17E80F91" w:rsidTr="00503AEF">
        <w:trPr>
          <w:trHeight w:val="332"/>
        </w:trPr>
        <w:tc>
          <w:tcPr>
            <w:tcW w:w="442" w:type="dxa"/>
            <w:shd w:val="clear" w:color="auto" w:fill="E7E6E6" w:themeFill="background2"/>
          </w:tcPr>
          <w:p w14:paraId="2E971FA8" w14:textId="77777777" w:rsidR="002E4801" w:rsidRDefault="002E4801" w:rsidP="00003181">
            <w:pPr>
              <w:rPr>
                <w:b/>
              </w:rPr>
            </w:pPr>
          </w:p>
        </w:tc>
        <w:tc>
          <w:tcPr>
            <w:tcW w:w="7833" w:type="dxa"/>
            <w:gridSpan w:val="2"/>
            <w:shd w:val="clear" w:color="auto" w:fill="E7E6E6" w:themeFill="background2"/>
          </w:tcPr>
          <w:p w14:paraId="76A634E3" w14:textId="617FF283" w:rsidR="002E4801" w:rsidRDefault="002E4801" w:rsidP="00AB0EED">
            <w:r w:rsidRPr="0017491D">
              <w:rPr>
                <w:b/>
                <w:i/>
              </w:rPr>
              <w:t>Sub-Section: N/A (Issues for consideration by the CCWG)</w:t>
            </w:r>
          </w:p>
        </w:tc>
        <w:tc>
          <w:tcPr>
            <w:tcW w:w="2970" w:type="dxa"/>
            <w:shd w:val="clear" w:color="auto" w:fill="E7E6E6" w:themeFill="background2"/>
          </w:tcPr>
          <w:p w14:paraId="6147E5E5" w14:textId="77777777" w:rsidR="002E4801" w:rsidRDefault="002E4801" w:rsidP="00AB0EED">
            <w:pPr>
              <w:rPr>
                <w:b/>
              </w:rPr>
            </w:pPr>
          </w:p>
        </w:tc>
        <w:tc>
          <w:tcPr>
            <w:tcW w:w="2705" w:type="dxa"/>
            <w:shd w:val="clear" w:color="auto" w:fill="E7E6E6" w:themeFill="background2"/>
          </w:tcPr>
          <w:p w14:paraId="3CA9ED84" w14:textId="77777777" w:rsidR="002E4801" w:rsidRDefault="002E4801" w:rsidP="00AB0EED">
            <w:pPr>
              <w:rPr>
                <w:b/>
              </w:rPr>
            </w:pPr>
          </w:p>
        </w:tc>
      </w:tr>
      <w:tr w:rsidR="00503AEF" w14:paraId="38C2DCB9" w14:textId="5E09B180" w:rsidTr="00503AEF">
        <w:tc>
          <w:tcPr>
            <w:tcW w:w="442" w:type="dxa"/>
          </w:tcPr>
          <w:p w14:paraId="135EBE53" w14:textId="77777777" w:rsidR="00853108" w:rsidRPr="0053706F" w:rsidRDefault="00853108" w:rsidP="00003181">
            <w:pPr>
              <w:rPr>
                <w:b/>
              </w:rPr>
            </w:pPr>
          </w:p>
        </w:tc>
        <w:tc>
          <w:tcPr>
            <w:tcW w:w="5763" w:type="dxa"/>
          </w:tcPr>
          <w:p w14:paraId="34B83EAF" w14:textId="77777777" w:rsidR="00853108" w:rsidRPr="0053706F" w:rsidRDefault="00853108" w:rsidP="00AB0EED">
            <w:pPr>
              <w:rPr>
                <w:b/>
                <w:i/>
              </w:rPr>
            </w:pPr>
            <w:r w:rsidRPr="0053706F">
              <w:rPr>
                <w:b/>
              </w:rPr>
              <w:t>Public Comment</w:t>
            </w:r>
          </w:p>
        </w:tc>
        <w:tc>
          <w:tcPr>
            <w:tcW w:w="2070" w:type="dxa"/>
          </w:tcPr>
          <w:p w14:paraId="1B4992D2" w14:textId="43680BD6" w:rsidR="00853108" w:rsidRPr="0053706F" w:rsidRDefault="00853108" w:rsidP="00AB0EED">
            <w:pPr>
              <w:rPr>
                <w:b/>
                <w:i/>
              </w:rPr>
            </w:pPr>
            <w:r>
              <w:rPr>
                <w:b/>
              </w:rPr>
              <w:t>Source</w:t>
            </w:r>
          </w:p>
        </w:tc>
        <w:tc>
          <w:tcPr>
            <w:tcW w:w="2970" w:type="dxa"/>
          </w:tcPr>
          <w:p w14:paraId="7092548F" w14:textId="099AF6E0" w:rsidR="00853108" w:rsidRPr="0053706F" w:rsidRDefault="00853108" w:rsidP="00AB0EED">
            <w:pPr>
              <w:rPr>
                <w:b/>
              </w:rPr>
            </w:pPr>
            <w:r w:rsidRPr="0053706F">
              <w:rPr>
                <w:b/>
              </w:rPr>
              <w:t>DT View</w:t>
            </w:r>
          </w:p>
        </w:tc>
        <w:tc>
          <w:tcPr>
            <w:tcW w:w="2705" w:type="dxa"/>
          </w:tcPr>
          <w:p w14:paraId="34EB5F75" w14:textId="18FD9298" w:rsidR="00853108" w:rsidRPr="0053706F" w:rsidRDefault="00853108" w:rsidP="00AB0EED">
            <w:pPr>
              <w:rPr>
                <w:b/>
              </w:rPr>
            </w:pPr>
            <w:r>
              <w:rPr>
                <w:b/>
              </w:rPr>
              <w:t>Action taken</w:t>
            </w:r>
          </w:p>
        </w:tc>
      </w:tr>
      <w:tr w:rsidR="00503AEF" w14:paraId="358EDF3D" w14:textId="44B9CAD1" w:rsidTr="00503AEF">
        <w:tc>
          <w:tcPr>
            <w:tcW w:w="442" w:type="dxa"/>
          </w:tcPr>
          <w:p w14:paraId="269A78E7" w14:textId="77777777" w:rsidR="002E4801" w:rsidRPr="00440BD4" w:rsidRDefault="002E4801" w:rsidP="00003181">
            <w:pPr>
              <w:pStyle w:val="ListParagraph"/>
              <w:numPr>
                <w:ilvl w:val="0"/>
                <w:numId w:val="1"/>
              </w:numPr>
              <w:jc w:val="both"/>
            </w:pPr>
          </w:p>
        </w:tc>
        <w:tc>
          <w:tcPr>
            <w:tcW w:w="5763" w:type="dxa"/>
          </w:tcPr>
          <w:p w14:paraId="0F1D0BA4" w14:textId="77777777" w:rsidR="002E4801" w:rsidRPr="00440BD4" w:rsidRDefault="002E4801" w:rsidP="00AB0EED">
            <w:r w:rsidRPr="00440BD4">
              <w:t>What is the criteria you are going to use to rank the grant requests? Failure on consumer awareness on new gTLDs, which are the source of these funds. Timing is an issue as the completion of this process which may take years. Not to be debated as part of the DT - will be for the CCWG to consider.</w:t>
            </w:r>
          </w:p>
        </w:tc>
        <w:tc>
          <w:tcPr>
            <w:tcW w:w="2070" w:type="dxa"/>
          </w:tcPr>
          <w:p w14:paraId="68543E42" w14:textId="5AF6AB58" w:rsidR="002E4801" w:rsidRPr="0053706F" w:rsidRDefault="001A6953" w:rsidP="00AB0EED">
            <w:pPr>
              <w:rPr>
                <w:b/>
                <w:i/>
              </w:rPr>
            </w:pPr>
            <w:r>
              <w:t>Helsinki Public Comment</w:t>
            </w:r>
          </w:p>
        </w:tc>
        <w:tc>
          <w:tcPr>
            <w:tcW w:w="2970" w:type="dxa"/>
          </w:tcPr>
          <w:p w14:paraId="02E56636" w14:textId="77777777" w:rsidR="002E4801" w:rsidRPr="0053706F" w:rsidRDefault="002E4801" w:rsidP="00AB0EED">
            <w:pPr>
              <w:rPr>
                <w:b/>
                <w:i/>
              </w:rPr>
            </w:pPr>
          </w:p>
        </w:tc>
        <w:tc>
          <w:tcPr>
            <w:tcW w:w="2705" w:type="dxa"/>
          </w:tcPr>
          <w:p w14:paraId="26A6A06C" w14:textId="77777777" w:rsidR="002E4801" w:rsidRPr="0053706F" w:rsidRDefault="002E4801" w:rsidP="00AB0EED">
            <w:pPr>
              <w:rPr>
                <w:b/>
                <w:i/>
              </w:rPr>
            </w:pPr>
          </w:p>
        </w:tc>
      </w:tr>
      <w:tr w:rsidR="00503AEF" w14:paraId="259E2CCE" w14:textId="616529AC" w:rsidTr="00503AEF">
        <w:tc>
          <w:tcPr>
            <w:tcW w:w="442" w:type="dxa"/>
          </w:tcPr>
          <w:p w14:paraId="4516F4CA" w14:textId="77777777" w:rsidR="002E4801" w:rsidRPr="00440BD4" w:rsidRDefault="002E4801" w:rsidP="00003181">
            <w:pPr>
              <w:pStyle w:val="ListParagraph"/>
              <w:numPr>
                <w:ilvl w:val="0"/>
                <w:numId w:val="1"/>
              </w:numPr>
              <w:jc w:val="both"/>
            </w:pPr>
          </w:p>
        </w:tc>
        <w:tc>
          <w:tcPr>
            <w:tcW w:w="5763" w:type="dxa"/>
          </w:tcPr>
          <w:p w14:paraId="1CB9BAC2" w14:textId="77777777" w:rsidR="002E4801" w:rsidRPr="00440BD4" w:rsidRDefault="002E4801" w:rsidP="00AB0EED">
            <w:r w:rsidRPr="00440BD4">
              <w:t>Sequence - how are applicants expected to report back? Measurement of results. This is for CCWG to consider.</w:t>
            </w:r>
          </w:p>
        </w:tc>
        <w:tc>
          <w:tcPr>
            <w:tcW w:w="2070" w:type="dxa"/>
          </w:tcPr>
          <w:p w14:paraId="1C3E61FF" w14:textId="44182297" w:rsidR="002E4801" w:rsidRPr="0053706F" w:rsidRDefault="001A6953" w:rsidP="00AB0EED">
            <w:pPr>
              <w:rPr>
                <w:b/>
                <w:i/>
              </w:rPr>
            </w:pPr>
            <w:r>
              <w:t>Helsinki Public Comment</w:t>
            </w:r>
          </w:p>
        </w:tc>
        <w:tc>
          <w:tcPr>
            <w:tcW w:w="2970" w:type="dxa"/>
          </w:tcPr>
          <w:p w14:paraId="20422BFC" w14:textId="77777777" w:rsidR="002E4801" w:rsidRPr="0053706F" w:rsidRDefault="002E4801" w:rsidP="00AB0EED">
            <w:pPr>
              <w:rPr>
                <w:b/>
                <w:i/>
              </w:rPr>
            </w:pPr>
          </w:p>
        </w:tc>
        <w:tc>
          <w:tcPr>
            <w:tcW w:w="2705" w:type="dxa"/>
          </w:tcPr>
          <w:p w14:paraId="00FC8E8B" w14:textId="77777777" w:rsidR="002E4801" w:rsidRPr="0053706F" w:rsidRDefault="002E4801" w:rsidP="00AB0EED">
            <w:pPr>
              <w:rPr>
                <w:b/>
                <w:i/>
              </w:rPr>
            </w:pPr>
          </w:p>
        </w:tc>
      </w:tr>
      <w:tr w:rsidR="00503AEF" w14:paraId="40663431" w14:textId="73F522EA" w:rsidTr="00503AEF">
        <w:tc>
          <w:tcPr>
            <w:tcW w:w="442" w:type="dxa"/>
          </w:tcPr>
          <w:p w14:paraId="40298E89" w14:textId="77777777" w:rsidR="002E4801" w:rsidRPr="00440BD4" w:rsidRDefault="002E4801" w:rsidP="00003181">
            <w:pPr>
              <w:pStyle w:val="ListParagraph"/>
              <w:numPr>
                <w:ilvl w:val="0"/>
                <w:numId w:val="1"/>
              </w:numPr>
              <w:jc w:val="both"/>
            </w:pPr>
          </w:p>
        </w:tc>
        <w:tc>
          <w:tcPr>
            <w:tcW w:w="5763" w:type="dxa"/>
          </w:tcPr>
          <w:p w14:paraId="154E0459" w14:textId="77777777" w:rsidR="002E4801" w:rsidRPr="00440BD4" w:rsidRDefault="002E4801" w:rsidP="00AB0EED">
            <w:r w:rsidRPr="00440BD4">
              <w:t>Missing from goals &amp; objectives: CCWG will choose specific objectives, put shape on it. </w:t>
            </w:r>
          </w:p>
        </w:tc>
        <w:tc>
          <w:tcPr>
            <w:tcW w:w="2070" w:type="dxa"/>
          </w:tcPr>
          <w:p w14:paraId="6D09975B" w14:textId="6CF3C99A" w:rsidR="002E4801" w:rsidRPr="0053706F" w:rsidRDefault="001A6953" w:rsidP="00AB0EED">
            <w:pPr>
              <w:rPr>
                <w:b/>
                <w:i/>
              </w:rPr>
            </w:pPr>
            <w:r>
              <w:t>Helsinki Public Comment</w:t>
            </w:r>
          </w:p>
        </w:tc>
        <w:tc>
          <w:tcPr>
            <w:tcW w:w="2970" w:type="dxa"/>
          </w:tcPr>
          <w:p w14:paraId="240073C6" w14:textId="77777777" w:rsidR="002E4801" w:rsidRPr="0053706F" w:rsidRDefault="002E4801" w:rsidP="00AB0EED">
            <w:pPr>
              <w:rPr>
                <w:b/>
                <w:i/>
              </w:rPr>
            </w:pPr>
          </w:p>
        </w:tc>
        <w:tc>
          <w:tcPr>
            <w:tcW w:w="2705" w:type="dxa"/>
          </w:tcPr>
          <w:p w14:paraId="1E496299" w14:textId="77777777" w:rsidR="002E4801" w:rsidRPr="0053706F" w:rsidRDefault="002E4801" w:rsidP="00AB0EED">
            <w:pPr>
              <w:rPr>
                <w:b/>
                <w:i/>
              </w:rPr>
            </w:pPr>
          </w:p>
        </w:tc>
      </w:tr>
      <w:tr w:rsidR="00503AEF" w14:paraId="0C51FA13" w14:textId="005842B4" w:rsidTr="00503AEF">
        <w:tc>
          <w:tcPr>
            <w:tcW w:w="442" w:type="dxa"/>
          </w:tcPr>
          <w:p w14:paraId="2BED1DA9" w14:textId="77777777" w:rsidR="002E4801" w:rsidRPr="00440BD4" w:rsidRDefault="002E4801" w:rsidP="00003181">
            <w:pPr>
              <w:pStyle w:val="ListParagraph"/>
              <w:numPr>
                <w:ilvl w:val="0"/>
                <w:numId w:val="1"/>
              </w:numPr>
              <w:jc w:val="both"/>
            </w:pPr>
          </w:p>
        </w:tc>
        <w:tc>
          <w:tcPr>
            <w:tcW w:w="5763" w:type="dxa"/>
          </w:tcPr>
          <w:p w14:paraId="4297986A" w14:textId="77777777" w:rsidR="002E4801" w:rsidRPr="00440BD4" w:rsidRDefault="002E4801" w:rsidP="00AB0EED">
            <w:r w:rsidRPr="00440BD4">
              <w:t>One time funding not necessarily one-time disbursement</w:t>
            </w:r>
          </w:p>
        </w:tc>
        <w:tc>
          <w:tcPr>
            <w:tcW w:w="2070" w:type="dxa"/>
          </w:tcPr>
          <w:p w14:paraId="4CBEE0F1" w14:textId="5F8A1579" w:rsidR="002E4801" w:rsidRPr="0053706F" w:rsidRDefault="001A6953" w:rsidP="00AB0EED">
            <w:pPr>
              <w:rPr>
                <w:b/>
                <w:i/>
              </w:rPr>
            </w:pPr>
            <w:r>
              <w:t>Helsinki Public Comment</w:t>
            </w:r>
          </w:p>
        </w:tc>
        <w:tc>
          <w:tcPr>
            <w:tcW w:w="2970" w:type="dxa"/>
          </w:tcPr>
          <w:p w14:paraId="51C84D80" w14:textId="77777777" w:rsidR="002E4801" w:rsidRPr="0053706F" w:rsidRDefault="002E4801" w:rsidP="00AB0EED">
            <w:pPr>
              <w:rPr>
                <w:b/>
                <w:i/>
              </w:rPr>
            </w:pPr>
          </w:p>
        </w:tc>
        <w:tc>
          <w:tcPr>
            <w:tcW w:w="2705" w:type="dxa"/>
          </w:tcPr>
          <w:p w14:paraId="5503B2EE" w14:textId="77777777" w:rsidR="002E4801" w:rsidRPr="0053706F" w:rsidRDefault="002E4801" w:rsidP="00AB0EED">
            <w:pPr>
              <w:rPr>
                <w:b/>
                <w:i/>
              </w:rPr>
            </w:pPr>
          </w:p>
        </w:tc>
      </w:tr>
      <w:tr w:rsidR="00503AEF" w14:paraId="0FA89C7F" w14:textId="09F42F81" w:rsidTr="00503AEF">
        <w:tc>
          <w:tcPr>
            <w:tcW w:w="442" w:type="dxa"/>
          </w:tcPr>
          <w:p w14:paraId="3FF364D2" w14:textId="77777777" w:rsidR="002E4801" w:rsidRPr="00440BD4" w:rsidRDefault="002E4801" w:rsidP="00003181">
            <w:pPr>
              <w:pStyle w:val="ListParagraph"/>
              <w:numPr>
                <w:ilvl w:val="0"/>
                <w:numId w:val="1"/>
              </w:numPr>
              <w:jc w:val="both"/>
            </w:pPr>
          </w:p>
        </w:tc>
        <w:tc>
          <w:tcPr>
            <w:tcW w:w="5763" w:type="dxa"/>
          </w:tcPr>
          <w:p w14:paraId="776FB5C9" w14:textId="0701146F" w:rsidR="002E4801" w:rsidRPr="00440BD4" w:rsidRDefault="002E4801" w:rsidP="00AB0EED">
            <w:r w:rsidRPr="00440BD4">
              <w:t>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070" w:type="dxa"/>
          </w:tcPr>
          <w:p w14:paraId="139DD6A2" w14:textId="31903B67" w:rsidR="002E4801" w:rsidRPr="0053706F" w:rsidRDefault="00E130F9" w:rsidP="00AB0EED">
            <w:pPr>
              <w:rPr>
                <w:b/>
                <w:i/>
              </w:rPr>
            </w:pPr>
            <w:r>
              <w:t>Helsinki Email Comment</w:t>
            </w:r>
          </w:p>
        </w:tc>
        <w:tc>
          <w:tcPr>
            <w:tcW w:w="2970" w:type="dxa"/>
          </w:tcPr>
          <w:p w14:paraId="293FCD02" w14:textId="77777777" w:rsidR="002E4801" w:rsidRPr="0053706F" w:rsidRDefault="002E4801" w:rsidP="00AB0EED">
            <w:pPr>
              <w:rPr>
                <w:b/>
                <w:i/>
              </w:rPr>
            </w:pPr>
          </w:p>
        </w:tc>
        <w:tc>
          <w:tcPr>
            <w:tcW w:w="2705" w:type="dxa"/>
          </w:tcPr>
          <w:p w14:paraId="77CF1DF5" w14:textId="77777777" w:rsidR="002E4801" w:rsidRPr="0053706F" w:rsidRDefault="002E4801" w:rsidP="00AB0EED">
            <w:pPr>
              <w:rPr>
                <w:b/>
                <w:i/>
              </w:rPr>
            </w:pPr>
          </w:p>
        </w:tc>
      </w:tr>
      <w:tr w:rsidR="00503AEF" w14:paraId="5ED37314" w14:textId="5FBD45C0" w:rsidTr="00503AEF">
        <w:tc>
          <w:tcPr>
            <w:tcW w:w="442" w:type="dxa"/>
            <w:tcBorders>
              <w:bottom w:val="single" w:sz="4" w:space="0" w:color="auto"/>
            </w:tcBorders>
          </w:tcPr>
          <w:p w14:paraId="528874A6" w14:textId="77777777" w:rsidR="002E4801" w:rsidRPr="00F34664" w:rsidRDefault="002E4801" w:rsidP="00003181">
            <w:pPr>
              <w:pStyle w:val="ListParagraph"/>
              <w:numPr>
                <w:ilvl w:val="0"/>
                <w:numId w:val="1"/>
              </w:numPr>
              <w:jc w:val="both"/>
            </w:pPr>
          </w:p>
        </w:tc>
        <w:tc>
          <w:tcPr>
            <w:tcW w:w="5763" w:type="dxa"/>
            <w:tcBorders>
              <w:bottom w:val="single" w:sz="4" w:space="0" w:color="auto"/>
            </w:tcBorders>
          </w:tcPr>
          <w:p w14:paraId="57EFED34" w14:textId="56169C96" w:rsidR="002E4801" w:rsidRPr="00440BD4" w:rsidRDefault="002E4801" w:rsidP="00AB0EED">
            <w:r w:rsidRPr="00F34664">
              <w:t>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gTLD Auction Proceeds over any short-term period.</w:t>
            </w:r>
            <w:r w:rsidR="001F4572">
              <w:t xml:space="preserve"> </w:t>
            </w:r>
            <w:r w:rsidR="001F4572" w:rsidRPr="00F34664">
              <w:t>(note this is an abstract)</w:t>
            </w:r>
          </w:p>
        </w:tc>
        <w:tc>
          <w:tcPr>
            <w:tcW w:w="2070" w:type="dxa"/>
            <w:tcBorders>
              <w:bottom w:val="single" w:sz="4" w:space="0" w:color="auto"/>
            </w:tcBorders>
          </w:tcPr>
          <w:p w14:paraId="2A6BC91F" w14:textId="0543BB2F" w:rsidR="002E4801" w:rsidRPr="0053706F" w:rsidRDefault="00E130F9" w:rsidP="00AB0EED">
            <w:pPr>
              <w:rPr>
                <w:b/>
                <w:i/>
              </w:rPr>
            </w:pPr>
            <w:r>
              <w:t>Helsinki Email Comment</w:t>
            </w:r>
          </w:p>
        </w:tc>
        <w:tc>
          <w:tcPr>
            <w:tcW w:w="2970" w:type="dxa"/>
            <w:tcBorders>
              <w:bottom w:val="single" w:sz="4" w:space="0" w:color="auto"/>
            </w:tcBorders>
          </w:tcPr>
          <w:p w14:paraId="040F6CF4" w14:textId="77777777" w:rsidR="002E4801" w:rsidRPr="0053706F" w:rsidRDefault="002E4801" w:rsidP="00AB0EED">
            <w:pPr>
              <w:rPr>
                <w:b/>
                <w:i/>
              </w:rPr>
            </w:pPr>
          </w:p>
        </w:tc>
        <w:tc>
          <w:tcPr>
            <w:tcW w:w="2705" w:type="dxa"/>
            <w:tcBorders>
              <w:bottom w:val="single" w:sz="4" w:space="0" w:color="auto"/>
            </w:tcBorders>
          </w:tcPr>
          <w:p w14:paraId="7B29B96D" w14:textId="77777777" w:rsidR="002E4801" w:rsidRPr="0053706F" w:rsidRDefault="002E4801" w:rsidP="00AB0EED">
            <w:pPr>
              <w:rPr>
                <w:b/>
                <w:i/>
              </w:rPr>
            </w:pPr>
          </w:p>
        </w:tc>
      </w:tr>
      <w:tr w:rsidR="008E2BCB" w14:paraId="4C22305C" w14:textId="0ABB9345" w:rsidTr="00503AEF">
        <w:trPr>
          <w:trHeight w:val="332"/>
        </w:trPr>
        <w:tc>
          <w:tcPr>
            <w:tcW w:w="442" w:type="dxa"/>
            <w:shd w:val="clear" w:color="auto" w:fill="E7E6E6" w:themeFill="background2"/>
          </w:tcPr>
          <w:p w14:paraId="53FB7E2B" w14:textId="77777777" w:rsidR="002E4801" w:rsidRPr="0053706F" w:rsidRDefault="002E4801" w:rsidP="00C454F7">
            <w:pPr>
              <w:rPr>
                <w:b/>
                <w:i/>
              </w:rPr>
            </w:pPr>
          </w:p>
        </w:tc>
        <w:tc>
          <w:tcPr>
            <w:tcW w:w="7833" w:type="dxa"/>
            <w:gridSpan w:val="2"/>
            <w:shd w:val="clear" w:color="auto" w:fill="E7E6E6" w:themeFill="background2"/>
          </w:tcPr>
          <w:p w14:paraId="712C50BC" w14:textId="46194F14" w:rsidR="002E4801" w:rsidRDefault="002E4801" w:rsidP="00AB0EED">
            <w:r w:rsidRPr="0053706F">
              <w:rPr>
                <w:b/>
                <w:i/>
              </w:rPr>
              <w:t>Section</w:t>
            </w:r>
            <w:r>
              <w:rPr>
                <w:b/>
                <w:i/>
              </w:rPr>
              <w:t xml:space="preserve"> N/A</w:t>
            </w:r>
          </w:p>
        </w:tc>
        <w:tc>
          <w:tcPr>
            <w:tcW w:w="2970" w:type="dxa"/>
            <w:shd w:val="clear" w:color="auto" w:fill="E7E6E6" w:themeFill="background2"/>
          </w:tcPr>
          <w:p w14:paraId="0197BB70" w14:textId="77777777" w:rsidR="002E4801" w:rsidRPr="0053706F" w:rsidRDefault="002E4801" w:rsidP="00AB0EED">
            <w:pPr>
              <w:rPr>
                <w:b/>
                <w:i/>
              </w:rPr>
            </w:pPr>
          </w:p>
        </w:tc>
        <w:tc>
          <w:tcPr>
            <w:tcW w:w="2705" w:type="dxa"/>
            <w:shd w:val="clear" w:color="auto" w:fill="E7E6E6" w:themeFill="background2"/>
          </w:tcPr>
          <w:p w14:paraId="590D7D88" w14:textId="77777777" w:rsidR="002E4801" w:rsidRPr="0053706F" w:rsidRDefault="002E4801" w:rsidP="00AB0EED">
            <w:pPr>
              <w:rPr>
                <w:b/>
                <w:i/>
              </w:rPr>
            </w:pPr>
          </w:p>
        </w:tc>
      </w:tr>
      <w:tr w:rsidR="008E2BCB" w14:paraId="22A69AD9" w14:textId="75959E79" w:rsidTr="00503AEF">
        <w:trPr>
          <w:trHeight w:val="332"/>
        </w:trPr>
        <w:tc>
          <w:tcPr>
            <w:tcW w:w="442" w:type="dxa"/>
            <w:shd w:val="clear" w:color="auto" w:fill="E7E6E6" w:themeFill="background2"/>
          </w:tcPr>
          <w:p w14:paraId="6CC18D68" w14:textId="77777777" w:rsidR="002E4801" w:rsidRDefault="002E4801" w:rsidP="00C454F7">
            <w:pPr>
              <w:rPr>
                <w:b/>
              </w:rPr>
            </w:pPr>
          </w:p>
        </w:tc>
        <w:tc>
          <w:tcPr>
            <w:tcW w:w="7833" w:type="dxa"/>
            <w:gridSpan w:val="2"/>
            <w:shd w:val="clear" w:color="auto" w:fill="E7E6E6" w:themeFill="background2"/>
          </w:tcPr>
          <w:p w14:paraId="58FDFB82" w14:textId="72241188" w:rsidR="002E4801" w:rsidRDefault="002E4801" w:rsidP="00AB0EED">
            <w:r>
              <w:rPr>
                <w:b/>
              </w:rPr>
              <w:t>Sub-Section: N/A (For possible inclusion in the charter and/or further consideration)</w:t>
            </w:r>
          </w:p>
        </w:tc>
        <w:tc>
          <w:tcPr>
            <w:tcW w:w="2970" w:type="dxa"/>
            <w:shd w:val="clear" w:color="auto" w:fill="E7E6E6" w:themeFill="background2"/>
          </w:tcPr>
          <w:p w14:paraId="1D9050E2" w14:textId="77777777" w:rsidR="002E4801" w:rsidRDefault="002E4801" w:rsidP="00AB0EED">
            <w:pPr>
              <w:rPr>
                <w:b/>
              </w:rPr>
            </w:pPr>
          </w:p>
        </w:tc>
        <w:tc>
          <w:tcPr>
            <w:tcW w:w="2705" w:type="dxa"/>
            <w:shd w:val="clear" w:color="auto" w:fill="E7E6E6" w:themeFill="background2"/>
          </w:tcPr>
          <w:p w14:paraId="07ED8085" w14:textId="77777777" w:rsidR="002E4801" w:rsidRDefault="002E4801" w:rsidP="00AB0EED">
            <w:pPr>
              <w:rPr>
                <w:b/>
              </w:rPr>
            </w:pPr>
          </w:p>
        </w:tc>
      </w:tr>
      <w:tr w:rsidR="00503AEF" w14:paraId="36C49231" w14:textId="3D682BD5" w:rsidTr="00503AEF">
        <w:trPr>
          <w:trHeight w:val="332"/>
        </w:trPr>
        <w:tc>
          <w:tcPr>
            <w:tcW w:w="442" w:type="dxa"/>
          </w:tcPr>
          <w:p w14:paraId="2E16F30E" w14:textId="77777777" w:rsidR="00853108" w:rsidRPr="0053706F" w:rsidRDefault="00853108">
            <w:pPr>
              <w:rPr>
                <w:b/>
              </w:rPr>
            </w:pPr>
          </w:p>
        </w:tc>
        <w:tc>
          <w:tcPr>
            <w:tcW w:w="5763" w:type="dxa"/>
          </w:tcPr>
          <w:p w14:paraId="2B3D55A6" w14:textId="585ACA7D" w:rsidR="00853108" w:rsidRPr="0053706F" w:rsidRDefault="00853108" w:rsidP="00AB0EED">
            <w:r w:rsidRPr="0053706F">
              <w:rPr>
                <w:b/>
              </w:rPr>
              <w:t>Public Comment</w:t>
            </w:r>
          </w:p>
        </w:tc>
        <w:tc>
          <w:tcPr>
            <w:tcW w:w="2070" w:type="dxa"/>
          </w:tcPr>
          <w:p w14:paraId="6B0B979F" w14:textId="1DDA97E9" w:rsidR="00853108" w:rsidRDefault="00853108" w:rsidP="00AB0EED">
            <w:r>
              <w:rPr>
                <w:b/>
              </w:rPr>
              <w:t>Source</w:t>
            </w:r>
          </w:p>
        </w:tc>
        <w:tc>
          <w:tcPr>
            <w:tcW w:w="2970" w:type="dxa"/>
          </w:tcPr>
          <w:p w14:paraId="59EA9EB8" w14:textId="0AA50CA4" w:rsidR="00853108" w:rsidRPr="0053706F" w:rsidRDefault="00853108" w:rsidP="00AB0EED">
            <w:pPr>
              <w:rPr>
                <w:b/>
              </w:rPr>
            </w:pPr>
            <w:r w:rsidRPr="0053706F">
              <w:rPr>
                <w:b/>
              </w:rPr>
              <w:t>DT View</w:t>
            </w:r>
          </w:p>
        </w:tc>
        <w:tc>
          <w:tcPr>
            <w:tcW w:w="2705" w:type="dxa"/>
          </w:tcPr>
          <w:p w14:paraId="60666916" w14:textId="78E2A2C0" w:rsidR="00853108" w:rsidRDefault="00853108" w:rsidP="00AB0EED">
            <w:pPr>
              <w:rPr>
                <w:b/>
              </w:rPr>
            </w:pPr>
            <w:r>
              <w:rPr>
                <w:b/>
              </w:rPr>
              <w:t>Action taken</w:t>
            </w:r>
          </w:p>
        </w:tc>
      </w:tr>
      <w:tr w:rsidR="00503AEF" w14:paraId="1210AED8" w14:textId="53DA619C" w:rsidTr="00503AEF">
        <w:trPr>
          <w:trHeight w:val="332"/>
        </w:trPr>
        <w:tc>
          <w:tcPr>
            <w:tcW w:w="442" w:type="dxa"/>
          </w:tcPr>
          <w:p w14:paraId="13BFC440" w14:textId="77777777" w:rsidR="002E4801" w:rsidRPr="00C454F7" w:rsidRDefault="002E4801" w:rsidP="0069607D">
            <w:pPr>
              <w:pStyle w:val="ListParagraph"/>
              <w:numPr>
                <w:ilvl w:val="0"/>
                <w:numId w:val="1"/>
              </w:numPr>
              <w:jc w:val="both"/>
            </w:pPr>
          </w:p>
        </w:tc>
        <w:tc>
          <w:tcPr>
            <w:tcW w:w="5763" w:type="dxa"/>
          </w:tcPr>
          <w:p w14:paraId="5618BA74" w14:textId="41772B2A" w:rsidR="002E4801" w:rsidRPr="0053706F" w:rsidRDefault="002E4801" w:rsidP="00AB0EED">
            <w:r w:rsidRPr="00C454F7">
              <w:t>A lot of guidelines about what not to do - what do we want to do with this? There is a sequence that will be followed in this process (see slide 4). Where in the sequence is there any establishment of guidelines and expectations? DT sets out the constraints, CCWG will be doing the heavy lifting.</w:t>
            </w:r>
          </w:p>
        </w:tc>
        <w:tc>
          <w:tcPr>
            <w:tcW w:w="2070" w:type="dxa"/>
          </w:tcPr>
          <w:p w14:paraId="0DB5C9F0" w14:textId="4F66BEF6" w:rsidR="002E4801" w:rsidRDefault="001A6953" w:rsidP="00AB0EED">
            <w:r>
              <w:t>Helsinki Public Comment</w:t>
            </w:r>
          </w:p>
        </w:tc>
        <w:tc>
          <w:tcPr>
            <w:tcW w:w="2970" w:type="dxa"/>
          </w:tcPr>
          <w:p w14:paraId="2DAE533C" w14:textId="77777777" w:rsidR="002E4801" w:rsidRDefault="002E4801" w:rsidP="00AB0EED"/>
        </w:tc>
        <w:tc>
          <w:tcPr>
            <w:tcW w:w="2705" w:type="dxa"/>
          </w:tcPr>
          <w:p w14:paraId="7BDF77BB" w14:textId="77777777" w:rsidR="002E4801" w:rsidRDefault="002E4801" w:rsidP="00AB0EED"/>
        </w:tc>
      </w:tr>
      <w:tr w:rsidR="00503AEF" w14:paraId="4AF96D49" w14:textId="47014DE0" w:rsidTr="00503AEF">
        <w:trPr>
          <w:trHeight w:val="332"/>
        </w:trPr>
        <w:tc>
          <w:tcPr>
            <w:tcW w:w="442" w:type="dxa"/>
          </w:tcPr>
          <w:p w14:paraId="135FCD4A" w14:textId="77777777" w:rsidR="002E4801" w:rsidRPr="00C454F7" w:rsidRDefault="002E4801" w:rsidP="0069607D">
            <w:pPr>
              <w:pStyle w:val="ListParagraph"/>
              <w:numPr>
                <w:ilvl w:val="0"/>
                <w:numId w:val="1"/>
              </w:numPr>
              <w:jc w:val="both"/>
            </w:pPr>
          </w:p>
        </w:tc>
        <w:tc>
          <w:tcPr>
            <w:tcW w:w="5763" w:type="dxa"/>
          </w:tcPr>
          <w:p w14:paraId="569407B0" w14:textId="3ED8847F" w:rsidR="002E4801" w:rsidRPr="0053706F" w:rsidRDefault="002E4801" w:rsidP="00AB0EED">
            <w:r w:rsidRPr="00C454F7">
              <w:t>Consider providing criteria about the expected results / outcome of funding provided?</w:t>
            </w:r>
          </w:p>
        </w:tc>
        <w:tc>
          <w:tcPr>
            <w:tcW w:w="2070" w:type="dxa"/>
          </w:tcPr>
          <w:p w14:paraId="07F7DD82" w14:textId="33B8D4CF" w:rsidR="002E4801" w:rsidRDefault="001A6953" w:rsidP="00AB0EED">
            <w:r>
              <w:t>Helsinki Public Comment</w:t>
            </w:r>
          </w:p>
        </w:tc>
        <w:tc>
          <w:tcPr>
            <w:tcW w:w="2970" w:type="dxa"/>
          </w:tcPr>
          <w:p w14:paraId="2CA07659" w14:textId="77777777" w:rsidR="002E4801" w:rsidRDefault="002E4801" w:rsidP="00AB0EED"/>
        </w:tc>
        <w:tc>
          <w:tcPr>
            <w:tcW w:w="2705" w:type="dxa"/>
          </w:tcPr>
          <w:p w14:paraId="1815577B" w14:textId="77777777" w:rsidR="002E4801" w:rsidRDefault="002E4801" w:rsidP="00AB0EED"/>
        </w:tc>
      </w:tr>
      <w:tr w:rsidR="00503AEF" w14:paraId="3B09A2A7" w14:textId="05C9B9A4" w:rsidTr="00503AEF">
        <w:trPr>
          <w:trHeight w:val="512"/>
        </w:trPr>
        <w:tc>
          <w:tcPr>
            <w:tcW w:w="442" w:type="dxa"/>
          </w:tcPr>
          <w:p w14:paraId="5CAB24D8" w14:textId="77777777" w:rsidR="002E4801" w:rsidRPr="00C454F7" w:rsidRDefault="002E4801" w:rsidP="0069607D">
            <w:pPr>
              <w:pStyle w:val="ListParagraph"/>
              <w:numPr>
                <w:ilvl w:val="0"/>
                <w:numId w:val="1"/>
              </w:numPr>
              <w:jc w:val="both"/>
            </w:pPr>
          </w:p>
        </w:tc>
        <w:tc>
          <w:tcPr>
            <w:tcW w:w="5763" w:type="dxa"/>
          </w:tcPr>
          <w:p w14:paraId="017DA5EF" w14:textId="5D53387E" w:rsidR="002E4801" w:rsidRPr="0053706F" w:rsidRDefault="002E4801" w:rsidP="00AB0EED">
            <w:r w:rsidRPr="00C454F7">
              <w:t>Diversity - if that is a requirement for disbursement, that may be counter to specific objectives.</w:t>
            </w:r>
          </w:p>
        </w:tc>
        <w:tc>
          <w:tcPr>
            <w:tcW w:w="2070" w:type="dxa"/>
          </w:tcPr>
          <w:p w14:paraId="4C53845C" w14:textId="54C8E330" w:rsidR="002E4801" w:rsidRDefault="001A6953" w:rsidP="00AB0EED">
            <w:r>
              <w:t>Helsinki Public Comment</w:t>
            </w:r>
          </w:p>
        </w:tc>
        <w:tc>
          <w:tcPr>
            <w:tcW w:w="2970" w:type="dxa"/>
          </w:tcPr>
          <w:p w14:paraId="5EE34169" w14:textId="77777777" w:rsidR="002E4801" w:rsidRDefault="002E4801" w:rsidP="00AB0EED"/>
        </w:tc>
        <w:tc>
          <w:tcPr>
            <w:tcW w:w="2705" w:type="dxa"/>
          </w:tcPr>
          <w:p w14:paraId="26E385A6" w14:textId="77777777" w:rsidR="002E4801" w:rsidRDefault="002E4801" w:rsidP="00AB0EED"/>
        </w:tc>
      </w:tr>
      <w:tr w:rsidR="00503AEF" w14:paraId="5B08D773" w14:textId="018AE635" w:rsidTr="00503AEF">
        <w:trPr>
          <w:trHeight w:val="512"/>
        </w:trPr>
        <w:tc>
          <w:tcPr>
            <w:tcW w:w="442" w:type="dxa"/>
          </w:tcPr>
          <w:p w14:paraId="2C07FEFF" w14:textId="77777777" w:rsidR="002E4801" w:rsidRPr="00021BC4" w:rsidRDefault="002E4801" w:rsidP="0069607D">
            <w:pPr>
              <w:pStyle w:val="ListParagraph"/>
              <w:numPr>
                <w:ilvl w:val="0"/>
                <w:numId w:val="1"/>
              </w:numPr>
              <w:jc w:val="both"/>
            </w:pPr>
          </w:p>
        </w:tc>
        <w:tc>
          <w:tcPr>
            <w:tcW w:w="5763" w:type="dxa"/>
          </w:tcPr>
          <w:p w14:paraId="60B90285" w14:textId="2CB161F7" w:rsidR="002E4801" w:rsidRPr="00C454F7" w:rsidRDefault="002E4801" w:rsidP="00AB0EED">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070" w:type="dxa"/>
          </w:tcPr>
          <w:p w14:paraId="34A28D05" w14:textId="39C0880C" w:rsidR="002E4801" w:rsidRDefault="001A6953" w:rsidP="00AB0EED">
            <w:r>
              <w:t>Helsinki Public Comment</w:t>
            </w:r>
          </w:p>
        </w:tc>
        <w:tc>
          <w:tcPr>
            <w:tcW w:w="2970" w:type="dxa"/>
          </w:tcPr>
          <w:p w14:paraId="79431D89" w14:textId="77777777" w:rsidR="002E4801" w:rsidRDefault="002E4801" w:rsidP="00AB0EED"/>
        </w:tc>
        <w:tc>
          <w:tcPr>
            <w:tcW w:w="2705" w:type="dxa"/>
          </w:tcPr>
          <w:p w14:paraId="48AE3BDF" w14:textId="77777777" w:rsidR="002E4801" w:rsidRDefault="002E4801" w:rsidP="00AB0EED"/>
        </w:tc>
      </w:tr>
      <w:tr w:rsidR="00503AEF" w14:paraId="7D417E6F" w14:textId="5F3BB1D4" w:rsidTr="00503AEF">
        <w:trPr>
          <w:trHeight w:val="512"/>
        </w:trPr>
        <w:tc>
          <w:tcPr>
            <w:tcW w:w="442" w:type="dxa"/>
          </w:tcPr>
          <w:p w14:paraId="0B84FBBF" w14:textId="77777777" w:rsidR="002E4801" w:rsidRPr="00021BC4" w:rsidRDefault="002E4801" w:rsidP="0069607D">
            <w:pPr>
              <w:pStyle w:val="ListParagraph"/>
              <w:numPr>
                <w:ilvl w:val="0"/>
                <w:numId w:val="1"/>
              </w:numPr>
              <w:jc w:val="both"/>
            </w:pPr>
          </w:p>
        </w:tc>
        <w:tc>
          <w:tcPr>
            <w:tcW w:w="5763" w:type="dxa"/>
          </w:tcPr>
          <w:p w14:paraId="5578A5EF" w14:textId="49CE544D" w:rsidR="002E4801" w:rsidRPr="00C454F7" w:rsidRDefault="002E4801" w:rsidP="00AB0EED">
            <w:r w:rsidRPr="00021BC4">
              <w:t>Include in the scope the notion of reconsideration - needs to be able to adjust its scope based on new information, for example in relation to legal and fiduciary requirements.</w:t>
            </w:r>
          </w:p>
        </w:tc>
        <w:tc>
          <w:tcPr>
            <w:tcW w:w="2070" w:type="dxa"/>
          </w:tcPr>
          <w:p w14:paraId="10829958" w14:textId="2A300582" w:rsidR="002E4801" w:rsidRDefault="001A6953" w:rsidP="00AB0EED">
            <w:r>
              <w:t>Helsinki Public Comment</w:t>
            </w:r>
          </w:p>
        </w:tc>
        <w:tc>
          <w:tcPr>
            <w:tcW w:w="2970" w:type="dxa"/>
          </w:tcPr>
          <w:p w14:paraId="532C2D4F" w14:textId="77777777" w:rsidR="002E4801" w:rsidRDefault="002E4801" w:rsidP="00AB0EED"/>
        </w:tc>
        <w:tc>
          <w:tcPr>
            <w:tcW w:w="2705" w:type="dxa"/>
          </w:tcPr>
          <w:p w14:paraId="1021F2D4" w14:textId="77777777" w:rsidR="002E4801" w:rsidRDefault="002E4801" w:rsidP="00AB0EED"/>
        </w:tc>
      </w:tr>
      <w:tr w:rsidR="00503AEF" w14:paraId="5D75B777" w14:textId="016D5635" w:rsidTr="00503AEF">
        <w:trPr>
          <w:trHeight w:val="512"/>
        </w:trPr>
        <w:tc>
          <w:tcPr>
            <w:tcW w:w="442" w:type="dxa"/>
          </w:tcPr>
          <w:p w14:paraId="19AD261B" w14:textId="77777777" w:rsidR="002E4801" w:rsidRPr="00B31D1A" w:rsidRDefault="002E4801" w:rsidP="0069607D">
            <w:pPr>
              <w:pStyle w:val="ListParagraph"/>
              <w:numPr>
                <w:ilvl w:val="0"/>
                <w:numId w:val="1"/>
              </w:numPr>
              <w:jc w:val="both"/>
            </w:pPr>
          </w:p>
        </w:tc>
        <w:tc>
          <w:tcPr>
            <w:tcW w:w="5763" w:type="dxa"/>
          </w:tcPr>
          <w:p w14:paraId="146275CB" w14:textId="07BA85D6" w:rsidR="002E4801" w:rsidRPr="00C454F7" w:rsidRDefault="002E4801" w:rsidP="00AB0EED">
            <w:r w:rsidRPr="00B31D1A">
              <w:t xml:space="preserve">Individuals participating in the CCWG should not be able to apply for funding as it would be a direct conflict of interest.  </w:t>
            </w:r>
          </w:p>
        </w:tc>
        <w:tc>
          <w:tcPr>
            <w:tcW w:w="2070" w:type="dxa"/>
          </w:tcPr>
          <w:p w14:paraId="204DA312" w14:textId="0F501B34" w:rsidR="002E4801" w:rsidRDefault="001A6953" w:rsidP="00AB0EED">
            <w:r>
              <w:t>Helsinki Public Comment</w:t>
            </w:r>
          </w:p>
        </w:tc>
        <w:tc>
          <w:tcPr>
            <w:tcW w:w="2970" w:type="dxa"/>
          </w:tcPr>
          <w:p w14:paraId="19FF71DF" w14:textId="77777777" w:rsidR="002E4801" w:rsidRDefault="002E4801" w:rsidP="00AB0EED"/>
        </w:tc>
        <w:tc>
          <w:tcPr>
            <w:tcW w:w="2705" w:type="dxa"/>
          </w:tcPr>
          <w:p w14:paraId="5A90E2A7" w14:textId="77777777" w:rsidR="002E4801" w:rsidRDefault="002E4801" w:rsidP="00AB0EED"/>
        </w:tc>
      </w:tr>
      <w:tr w:rsidR="00503AEF" w14:paraId="544783AE" w14:textId="035411BD" w:rsidTr="00503AEF">
        <w:trPr>
          <w:trHeight w:val="512"/>
        </w:trPr>
        <w:tc>
          <w:tcPr>
            <w:tcW w:w="442" w:type="dxa"/>
          </w:tcPr>
          <w:p w14:paraId="463A07AA" w14:textId="77777777" w:rsidR="002E4801" w:rsidRPr="009E1A33" w:rsidRDefault="002E4801" w:rsidP="0069607D">
            <w:pPr>
              <w:pStyle w:val="ListParagraph"/>
              <w:numPr>
                <w:ilvl w:val="0"/>
                <w:numId w:val="1"/>
              </w:numPr>
              <w:jc w:val="both"/>
            </w:pPr>
          </w:p>
        </w:tc>
        <w:tc>
          <w:tcPr>
            <w:tcW w:w="5763" w:type="dxa"/>
          </w:tcPr>
          <w:p w14:paraId="32AB0442" w14:textId="229B989A" w:rsidR="002E4801" w:rsidRPr="00C454F7" w:rsidRDefault="002E4801" w:rsidP="00AB0EED">
            <w:r w:rsidRPr="009E1A33">
              <w:t>Build on best practices and consider patterning with other institutions that are doing the same. More efficient and of value if it could be explored to add it to existing pool. Consider adding to the charter.</w:t>
            </w:r>
          </w:p>
        </w:tc>
        <w:tc>
          <w:tcPr>
            <w:tcW w:w="2070" w:type="dxa"/>
          </w:tcPr>
          <w:p w14:paraId="65CF1438" w14:textId="4DAA0313" w:rsidR="002E4801" w:rsidRDefault="001A6953" w:rsidP="00AB0EED">
            <w:r>
              <w:t>Helsinki Public Comment</w:t>
            </w:r>
          </w:p>
        </w:tc>
        <w:tc>
          <w:tcPr>
            <w:tcW w:w="2970" w:type="dxa"/>
          </w:tcPr>
          <w:p w14:paraId="216296D1" w14:textId="77777777" w:rsidR="002E4801" w:rsidRDefault="002E4801" w:rsidP="00AB0EED"/>
        </w:tc>
        <w:tc>
          <w:tcPr>
            <w:tcW w:w="2705" w:type="dxa"/>
          </w:tcPr>
          <w:p w14:paraId="4B394245" w14:textId="77777777" w:rsidR="002E4801" w:rsidRDefault="002E4801" w:rsidP="00AB0EED"/>
        </w:tc>
      </w:tr>
      <w:tr w:rsidR="00503AEF" w14:paraId="5A0D60EC" w14:textId="6EB03D43" w:rsidTr="00503AEF">
        <w:trPr>
          <w:trHeight w:val="512"/>
        </w:trPr>
        <w:tc>
          <w:tcPr>
            <w:tcW w:w="442" w:type="dxa"/>
          </w:tcPr>
          <w:p w14:paraId="5AC654A4" w14:textId="77777777" w:rsidR="002E4801" w:rsidRPr="009E1A33" w:rsidRDefault="002E4801" w:rsidP="0069607D">
            <w:pPr>
              <w:pStyle w:val="ListParagraph"/>
              <w:numPr>
                <w:ilvl w:val="0"/>
                <w:numId w:val="1"/>
              </w:numPr>
              <w:jc w:val="both"/>
            </w:pPr>
          </w:p>
        </w:tc>
        <w:tc>
          <w:tcPr>
            <w:tcW w:w="5763" w:type="dxa"/>
          </w:tcPr>
          <w:p w14:paraId="548E45A0" w14:textId="3B44D5AE" w:rsidR="002E4801" w:rsidRPr="00C454F7" w:rsidRDefault="002E4801" w:rsidP="00AB0EED">
            <w:r w:rsidRPr="009E1A33">
              <w:t>What about the new gTLD application funds that are remaining - could that be added? Consider adding those funds to reserve fund and move those over to the auction proceeds mechanism as the reserve funds are built up.</w:t>
            </w:r>
          </w:p>
        </w:tc>
        <w:tc>
          <w:tcPr>
            <w:tcW w:w="2070" w:type="dxa"/>
          </w:tcPr>
          <w:p w14:paraId="7111FC6A" w14:textId="0F305E9A" w:rsidR="002E4801" w:rsidRDefault="001A6953" w:rsidP="00AB0EED">
            <w:r>
              <w:t>Helsinki Public Comment</w:t>
            </w:r>
          </w:p>
        </w:tc>
        <w:tc>
          <w:tcPr>
            <w:tcW w:w="2970" w:type="dxa"/>
          </w:tcPr>
          <w:p w14:paraId="71339C14" w14:textId="77777777" w:rsidR="002E4801" w:rsidRDefault="002E4801" w:rsidP="00AB0EED"/>
        </w:tc>
        <w:tc>
          <w:tcPr>
            <w:tcW w:w="2705" w:type="dxa"/>
          </w:tcPr>
          <w:p w14:paraId="7A2B2F45" w14:textId="77777777" w:rsidR="002E4801" w:rsidRDefault="002E4801" w:rsidP="00AB0EED"/>
        </w:tc>
      </w:tr>
      <w:tr w:rsidR="00503AEF" w14:paraId="08A86B4E" w14:textId="65C154B0" w:rsidTr="00503AEF">
        <w:trPr>
          <w:trHeight w:val="512"/>
        </w:trPr>
        <w:tc>
          <w:tcPr>
            <w:tcW w:w="442" w:type="dxa"/>
          </w:tcPr>
          <w:p w14:paraId="415EB366" w14:textId="77777777" w:rsidR="002E4801" w:rsidRPr="009E1A33" w:rsidRDefault="002E4801" w:rsidP="0069607D">
            <w:pPr>
              <w:pStyle w:val="ListParagraph"/>
              <w:numPr>
                <w:ilvl w:val="0"/>
                <w:numId w:val="1"/>
              </w:numPr>
              <w:jc w:val="both"/>
            </w:pPr>
          </w:p>
        </w:tc>
        <w:tc>
          <w:tcPr>
            <w:tcW w:w="5763" w:type="dxa"/>
          </w:tcPr>
          <w:p w14:paraId="652FB6B1" w14:textId="6183A254" w:rsidR="002E4801" w:rsidRDefault="002E4801" w:rsidP="00AB0EED">
            <w:r>
              <w:t>(submitted by email): The Internet being implemented as a stack of layers of</w:t>
            </w:r>
          </w:p>
          <w:p w14:paraId="4B065642" w14:textId="77777777" w:rsidR="002E4801" w:rsidRDefault="002E4801" w:rsidP="00AB0EED">
            <w:r>
              <w:t>technologies:</w:t>
            </w:r>
          </w:p>
          <w:p w14:paraId="7B24AF7D" w14:textId="77777777" w:rsidR="002E4801" w:rsidRDefault="002E4801" w:rsidP="00AB0EED">
            <w:pPr>
              <w:pStyle w:val="ListParagraph"/>
              <w:numPr>
                <w:ilvl w:val="0"/>
                <w:numId w:val="3"/>
              </w:numPr>
            </w:pPr>
            <w:r>
              <w:t>physical layer (e.g. optic cable, wifi, dsl),</w:t>
            </w:r>
          </w:p>
          <w:p w14:paraId="00F27224" w14:textId="77777777" w:rsidR="002E4801" w:rsidRDefault="002E4801" w:rsidP="00AB0EED">
            <w:pPr>
              <w:pStyle w:val="ListParagraph"/>
              <w:numPr>
                <w:ilvl w:val="0"/>
                <w:numId w:val="3"/>
              </w:numPr>
            </w:pPr>
            <w:r>
              <w:t>logical/software (ip, dns, http, etc),</w:t>
            </w:r>
          </w:p>
          <w:p w14:paraId="6DC7A619" w14:textId="70117943" w:rsidR="002E4801" w:rsidRDefault="002E4801" w:rsidP="00AB0EED">
            <w:pPr>
              <w:pStyle w:val="ListParagraph"/>
              <w:numPr>
                <w:ilvl w:val="0"/>
                <w:numId w:val="3"/>
              </w:numPr>
            </w:pPr>
            <w:r>
              <w:t>application (search, social platform, content),</w:t>
            </w:r>
          </w:p>
          <w:p w14:paraId="1F3C0498" w14:textId="77777777" w:rsidR="002E4801" w:rsidRDefault="002E4801" w:rsidP="00AB0EED">
            <w:r>
              <w:t>it would be useful for someone, the drafting team, or the CCWG, to</w:t>
            </w:r>
          </w:p>
          <w:p w14:paraId="5C890A44" w14:textId="77777777" w:rsidR="002E4801" w:rsidRDefault="002E4801" w:rsidP="00AB0EED">
            <w:r>
              <w:t>explore the funding priorities along those lines. We think the focus</w:t>
            </w:r>
          </w:p>
          <w:p w14:paraId="105BC4BF" w14:textId="77777777" w:rsidR="002E4801" w:rsidRDefault="002E4801" w:rsidP="00AB0EED">
            <w:r>
              <w:t>should be on the middleware layers: from managing IP network, DNS, to</w:t>
            </w:r>
          </w:p>
          <w:p w14:paraId="2B979866" w14:textId="77777777" w:rsidR="002E4801" w:rsidRDefault="002E4801" w:rsidP="00AB0EED">
            <w:r>
              <w:t>improving the http/Web layers since these are the closest technologies</w:t>
            </w:r>
          </w:p>
          <w:p w14:paraId="71BE3FB1" w14:textId="7E038153" w:rsidR="002E4801" w:rsidRDefault="002E4801" w:rsidP="00AB0EED">
            <w:r>
              <w:t>in support of the Internet as seen by ICANN. Funding physical layers</w:t>
            </w:r>
          </w:p>
          <w:p w14:paraId="2A9E63CF" w14:textId="77777777" w:rsidR="002E4801" w:rsidRDefault="002E4801" w:rsidP="00AB0EED">
            <w:r>
              <w:t>work for instance might very well be used by a competitor network to IP,</w:t>
            </w:r>
          </w:p>
          <w:p w14:paraId="1967D571" w14:textId="77777777" w:rsidR="002E4801" w:rsidRDefault="002E4801" w:rsidP="00AB0EED">
            <w:r>
              <w:t>and funding pure content runs the same risks (of attracting users to</w:t>
            </w:r>
          </w:p>
          <w:p w14:paraId="69151A75" w14:textId="3F741057" w:rsidR="002E4801" w:rsidRPr="009E1A33" w:rsidRDefault="002E4801" w:rsidP="00AB0EED">
            <w:r>
              <w:t>another network than IP).</w:t>
            </w:r>
          </w:p>
        </w:tc>
        <w:tc>
          <w:tcPr>
            <w:tcW w:w="2070" w:type="dxa"/>
          </w:tcPr>
          <w:p w14:paraId="69A4E281" w14:textId="605A37F8" w:rsidR="002E4801" w:rsidRDefault="00483579" w:rsidP="00AB0EED">
            <w:r>
              <w:t>Helsinki Email Comment</w:t>
            </w:r>
          </w:p>
        </w:tc>
        <w:tc>
          <w:tcPr>
            <w:tcW w:w="2970" w:type="dxa"/>
          </w:tcPr>
          <w:p w14:paraId="75924D32" w14:textId="77777777" w:rsidR="002E4801" w:rsidRDefault="002E4801" w:rsidP="00AB0EED"/>
        </w:tc>
        <w:tc>
          <w:tcPr>
            <w:tcW w:w="2705" w:type="dxa"/>
          </w:tcPr>
          <w:p w14:paraId="44DAD00F" w14:textId="77777777" w:rsidR="002E4801" w:rsidRDefault="002E4801" w:rsidP="00AB0EED"/>
        </w:tc>
      </w:tr>
      <w:tr w:rsidR="00503AEF" w14:paraId="21A6AB48" w14:textId="196CAD69" w:rsidTr="00503AEF">
        <w:tc>
          <w:tcPr>
            <w:tcW w:w="442" w:type="dxa"/>
            <w:tcBorders>
              <w:bottom w:val="single" w:sz="4" w:space="0" w:color="auto"/>
            </w:tcBorders>
          </w:tcPr>
          <w:p w14:paraId="73E1EBC3" w14:textId="77777777" w:rsidR="002E4801" w:rsidRPr="00F34664" w:rsidRDefault="002E4801" w:rsidP="00032B82">
            <w:pPr>
              <w:pStyle w:val="ListParagraph"/>
              <w:numPr>
                <w:ilvl w:val="0"/>
                <w:numId w:val="1"/>
              </w:numPr>
              <w:jc w:val="both"/>
            </w:pPr>
          </w:p>
        </w:tc>
        <w:tc>
          <w:tcPr>
            <w:tcW w:w="5763" w:type="dxa"/>
            <w:tcBorders>
              <w:bottom w:val="single" w:sz="4" w:space="0" w:color="auto"/>
            </w:tcBorders>
          </w:tcPr>
          <w:p w14:paraId="3D1E9AF7" w14:textId="06A78AA1" w:rsidR="002E4801" w:rsidRDefault="002E4801" w:rsidP="00AB0EED">
            <w:r>
              <w:t>The drafting team has done a good job at describing what would not be OK to fund from a procedural point of view (such as funding individuals, lobbying groups, inconsistent with ICANN's tax rules, etc), but so far</w:t>
            </w:r>
          </w:p>
          <w:p w14:paraId="5A2BCAC6" w14:textId="77777777" w:rsidR="002E4801" w:rsidRDefault="002E4801" w:rsidP="00AB0EED">
            <w:r>
              <w:t>has not clearly establish what should be the criteria the CCWG should</w:t>
            </w:r>
          </w:p>
          <w:p w14:paraId="5D0EEDFC" w14:textId="77777777" w:rsidR="002E4801" w:rsidRPr="00F34664" w:rsidRDefault="002E4801" w:rsidP="00AB0EED">
            <w:r>
              <w:t>use to further develop the grant instrument itself.</w:t>
            </w:r>
          </w:p>
        </w:tc>
        <w:tc>
          <w:tcPr>
            <w:tcW w:w="2070" w:type="dxa"/>
            <w:tcBorders>
              <w:bottom w:val="single" w:sz="4" w:space="0" w:color="auto"/>
            </w:tcBorders>
          </w:tcPr>
          <w:p w14:paraId="20CCD782" w14:textId="0A7BA9F9" w:rsidR="002E4801" w:rsidRPr="0053706F" w:rsidRDefault="0021446B" w:rsidP="00AB0EED">
            <w:pPr>
              <w:rPr>
                <w:b/>
                <w:i/>
              </w:rPr>
            </w:pPr>
            <w:r>
              <w:t>Helsinki Email Comment</w:t>
            </w:r>
          </w:p>
        </w:tc>
        <w:tc>
          <w:tcPr>
            <w:tcW w:w="2970" w:type="dxa"/>
            <w:tcBorders>
              <w:bottom w:val="single" w:sz="4" w:space="0" w:color="auto"/>
            </w:tcBorders>
          </w:tcPr>
          <w:p w14:paraId="6D744C79" w14:textId="77777777" w:rsidR="002E4801" w:rsidRPr="0053706F" w:rsidRDefault="002E4801" w:rsidP="00AB0EED">
            <w:pPr>
              <w:rPr>
                <w:b/>
                <w:i/>
              </w:rPr>
            </w:pPr>
          </w:p>
        </w:tc>
        <w:tc>
          <w:tcPr>
            <w:tcW w:w="2705" w:type="dxa"/>
            <w:tcBorders>
              <w:bottom w:val="single" w:sz="4" w:space="0" w:color="auto"/>
            </w:tcBorders>
          </w:tcPr>
          <w:p w14:paraId="79456670" w14:textId="77777777" w:rsidR="002E4801" w:rsidRPr="0053706F" w:rsidRDefault="002E4801" w:rsidP="00AB0EED">
            <w:pPr>
              <w:rPr>
                <w:b/>
                <w:i/>
              </w:rPr>
            </w:pPr>
          </w:p>
        </w:tc>
      </w:tr>
      <w:tr w:rsidR="00503AEF" w14:paraId="66A368B9" w14:textId="7677D9F5" w:rsidTr="00503AEF">
        <w:tc>
          <w:tcPr>
            <w:tcW w:w="442" w:type="dxa"/>
            <w:tcBorders>
              <w:bottom w:val="single" w:sz="4" w:space="0" w:color="auto"/>
            </w:tcBorders>
          </w:tcPr>
          <w:p w14:paraId="12059D3C" w14:textId="77777777" w:rsidR="002E4801" w:rsidRPr="00F34664" w:rsidRDefault="002E4801" w:rsidP="00032B82">
            <w:pPr>
              <w:pStyle w:val="ListParagraph"/>
              <w:numPr>
                <w:ilvl w:val="0"/>
                <w:numId w:val="1"/>
              </w:numPr>
              <w:jc w:val="both"/>
            </w:pPr>
          </w:p>
        </w:tc>
        <w:tc>
          <w:tcPr>
            <w:tcW w:w="5763" w:type="dxa"/>
            <w:tcBorders>
              <w:bottom w:val="single" w:sz="4" w:space="0" w:color="auto"/>
            </w:tcBorders>
          </w:tcPr>
          <w:p w14:paraId="7C6DC37C" w14:textId="647DF9A2" w:rsidR="002E4801" w:rsidRDefault="002E4801" w:rsidP="00AB0EED">
            <w:r>
              <w:t>Think that it should be made clear in the charter that</w:t>
            </w:r>
            <w:r w:rsidR="008007C7">
              <w:t>:</w:t>
            </w:r>
          </w:p>
          <w:p w14:paraId="6337F7C7" w14:textId="3328FBE6" w:rsidR="002E4801" w:rsidRDefault="002E4801" w:rsidP="00AB0EED">
            <w:pPr>
              <w:pStyle w:val="ListParagraph"/>
              <w:numPr>
                <w:ilvl w:val="0"/>
                <w:numId w:val="4"/>
              </w:numPr>
            </w:pPr>
            <w:r>
              <w:t>funding will only go to Internet related projects, which are by</w:t>
            </w:r>
            <w:r w:rsidR="008007C7">
              <w:t xml:space="preserve"> </w:t>
            </w:r>
            <w:r>
              <w:t>nature technical, and not to anything marginally related to the Internet</w:t>
            </w:r>
            <w:r w:rsidR="008007C7">
              <w:t xml:space="preserve"> </w:t>
            </w:r>
            <w:r>
              <w:t xml:space="preserve">(everything is nowadays) and that doesn't hurt the Internet: </w:t>
            </w:r>
          </w:p>
          <w:p w14:paraId="7529701F" w14:textId="77777777" w:rsidR="002E4801" w:rsidRDefault="002E4801" w:rsidP="00AB0EED">
            <w:pPr>
              <w:pStyle w:val="ListParagraph"/>
              <w:numPr>
                <w:ilvl w:val="0"/>
                <w:numId w:val="2"/>
              </w:numPr>
            </w:pPr>
            <w:r>
              <w:t>it has to do good for the Internet, its shared infrastructure, it's users (as Internet users, not just as regular citizen)</w:t>
            </w:r>
          </w:p>
          <w:p w14:paraId="51BF4581" w14:textId="77777777" w:rsidR="002E4801" w:rsidRDefault="002E4801" w:rsidP="00AB0EED">
            <w:pPr>
              <w:pStyle w:val="ListParagraph"/>
              <w:numPr>
                <w:ilvl w:val="0"/>
                <w:numId w:val="2"/>
              </w:numPr>
            </w:pPr>
            <w:r>
              <w:t>use of funding should be in support of the main goals of ICANN: to improve the stability, security, and global interoperability of the Internet.</w:t>
            </w:r>
          </w:p>
          <w:p w14:paraId="31DA439A" w14:textId="77777777" w:rsidR="002E4801" w:rsidRDefault="002E4801" w:rsidP="00AB0EED">
            <w:pPr>
              <w:pStyle w:val="ListParagraph"/>
              <w:numPr>
                <w:ilvl w:val="0"/>
                <w:numId w:val="2"/>
              </w:numPr>
            </w:pPr>
            <w:r>
              <w:t>it should consider criteria of global benefits vs. local benefits (e.g. is this funding going to help all Internet users or just a limited population?)</w:t>
            </w:r>
          </w:p>
          <w:p w14:paraId="1D602757" w14:textId="77777777" w:rsidR="002E4801" w:rsidRDefault="002E4801" w:rsidP="00AB0EED">
            <w:pPr>
              <w:pStyle w:val="ListParagraph"/>
              <w:numPr>
                <w:ilvl w:val="0"/>
                <w:numId w:val="2"/>
              </w:numPr>
            </w:pPr>
            <w:r>
              <w:t>it should consider criteria of long terms benefits vs. short terms results (hence the importance of funding infrastructure oriented things)</w:t>
            </w:r>
          </w:p>
          <w:p w14:paraId="0CD1F785" w14:textId="37644F6C" w:rsidR="002E4801" w:rsidRDefault="002E4801" w:rsidP="00AB0EED">
            <w:pPr>
              <w:pStyle w:val="ListParagraph"/>
              <w:numPr>
                <w:ilvl w:val="0"/>
                <w:numId w:val="2"/>
              </w:numPr>
            </w:pPr>
            <w:r>
              <w:t>it should consider criteria of scaling effects: will a relatively small funding (e.g. 1M USD over the 100 available) have rippling benefits saving Internet users and the community</w:t>
            </w:r>
            <w:r w:rsidR="00AB0EED">
              <w:t xml:space="preserve"> much more than that in the end</w:t>
            </w:r>
            <w:r>
              <w:t>?</w:t>
            </w:r>
          </w:p>
          <w:p w14:paraId="6E1164A8" w14:textId="77777777" w:rsidR="002E4801" w:rsidRDefault="002E4801" w:rsidP="00AB0EED">
            <w:pPr>
              <w:pStyle w:val="ListParagraph"/>
              <w:numPr>
                <w:ilvl w:val="0"/>
                <w:numId w:val="2"/>
              </w:numPr>
            </w:pPr>
            <w:r>
              <w:t>it should consider additional criteria such as difficulty to be funded by usual granters (such as gov, large foundations).</w:t>
            </w:r>
          </w:p>
        </w:tc>
        <w:tc>
          <w:tcPr>
            <w:tcW w:w="2070" w:type="dxa"/>
            <w:tcBorders>
              <w:bottom w:val="single" w:sz="4" w:space="0" w:color="auto"/>
            </w:tcBorders>
          </w:tcPr>
          <w:p w14:paraId="2C4F7BD7" w14:textId="46547095" w:rsidR="002E4801" w:rsidRPr="0053706F" w:rsidRDefault="008007C7" w:rsidP="00AB0EED">
            <w:pPr>
              <w:rPr>
                <w:b/>
                <w:i/>
              </w:rPr>
            </w:pPr>
            <w:r>
              <w:t>Helsinki Email Comment</w:t>
            </w:r>
          </w:p>
        </w:tc>
        <w:tc>
          <w:tcPr>
            <w:tcW w:w="2970" w:type="dxa"/>
            <w:tcBorders>
              <w:bottom w:val="single" w:sz="4" w:space="0" w:color="auto"/>
            </w:tcBorders>
          </w:tcPr>
          <w:p w14:paraId="004EB5DC" w14:textId="77777777" w:rsidR="002E4801" w:rsidRPr="0053706F" w:rsidRDefault="002E4801" w:rsidP="00AB0EED">
            <w:pPr>
              <w:rPr>
                <w:b/>
                <w:i/>
              </w:rPr>
            </w:pPr>
          </w:p>
        </w:tc>
        <w:tc>
          <w:tcPr>
            <w:tcW w:w="2705" w:type="dxa"/>
            <w:tcBorders>
              <w:bottom w:val="single" w:sz="4" w:space="0" w:color="auto"/>
            </w:tcBorders>
          </w:tcPr>
          <w:p w14:paraId="6EF19532" w14:textId="77777777" w:rsidR="002E4801" w:rsidRPr="0053706F" w:rsidRDefault="002E4801" w:rsidP="00AB0EED">
            <w:pPr>
              <w:rPr>
                <w:b/>
                <w:i/>
              </w:rPr>
            </w:pPr>
          </w:p>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97359" w14:textId="77777777" w:rsidR="008E3A27" w:rsidRDefault="008E3A27" w:rsidP="00E93848">
      <w:r>
        <w:separator/>
      </w:r>
    </w:p>
  </w:endnote>
  <w:endnote w:type="continuationSeparator" w:id="0">
    <w:p w14:paraId="410CAC6B" w14:textId="77777777" w:rsidR="008E3A27" w:rsidRDefault="008E3A27"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E93848" w:rsidRDefault="00E93848"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E93848" w:rsidRDefault="00E93848"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E93848" w:rsidRPr="00E93848" w:rsidRDefault="00E93848"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8E3A27">
      <w:rPr>
        <w:rStyle w:val="PageNumber"/>
        <w:noProof/>
        <w:sz w:val="18"/>
        <w:szCs w:val="18"/>
      </w:rPr>
      <w:t>1</w:t>
    </w:r>
    <w:r w:rsidRPr="00E93848">
      <w:rPr>
        <w:rStyle w:val="PageNumber"/>
        <w:sz w:val="18"/>
        <w:szCs w:val="18"/>
      </w:rPr>
      <w:fldChar w:fldCharType="end"/>
    </w:r>
  </w:p>
  <w:p w14:paraId="7DBF7DAB" w14:textId="77777777" w:rsidR="00E93848" w:rsidRDefault="00E93848"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4D5C7" w14:textId="77777777" w:rsidR="008E3A27" w:rsidRDefault="008E3A27" w:rsidP="00E93848">
      <w:r>
        <w:separator/>
      </w:r>
    </w:p>
  </w:footnote>
  <w:footnote w:type="continuationSeparator" w:id="0">
    <w:p w14:paraId="389CDF25" w14:textId="77777777" w:rsidR="008E3A27" w:rsidRDefault="008E3A27"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CC7846"/>
    <w:multiLevelType w:val="hybridMultilevel"/>
    <w:tmpl w:val="B324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D4"/>
    <w:rsid w:val="000216C9"/>
    <w:rsid w:val="00021BC4"/>
    <w:rsid w:val="00037448"/>
    <w:rsid w:val="000C1452"/>
    <w:rsid w:val="00103EA9"/>
    <w:rsid w:val="00154E57"/>
    <w:rsid w:val="0017491D"/>
    <w:rsid w:val="001A6953"/>
    <w:rsid w:val="001B7C61"/>
    <w:rsid w:val="001C6F30"/>
    <w:rsid w:val="001E1819"/>
    <w:rsid w:val="001F4572"/>
    <w:rsid w:val="001F6F68"/>
    <w:rsid w:val="0020161D"/>
    <w:rsid w:val="0021446B"/>
    <w:rsid w:val="002E4801"/>
    <w:rsid w:val="003705D3"/>
    <w:rsid w:val="003D2742"/>
    <w:rsid w:val="003E4817"/>
    <w:rsid w:val="00440BD4"/>
    <w:rsid w:val="00456F6C"/>
    <w:rsid w:val="00483579"/>
    <w:rsid w:val="004C7A15"/>
    <w:rsid w:val="00503AEF"/>
    <w:rsid w:val="00516006"/>
    <w:rsid w:val="0053706F"/>
    <w:rsid w:val="005413CF"/>
    <w:rsid w:val="005511F2"/>
    <w:rsid w:val="0058113C"/>
    <w:rsid w:val="005A48E4"/>
    <w:rsid w:val="00642FDB"/>
    <w:rsid w:val="00671963"/>
    <w:rsid w:val="00692C2C"/>
    <w:rsid w:val="0069607D"/>
    <w:rsid w:val="006C35AB"/>
    <w:rsid w:val="0077095B"/>
    <w:rsid w:val="00794CD8"/>
    <w:rsid w:val="008007C7"/>
    <w:rsid w:val="00853108"/>
    <w:rsid w:val="008A63D9"/>
    <w:rsid w:val="008E2BCB"/>
    <w:rsid w:val="008E3A27"/>
    <w:rsid w:val="008F0341"/>
    <w:rsid w:val="009057D4"/>
    <w:rsid w:val="009E1A33"/>
    <w:rsid w:val="00A1133C"/>
    <w:rsid w:val="00A221A6"/>
    <w:rsid w:val="00A55C6E"/>
    <w:rsid w:val="00A750D8"/>
    <w:rsid w:val="00AA29C6"/>
    <w:rsid w:val="00AB0EED"/>
    <w:rsid w:val="00B033D8"/>
    <w:rsid w:val="00B05830"/>
    <w:rsid w:val="00B31D1A"/>
    <w:rsid w:val="00BA7D54"/>
    <w:rsid w:val="00BC3FA0"/>
    <w:rsid w:val="00C32E0F"/>
    <w:rsid w:val="00C454F7"/>
    <w:rsid w:val="00C736CB"/>
    <w:rsid w:val="00CC5012"/>
    <w:rsid w:val="00CE0097"/>
    <w:rsid w:val="00CE1D64"/>
    <w:rsid w:val="00D46EA7"/>
    <w:rsid w:val="00D7272B"/>
    <w:rsid w:val="00DD3B46"/>
    <w:rsid w:val="00E130F9"/>
    <w:rsid w:val="00E5354A"/>
    <w:rsid w:val="00E8570D"/>
    <w:rsid w:val="00E93848"/>
    <w:rsid w:val="00EF144A"/>
    <w:rsid w:val="00F2169F"/>
    <w:rsid w:val="00F34664"/>
    <w:rsid w:val="00FB2E84"/>
    <w:rsid w:val="00FC459C"/>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4E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2492</Words>
  <Characters>14206</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Tait</dc:creator>
  <cp:keywords/>
  <dc:description/>
  <cp:lastModifiedBy>Marika Konings</cp:lastModifiedBy>
  <cp:revision>2</cp:revision>
  <dcterms:created xsi:type="dcterms:W3CDTF">2016-07-19T07:29:00Z</dcterms:created>
  <dcterms:modified xsi:type="dcterms:W3CDTF">2016-07-19T07:29:00Z</dcterms:modified>
</cp:coreProperties>
</file>