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58AD4" w14:textId="37B3E01C" w:rsidR="00A23E79" w:rsidRDefault="00A23E79">
      <w:r>
        <w:t>Propo</w:t>
      </w:r>
      <w:r w:rsidR="00F64140">
        <w:t>sed Temp Spec EPDP Membership Structure</w:t>
      </w:r>
    </w:p>
    <w:p w14:paraId="1F4FB180" w14:textId="7AC4875B" w:rsidR="00A23E79" w:rsidRDefault="001B2C0C" w:rsidP="00A23E79">
      <w:pPr>
        <w:pStyle w:val="ListParagraph"/>
        <w:numPr>
          <w:ilvl w:val="0"/>
          <w:numId w:val="2"/>
        </w:numPr>
      </w:pPr>
      <w:r>
        <w:t xml:space="preserve">GNSO </w:t>
      </w:r>
      <w:r w:rsidR="00A23E79">
        <w:t>Members</w:t>
      </w:r>
      <w:r w:rsidR="002F53BF">
        <w:t xml:space="preserve"> </w:t>
      </w:r>
      <w:r w:rsidR="00A23E79">
        <w:t>are appointed by GNSO Stakeholder Groups and Constituen</w:t>
      </w:r>
      <w:r w:rsidR="00E9005E">
        <w:t>cies</w:t>
      </w:r>
      <w:r w:rsidR="00A23E79">
        <w:t xml:space="preserve">. Each SG or C would appoint </w:t>
      </w:r>
      <w:r w:rsidR="00F64140">
        <w:t>3 Members</w:t>
      </w:r>
      <w:r>
        <w:t xml:space="preserve">. </w:t>
      </w:r>
      <w:proofErr w:type="gramStart"/>
      <w:r>
        <w:t>For the purpose of</w:t>
      </w:r>
      <w:proofErr w:type="gramEnd"/>
      <w:r>
        <w:t xml:space="preserve"> assessing level of consensus, Members are required to represent the formal position </w:t>
      </w:r>
      <w:r w:rsidR="002F53BF">
        <w:t>of their SG/C</w:t>
      </w:r>
      <w:r>
        <w:t>, not individual views or positions.</w:t>
      </w:r>
    </w:p>
    <w:p w14:paraId="2B507C93" w14:textId="0897E6F3" w:rsidR="00F64140" w:rsidRDefault="00A23E79" w:rsidP="00A23E79">
      <w:pPr>
        <w:pStyle w:val="ListParagraph"/>
        <w:numPr>
          <w:ilvl w:val="0"/>
          <w:numId w:val="2"/>
        </w:numPr>
      </w:pPr>
      <w:r>
        <w:t>Other ICANN SO/ACs w</w:t>
      </w:r>
      <w:r w:rsidR="00F97454">
        <w:t>ill</w:t>
      </w:r>
      <w:r w:rsidR="00F64140">
        <w:t xml:space="preserve"> </w:t>
      </w:r>
      <w:r>
        <w:t xml:space="preserve">be </w:t>
      </w:r>
      <w:r w:rsidR="00922226">
        <w:t xml:space="preserve">invited to appoint </w:t>
      </w:r>
      <w:r w:rsidR="00F97454">
        <w:t xml:space="preserve">up to </w:t>
      </w:r>
      <w:r w:rsidR="00533E43">
        <w:t>3 Members each.</w:t>
      </w:r>
    </w:p>
    <w:p w14:paraId="20326FE1" w14:textId="15FBB743" w:rsidR="00A23E79" w:rsidRDefault="00F64140" w:rsidP="00A23E79">
      <w:pPr>
        <w:pStyle w:val="ListParagraph"/>
        <w:numPr>
          <w:ilvl w:val="0"/>
          <w:numId w:val="2"/>
        </w:numPr>
      </w:pPr>
      <w:r>
        <w:t xml:space="preserve">All groups may appoint up to 3 </w:t>
      </w:r>
      <w:r w:rsidR="00533E43">
        <w:t>A</w:t>
      </w:r>
      <w:r>
        <w:t xml:space="preserve">lternates, who will only participate if a Member is not available. </w:t>
      </w:r>
      <w:r w:rsidR="00533E43">
        <w:t>Alternates will be responsible for keeping up with all relevant EPDP WG deliberations to ensure they remain informed and can contribute when needed.</w:t>
      </w:r>
    </w:p>
    <w:p w14:paraId="72E775C5" w14:textId="4873C360" w:rsidR="003565C0" w:rsidRDefault="003565C0" w:rsidP="003565C0">
      <w:pPr>
        <w:pStyle w:val="ListParagraph"/>
        <w:numPr>
          <w:ilvl w:val="0"/>
          <w:numId w:val="2"/>
        </w:numPr>
      </w:pPr>
      <w:r>
        <w:t>2 ICANN Staff Liaisons (one from Legal, one from GDD)</w:t>
      </w:r>
    </w:p>
    <w:p w14:paraId="20DE4FE9" w14:textId="2856A8EE" w:rsidR="003565C0" w:rsidRDefault="00580CA5" w:rsidP="003565C0">
      <w:pPr>
        <w:pStyle w:val="ListParagraph"/>
        <w:numPr>
          <w:ilvl w:val="0"/>
          <w:numId w:val="2"/>
        </w:numPr>
      </w:pPr>
      <w:r>
        <w:t>2</w:t>
      </w:r>
      <w:r w:rsidR="003565C0">
        <w:t xml:space="preserve"> ICANN Board Liaison</w:t>
      </w:r>
      <w:r w:rsidR="00F97454">
        <w:t>s</w:t>
      </w:r>
      <w:r w:rsidR="003565C0">
        <w:t xml:space="preserve"> </w:t>
      </w:r>
    </w:p>
    <w:p w14:paraId="0DC5CE16" w14:textId="52BCB39F" w:rsidR="003565C0" w:rsidRDefault="003565C0" w:rsidP="003565C0">
      <w:pPr>
        <w:pStyle w:val="ListParagraph"/>
        <w:numPr>
          <w:ilvl w:val="0"/>
          <w:numId w:val="2"/>
        </w:numPr>
      </w:pPr>
      <w:r>
        <w:t>1 GNSO Council Liaison</w:t>
      </w:r>
    </w:p>
    <w:p w14:paraId="2C43AD2F" w14:textId="5F0EB464" w:rsidR="003565C0" w:rsidRDefault="003565C0" w:rsidP="003565C0">
      <w:pPr>
        <w:pStyle w:val="ListParagraph"/>
        <w:numPr>
          <w:ilvl w:val="0"/>
          <w:numId w:val="2"/>
        </w:numPr>
      </w:pPr>
      <w:r>
        <w:t>1 independent Chair (neutral, not from the WG membership/participants)</w:t>
      </w:r>
    </w:p>
    <w:p w14:paraId="522B50F2" w14:textId="483D612F" w:rsidR="00E9005E" w:rsidRDefault="00E9005E" w:rsidP="003565C0">
      <w:pPr>
        <w:pStyle w:val="ListParagraph"/>
        <w:numPr>
          <w:ilvl w:val="0"/>
          <w:numId w:val="2"/>
        </w:numPr>
      </w:pPr>
      <w:r>
        <w:t xml:space="preserve">The WG </w:t>
      </w:r>
      <w:r w:rsidR="00F64140">
        <w:t xml:space="preserve">may </w:t>
      </w:r>
      <w:r>
        <w:t>invite</w:t>
      </w:r>
      <w:r w:rsidR="002F53BF">
        <w:t xml:space="preserve"> expert </w:t>
      </w:r>
      <w:r w:rsidR="00402250">
        <w:t xml:space="preserve">contributors </w:t>
      </w:r>
      <w:r w:rsidR="00533E43">
        <w:t xml:space="preserve">and other resources </w:t>
      </w:r>
      <w:r w:rsidR="00402250">
        <w:t>as deemed necessary by the WG</w:t>
      </w:r>
      <w:r w:rsidR="00533E43">
        <w:t xml:space="preserve"> leadership.</w:t>
      </w:r>
    </w:p>
    <w:p w14:paraId="453B74E2" w14:textId="75C625F5" w:rsidR="00580CA5" w:rsidRDefault="00402250" w:rsidP="00580CA5">
      <w:pPr>
        <w:pStyle w:val="ListParagraph"/>
        <w:numPr>
          <w:ilvl w:val="0"/>
          <w:numId w:val="2"/>
        </w:numPr>
      </w:pPr>
      <w:r w:rsidRPr="00402250">
        <w:t xml:space="preserve">Observers may observe the EPDP Team and would be subscribed to the mailing list on a read-only </w:t>
      </w:r>
      <w:proofErr w:type="gramStart"/>
      <w:r w:rsidRPr="00402250">
        <w:t>basis</w:t>
      </w:r>
      <w:r w:rsidR="00533E43">
        <w:t>,</w:t>
      </w:r>
      <w:r w:rsidRPr="00402250">
        <w:t xml:space="preserve"> but</w:t>
      </w:r>
      <w:proofErr w:type="gramEnd"/>
      <w:r w:rsidRPr="00402250">
        <w:t xml:space="preserve"> are NOT able to post. Observers are NOT allowed to attend the EPDP Team meetings. </w:t>
      </w:r>
    </w:p>
    <w:p w14:paraId="782EA256" w14:textId="1E96AF7F" w:rsidR="00016175" w:rsidRDefault="00016175" w:rsidP="00016175">
      <w:pPr>
        <w:pStyle w:val="ListParagraph"/>
        <w:numPr>
          <w:ilvl w:val="0"/>
          <w:numId w:val="2"/>
        </w:numPr>
      </w:pPr>
      <w:r>
        <w:t>GNSO SG/C</w:t>
      </w:r>
      <w:r w:rsidR="00533E43">
        <w:t xml:space="preserve"> participation is </w:t>
      </w:r>
      <w:r>
        <w:t>required for</w:t>
      </w:r>
      <w:r w:rsidR="00533E43">
        <w:t xml:space="preserve"> establishing</w:t>
      </w:r>
      <w:r>
        <w:t xml:space="preserve"> consensus. </w:t>
      </w:r>
      <w:r w:rsidR="00533E43">
        <w:t>Lack of</w:t>
      </w:r>
      <w:r>
        <w:t xml:space="preserve"> </w:t>
      </w:r>
      <w:r w:rsidR="00533E43">
        <w:t xml:space="preserve">participation </w:t>
      </w:r>
      <w:r>
        <w:t>will be considered an abstention</w:t>
      </w:r>
      <w:r w:rsidR="00533E43">
        <w:t xml:space="preserve"> during a consensus call, if required.</w:t>
      </w:r>
    </w:p>
    <w:p w14:paraId="477F8F52" w14:textId="07E81BFF" w:rsidR="00016175" w:rsidRDefault="00016175" w:rsidP="00580CA5">
      <w:pPr>
        <w:pStyle w:val="ListParagraph"/>
        <w:numPr>
          <w:ilvl w:val="0"/>
          <w:numId w:val="2"/>
        </w:numPr>
      </w:pPr>
      <w:r>
        <w:t xml:space="preserve">SO/AC </w:t>
      </w:r>
      <w:r w:rsidR="00533E43">
        <w:t xml:space="preserve">participation is </w:t>
      </w:r>
      <w:r>
        <w:t xml:space="preserve">optional and not required for </w:t>
      </w:r>
      <w:r w:rsidR="00533E43">
        <w:t xml:space="preserve">establishing </w:t>
      </w:r>
      <w:r>
        <w:t>consensus.</w:t>
      </w:r>
    </w:p>
    <w:p w14:paraId="7ADB3489" w14:textId="24038FD4" w:rsidR="00533E43" w:rsidRDefault="00840F69" w:rsidP="00580CA5">
      <w:pPr>
        <w:pStyle w:val="ListParagraph"/>
        <w:numPr>
          <w:ilvl w:val="0"/>
          <w:numId w:val="2"/>
        </w:numPr>
      </w:pPr>
      <w:proofErr w:type="gramStart"/>
      <w:r>
        <w:t>For the purpose of</w:t>
      </w:r>
      <w:proofErr w:type="gramEnd"/>
      <w:r>
        <w:t xml:space="preserve"> assessing consensus, and i</w:t>
      </w:r>
      <w:r w:rsidR="00533E43">
        <w:t xml:space="preserve">n order to reflect </w:t>
      </w:r>
      <w:r>
        <w:t xml:space="preserve">and respect </w:t>
      </w:r>
      <w:r w:rsidR="00533E43">
        <w:t xml:space="preserve">the current balance and bicameral structure of the GNSO Council, the Chair shall apply necessary and appropriate weight to the positions of the respective groups, noting </w:t>
      </w:r>
      <w:r>
        <w:t xml:space="preserve">that increased </w:t>
      </w:r>
      <w:r w:rsidR="00533E43">
        <w:t>membership</w:t>
      </w:r>
      <w:r>
        <w:t xml:space="preserve"> from BC, IPC and ISPCP </w:t>
      </w:r>
      <w:r w:rsidR="00533E43">
        <w:t>relative to the CPH upsets that balance.</w:t>
      </w:r>
      <w:r>
        <w:t xml:space="preserve"> The CPH must not be disadvantaged as a result during any assessment of consensus.</w:t>
      </w:r>
    </w:p>
    <w:p w14:paraId="08E6B824" w14:textId="7B76FCAA" w:rsidR="00580CA5" w:rsidRDefault="00580CA5" w:rsidP="00580CA5">
      <w:pPr>
        <w:pStyle w:val="ListParagraph"/>
      </w:pPr>
    </w:p>
    <w:tbl>
      <w:tblPr>
        <w:tblStyle w:val="TableGrid"/>
        <w:tblW w:w="0" w:type="auto"/>
        <w:tblLook w:val="04A0" w:firstRow="1" w:lastRow="0" w:firstColumn="1" w:lastColumn="0" w:noHBand="0" w:noVBand="1"/>
      </w:tblPr>
      <w:tblGrid>
        <w:gridCol w:w="1458"/>
        <w:gridCol w:w="1828"/>
        <w:gridCol w:w="1382"/>
        <w:gridCol w:w="1435"/>
        <w:gridCol w:w="1500"/>
      </w:tblGrid>
      <w:tr w:rsidR="001B2C0C" w14:paraId="0BA5F85C" w14:textId="77777777" w:rsidTr="00F64140">
        <w:trPr>
          <w:trHeight w:val="503"/>
        </w:trPr>
        <w:tc>
          <w:tcPr>
            <w:tcW w:w="1458" w:type="dxa"/>
          </w:tcPr>
          <w:p w14:paraId="76EB519A" w14:textId="064F874A" w:rsidR="001B2C0C" w:rsidRDefault="001B2C0C" w:rsidP="00A32B67">
            <w:pPr>
              <w:jc w:val="center"/>
            </w:pPr>
            <w:bookmarkStart w:id="0" w:name="_Hlk517775466"/>
            <w:r>
              <w:t>GROUP</w:t>
            </w:r>
          </w:p>
        </w:tc>
        <w:tc>
          <w:tcPr>
            <w:tcW w:w="1828" w:type="dxa"/>
          </w:tcPr>
          <w:p w14:paraId="58C6F6CB" w14:textId="130AAB48" w:rsidR="001B2C0C" w:rsidRDefault="001B2C0C" w:rsidP="00A32B67">
            <w:pPr>
              <w:jc w:val="center"/>
            </w:pPr>
            <w:r>
              <w:t>MEMBERS</w:t>
            </w:r>
          </w:p>
        </w:tc>
        <w:tc>
          <w:tcPr>
            <w:tcW w:w="1382" w:type="dxa"/>
          </w:tcPr>
          <w:p w14:paraId="7CA0B30B" w14:textId="77777777" w:rsidR="001B2C0C" w:rsidRDefault="001B2C0C" w:rsidP="00A32B67">
            <w:pPr>
              <w:jc w:val="center"/>
            </w:pPr>
            <w:r>
              <w:t>ALTERNATES</w:t>
            </w:r>
          </w:p>
          <w:p w14:paraId="010B5C2D" w14:textId="4317A1A3" w:rsidR="001B2C0C" w:rsidRDefault="001B2C0C" w:rsidP="00A32B67">
            <w:pPr>
              <w:jc w:val="center"/>
            </w:pPr>
          </w:p>
        </w:tc>
        <w:tc>
          <w:tcPr>
            <w:tcW w:w="1435" w:type="dxa"/>
          </w:tcPr>
          <w:p w14:paraId="0734EFCE" w14:textId="109A0DAD" w:rsidR="001B2C0C" w:rsidRDefault="001B2C0C" w:rsidP="00A32B67">
            <w:pPr>
              <w:jc w:val="center"/>
            </w:pPr>
            <w:r>
              <w:t>LIAISONS</w:t>
            </w:r>
          </w:p>
        </w:tc>
        <w:tc>
          <w:tcPr>
            <w:tcW w:w="1500" w:type="dxa"/>
          </w:tcPr>
          <w:p w14:paraId="63F6BC62" w14:textId="7F902667" w:rsidR="001B2C0C" w:rsidRDefault="001B2C0C" w:rsidP="00A32B67">
            <w:pPr>
              <w:jc w:val="center"/>
            </w:pPr>
            <w:r>
              <w:t>TOTAL MEMBERS</w:t>
            </w:r>
          </w:p>
        </w:tc>
      </w:tr>
      <w:tr w:rsidR="001B2C0C" w14:paraId="40EE242E" w14:textId="77777777" w:rsidTr="00F64140">
        <w:tc>
          <w:tcPr>
            <w:tcW w:w="1458" w:type="dxa"/>
          </w:tcPr>
          <w:p w14:paraId="408F5550" w14:textId="495B8FAC" w:rsidR="001B2C0C" w:rsidRDefault="001B2C0C" w:rsidP="00A32B67">
            <w:r>
              <w:t>RySG</w:t>
            </w:r>
          </w:p>
        </w:tc>
        <w:tc>
          <w:tcPr>
            <w:tcW w:w="1828" w:type="dxa"/>
          </w:tcPr>
          <w:p w14:paraId="0E1C036C" w14:textId="0F7FD901" w:rsidR="001B2C0C" w:rsidRDefault="001B2C0C" w:rsidP="00A32B67">
            <w:pPr>
              <w:jc w:val="center"/>
            </w:pPr>
            <w:r>
              <w:t>3</w:t>
            </w:r>
          </w:p>
        </w:tc>
        <w:tc>
          <w:tcPr>
            <w:tcW w:w="1382" w:type="dxa"/>
          </w:tcPr>
          <w:p w14:paraId="2B10ADE4" w14:textId="1B59B450" w:rsidR="001B2C0C" w:rsidRDefault="001B2C0C" w:rsidP="00A32B67">
            <w:pPr>
              <w:jc w:val="center"/>
            </w:pPr>
            <w:r>
              <w:t>3</w:t>
            </w:r>
          </w:p>
        </w:tc>
        <w:tc>
          <w:tcPr>
            <w:tcW w:w="1435" w:type="dxa"/>
          </w:tcPr>
          <w:p w14:paraId="028C9DDB" w14:textId="2BDBD1E9" w:rsidR="001B2C0C" w:rsidRDefault="001B2C0C" w:rsidP="00A32B67">
            <w:pPr>
              <w:jc w:val="center"/>
            </w:pPr>
          </w:p>
        </w:tc>
        <w:tc>
          <w:tcPr>
            <w:tcW w:w="1500" w:type="dxa"/>
          </w:tcPr>
          <w:p w14:paraId="63BC113C" w14:textId="461EDC1B" w:rsidR="001B2C0C" w:rsidRDefault="001B2C0C" w:rsidP="00A32B67">
            <w:pPr>
              <w:jc w:val="center"/>
            </w:pPr>
            <w:r>
              <w:t>3</w:t>
            </w:r>
          </w:p>
        </w:tc>
      </w:tr>
      <w:tr w:rsidR="001B2C0C" w14:paraId="5F13FB84" w14:textId="77777777" w:rsidTr="00F64140">
        <w:tc>
          <w:tcPr>
            <w:tcW w:w="1458" w:type="dxa"/>
          </w:tcPr>
          <w:p w14:paraId="0AEEDC72" w14:textId="0D110ADC" w:rsidR="001B2C0C" w:rsidRDefault="001B2C0C" w:rsidP="00A32B67">
            <w:r>
              <w:t>RrSG</w:t>
            </w:r>
          </w:p>
        </w:tc>
        <w:tc>
          <w:tcPr>
            <w:tcW w:w="1828" w:type="dxa"/>
          </w:tcPr>
          <w:p w14:paraId="714B9025" w14:textId="4CC3DE5B" w:rsidR="001B2C0C" w:rsidRDefault="001B2C0C" w:rsidP="00A32B67">
            <w:pPr>
              <w:jc w:val="center"/>
            </w:pPr>
            <w:r>
              <w:t>3</w:t>
            </w:r>
          </w:p>
        </w:tc>
        <w:tc>
          <w:tcPr>
            <w:tcW w:w="1382" w:type="dxa"/>
          </w:tcPr>
          <w:p w14:paraId="2501D4A2" w14:textId="5B671BA8" w:rsidR="001B2C0C" w:rsidRDefault="001B2C0C" w:rsidP="00A32B67">
            <w:pPr>
              <w:jc w:val="center"/>
            </w:pPr>
            <w:r>
              <w:t>3</w:t>
            </w:r>
          </w:p>
        </w:tc>
        <w:tc>
          <w:tcPr>
            <w:tcW w:w="1435" w:type="dxa"/>
          </w:tcPr>
          <w:p w14:paraId="2EBFCB4B" w14:textId="39EBC56E" w:rsidR="001B2C0C" w:rsidRDefault="001B2C0C" w:rsidP="00A32B67">
            <w:pPr>
              <w:jc w:val="center"/>
            </w:pPr>
          </w:p>
        </w:tc>
        <w:tc>
          <w:tcPr>
            <w:tcW w:w="1500" w:type="dxa"/>
          </w:tcPr>
          <w:p w14:paraId="7AE5DB1E" w14:textId="28EEC270" w:rsidR="001B2C0C" w:rsidRDefault="001B2C0C" w:rsidP="00A32B67">
            <w:pPr>
              <w:jc w:val="center"/>
            </w:pPr>
            <w:r>
              <w:t>3</w:t>
            </w:r>
          </w:p>
        </w:tc>
      </w:tr>
      <w:tr w:rsidR="001B2C0C" w14:paraId="30870198" w14:textId="77777777" w:rsidTr="00F64140">
        <w:tc>
          <w:tcPr>
            <w:tcW w:w="1458" w:type="dxa"/>
          </w:tcPr>
          <w:p w14:paraId="1CA4ED44" w14:textId="5515BBD7" w:rsidR="001B2C0C" w:rsidRDefault="001B2C0C" w:rsidP="00A32B67">
            <w:r>
              <w:t>IPC</w:t>
            </w:r>
          </w:p>
        </w:tc>
        <w:tc>
          <w:tcPr>
            <w:tcW w:w="1828" w:type="dxa"/>
          </w:tcPr>
          <w:p w14:paraId="705C89B6" w14:textId="63C91007" w:rsidR="001B2C0C" w:rsidRDefault="001B2C0C" w:rsidP="00A32B67">
            <w:pPr>
              <w:jc w:val="center"/>
            </w:pPr>
            <w:r>
              <w:t>3</w:t>
            </w:r>
          </w:p>
        </w:tc>
        <w:tc>
          <w:tcPr>
            <w:tcW w:w="1382" w:type="dxa"/>
          </w:tcPr>
          <w:p w14:paraId="09F93E49" w14:textId="1D9CD785" w:rsidR="001B2C0C" w:rsidRDefault="001B2C0C" w:rsidP="00A32B67">
            <w:pPr>
              <w:jc w:val="center"/>
            </w:pPr>
            <w:r>
              <w:t>3</w:t>
            </w:r>
          </w:p>
        </w:tc>
        <w:tc>
          <w:tcPr>
            <w:tcW w:w="1435" w:type="dxa"/>
          </w:tcPr>
          <w:p w14:paraId="43FB71DA" w14:textId="5247078B" w:rsidR="001B2C0C" w:rsidRDefault="001B2C0C" w:rsidP="00A32B67">
            <w:pPr>
              <w:jc w:val="center"/>
            </w:pPr>
          </w:p>
        </w:tc>
        <w:tc>
          <w:tcPr>
            <w:tcW w:w="1500" w:type="dxa"/>
          </w:tcPr>
          <w:p w14:paraId="291BF4B1" w14:textId="5FB6DD26" w:rsidR="001B2C0C" w:rsidRDefault="001B2C0C" w:rsidP="00A32B67">
            <w:pPr>
              <w:jc w:val="center"/>
            </w:pPr>
            <w:r>
              <w:t>3</w:t>
            </w:r>
          </w:p>
        </w:tc>
      </w:tr>
      <w:tr w:rsidR="001B2C0C" w14:paraId="48485797" w14:textId="77777777" w:rsidTr="00F64140">
        <w:tc>
          <w:tcPr>
            <w:tcW w:w="1458" w:type="dxa"/>
          </w:tcPr>
          <w:p w14:paraId="4654EF26" w14:textId="0C0C54DF" w:rsidR="001B2C0C" w:rsidRDefault="001B2C0C" w:rsidP="00A32B67">
            <w:r>
              <w:t>BC</w:t>
            </w:r>
          </w:p>
        </w:tc>
        <w:tc>
          <w:tcPr>
            <w:tcW w:w="1828" w:type="dxa"/>
          </w:tcPr>
          <w:p w14:paraId="6D95C968" w14:textId="3C8E9605" w:rsidR="001B2C0C" w:rsidRDefault="001B2C0C" w:rsidP="00A32B67">
            <w:pPr>
              <w:jc w:val="center"/>
            </w:pPr>
            <w:r>
              <w:t>3</w:t>
            </w:r>
          </w:p>
        </w:tc>
        <w:tc>
          <w:tcPr>
            <w:tcW w:w="1382" w:type="dxa"/>
          </w:tcPr>
          <w:p w14:paraId="0D285C2F" w14:textId="2504DAD7" w:rsidR="001B2C0C" w:rsidRDefault="001B2C0C" w:rsidP="00A32B67">
            <w:pPr>
              <w:jc w:val="center"/>
            </w:pPr>
            <w:r>
              <w:t>3</w:t>
            </w:r>
          </w:p>
        </w:tc>
        <w:tc>
          <w:tcPr>
            <w:tcW w:w="1435" w:type="dxa"/>
          </w:tcPr>
          <w:p w14:paraId="0E2B5513" w14:textId="39D72161" w:rsidR="001B2C0C" w:rsidRDefault="001B2C0C" w:rsidP="00A32B67">
            <w:pPr>
              <w:jc w:val="center"/>
            </w:pPr>
          </w:p>
        </w:tc>
        <w:tc>
          <w:tcPr>
            <w:tcW w:w="1500" w:type="dxa"/>
          </w:tcPr>
          <w:p w14:paraId="265C918B" w14:textId="054ED6E5" w:rsidR="001B2C0C" w:rsidRDefault="001B2C0C" w:rsidP="00A32B67">
            <w:pPr>
              <w:jc w:val="center"/>
            </w:pPr>
            <w:r>
              <w:t>3</w:t>
            </w:r>
          </w:p>
        </w:tc>
      </w:tr>
      <w:tr w:rsidR="001B2C0C" w14:paraId="31E69A60" w14:textId="77777777" w:rsidTr="00F64140">
        <w:tc>
          <w:tcPr>
            <w:tcW w:w="1458" w:type="dxa"/>
          </w:tcPr>
          <w:p w14:paraId="1A550A62" w14:textId="6F87A6F4" w:rsidR="001B2C0C" w:rsidRDefault="001B2C0C" w:rsidP="00A32B67">
            <w:r>
              <w:t>ISPCP</w:t>
            </w:r>
          </w:p>
        </w:tc>
        <w:tc>
          <w:tcPr>
            <w:tcW w:w="1828" w:type="dxa"/>
          </w:tcPr>
          <w:p w14:paraId="71EC8A24" w14:textId="2CE34C33" w:rsidR="001B2C0C" w:rsidRDefault="001B2C0C" w:rsidP="00A32B67">
            <w:pPr>
              <w:jc w:val="center"/>
            </w:pPr>
            <w:r>
              <w:t>3</w:t>
            </w:r>
          </w:p>
        </w:tc>
        <w:tc>
          <w:tcPr>
            <w:tcW w:w="1382" w:type="dxa"/>
          </w:tcPr>
          <w:p w14:paraId="26153E44" w14:textId="464C358F" w:rsidR="001B2C0C" w:rsidRDefault="001B2C0C" w:rsidP="00A32B67">
            <w:pPr>
              <w:jc w:val="center"/>
            </w:pPr>
            <w:r>
              <w:t>3</w:t>
            </w:r>
          </w:p>
        </w:tc>
        <w:tc>
          <w:tcPr>
            <w:tcW w:w="1435" w:type="dxa"/>
          </w:tcPr>
          <w:p w14:paraId="47DCCD93" w14:textId="606537A9" w:rsidR="001B2C0C" w:rsidRDefault="001B2C0C" w:rsidP="00A32B67">
            <w:pPr>
              <w:jc w:val="center"/>
            </w:pPr>
          </w:p>
        </w:tc>
        <w:tc>
          <w:tcPr>
            <w:tcW w:w="1500" w:type="dxa"/>
          </w:tcPr>
          <w:p w14:paraId="1A7C6976" w14:textId="3C96CBBC" w:rsidR="001B2C0C" w:rsidRDefault="001B2C0C" w:rsidP="00A32B67">
            <w:pPr>
              <w:jc w:val="center"/>
            </w:pPr>
            <w:r>
              <w:t>3</w:t>
            </w:r>
          </w:p>
        </w:tc>
      </w:tr>
      <w:tr w:rsidR="001B2C0C" w14:paraId="74B8AD99" w14:textId="77777777" w:rsidTr="00F64140">
        <w:tc>
          <w:tcPr>
            <w:tcW w:w="1458" w:type="dxa"/>
          </w:tcPr>
          <w:p w14:paraId="76BD2BCA" w14:textId="0A5F6D7A" w:rsidR="001B2C0C" w:rsidRDefault="001B2C0C" w:rsidP="00A32B67">
            <w:r>
              <w:t>NCSG</w:t>
            </w:r>
          </w:p>
        </w:tc>
        <w:tc>
          <w:tcPr>
            <w:tcW w:w="1828" w:type="dxa"/>
          </w:tcPr>
          <w:p w14:paraId="5CAA33E5" w14:textId="3A1624E3" w:rsidR="001B2C0C" w:rsidRDefault="001B2C0C" w:rsidP="00A32B67">
            <w:pPr>
              <w:jc w:val="center"/>
            </w:pPr>
            <w:r>
              <w:t>3</w:t>
            </w:r>
          </w:p>
        </w:tc>
        <w:tc>
          <w:tcPr>
            <w:tcW w:w="1382" w:type="dxa"/>
          </w:tcPr>
          <w:p w14:paraId="30C70BD7" w14:textId="74AF856A" w:rsidR="001B2C0C" w:rsidRDefault="001B2C0C" w:rsidP="00A32B67">
            <w:pPr>
              <w:jc w:val="center"/>
            </w:pPr>
            <w:r>
              <w:t>3</w:t>
            </w:r>
          </w:p>
        </w:tc>
        <w:tc>
          <w:tcPr>
            <w:tcW w:w="1435" w:type="dxa"/>
          </w:tcPr>
          <w:p w14:paraId="0548806F" w14:textId="18027173" w:rsidR="001B2C0C" w:rsidRDefault="001B2C0C" w:rsidP="00A32B67">
            <w:pPr>
              <w:jc w:val="center"/>
            </w:pPr>
          </w:p>
        </w:tc>
        <w:tc>
          <w:tcPr>
            <w:tcW w:w="1500" w:type="dxa"/>
          </w:tcPr>
          <w:p w14:paraId="0895C524" w14:textId="0012BC26" w:rsidR="001B2C0C" w:rsidRDefault="001B2C0C" w:rsidP="00A32B67">
            <w:pPr>
              <w:jc w:val="center"/>
            </w:pPr>
            <w:r>
              <w:t>3</w:t>
            </w:r>
          </w:p>
        </w:tc>
      </w:tr>
      <w:tr w:rsidR="001B2C0C" w14:paraId="0931BC75" w14:textId="77777777" w:rsidTr="00F64140">
        <w:tc>
          <w:tcPr>
            <w:tcW w:w="1458" w:type="dxa"/>
          </w:tcPr>
          <w:p w14:paraId="6BE8B746" w14:textId="61B85E2A" w:rsidR="001B2C0C" w:rsidRDefault="001B2C0C" w:rsidP="00A32B67">
            <w:r>
              <w:t>GAC</w:t>
            </w:r>
          </w:p>
        </w:tc>
        <w:tc>
          <w:tcPr>
            <w:tcW w:w="1828" w:type="dxa"/>
          </w:tcPr>
          <w:p w14:paraId="7C626665" w14:textId="3EA7DBEA" w:rsidR="001B2C0C" w:rsidRDefault="001B2C0C" w:rsidP="00A32B67">
            <w:pPr>
              <w:jc w:val="center"/>
            </w:pPr>
            <w:r>
              <w:t>3</w:t>
            </w:r>
          </w:p>
        </w:tc>
        <w:tc>
          <w:tcPr>
            <w:tcW w:w="1382" w:type="dxa"/>
          </w:tcPr>
          <w:p w14:paraId="1D01A22B" w14:textId="4C6FB173" w:rsidR="001B2C0C" w:rsidRDefault="001B2C0C" w:rsidP="00A32B67">
            <w:pPr>
              <w:jc w:val="center"/>
            </w:pPr>
            <w:r>
              <w:t>3</w:t>
            </w:r>
          </w:p>
        </w:tc>
        <w:tc>
          <w:tcPr>
            <w:tcW w:w="1435" w:type="dxa"/>
          </w:tcPr>
          <w:p w14:paraId="7CA72217" w14:textId="5F1E0062" w:rsidR="001B2C0C" w:rsidRDefault="001B2C0C" w:rsidP="00A32B67">
            <w:pPr>
              <w:jc w:val="center"/>
            </w:pPr>
          </w:p>
        </w:tc>
        <w:tc>
          <w:tcPr>
            <w:tcW w:w="1500" w:type="dxa"/>
          </w:tcPr>
          <w:p w14:paraId="65FF2B6C" w14:textId="762186F6" w:rsidR="001B2C0C" w:rsidRDefault="001B2C0C" w:rsidP="00A32B67">
            <w:pPr>
              <w:jc w:val="center"/>
            </w:pPr>
            <w:r>
              <w:t>3</w:t>
            </w:r>
          </w:p>
        </w:tc>
      </w:tr>
      <w:tr w:rsidR="001B2C0C" w14:paraId="54539925" w14:textId="77777777" w:rsidTr="00F64140">
        <w:tc>
          <w:tcPr>
            <w:tcW w:w="1458" w:type="dxa"/>
          </w:tcPr>
          <w:p w14:paraId="54178F66" w14:textId="5D0934E3" w:rsidR="001B2C0C" w:rsidRDefault="001B2C0C" w:rsidP="00A32B67">
            <w:r>
              <w:t>ALAC</w:t>
            </w:r>
          </w:p>
        </w:tc>
        <w:tc>
          <w:tcPr>
            <w:tcW w:w="1828" w:type="dxa"/>
          </w:tcPr>
          <w:p w14:paraId="3C329320" w14:textId="1CF63E0E" w:rsidR="001B2C0C" w:rsidRDefault="001B2C0C" w:rsidP="00A32B67">
            <w:pPr>
              <w:jc w:val="center"/>
            </w:pPr>
            <w:r>
              <w:t>3</w:t>
            </w:r>
          </w:p>
        </w:tc>
        <w:tc>
          <w:tcPr>
            <w:tcW w:w="1382" w:type="dxa"/>
          </w:tcPr>
          <w:p w14:paraId="25956384" w14:textId="078F7B5E" w:rsidR="001B2C0C" w:rsidRDefault="001B2C0C" w:rsidP="00A32B67">
            <w:pPr>
              <w:jc w:val="center"/>
            </w:pPr>
            <w:r>
              <w:t>3</w:t>
            </w:r>
          </w:p>
        </w:tc>
        <w:tc>
          <w:tcPr>
            <w:tcW w:w="1435" w:type="dxa"/>
          </w:tcPr>
          <w:p w14:paraId="7F4D7EDE" w14:textId="62B71B0B" w:rsidR="001B2C0C" w:rsidRDefault="001B2C0C" w:rsidP="00A32B67">
            <w:pPr>
              <w:jc w:val="center"/>
            </w:pPr>
          </w:p>
        </w:tc>
        <w:tc>
          <w:tcPr>
            <w:tcW w:w="1500" w:type="dxa"/>
          </w:tcPr>
          <w:p w14:paraId="7B42FF93" w14:textId="10D5FC2B" w:rsidR="001B2C0C" w:rsidRDefault="001B2C0C" w:rsidP="00A32B67">
            <w:pPr>
              <w:jc w:val="center"/>
            </w:pPr>
            <w:r>
              <w:t>3</w:t>
            </w:r>
          </w:p>
        </w:tc>
      </w:tr>
      <w:tr w:rsidR="001B2C0C" w14:paraId="2C7E6F74" w14:textId="77777777" w:rsidTr="00F64140">
        <w:tc>
          <w:tcPr>
            <w:tcW w:w="1458" w:type="dxa"/>
          </w:tcPr>
          <w:p w14:paraId="6F0C83CD" w14:textId="034F12B1" w:rsidR="001B2C0C" w:rsidRDefault="001B2C0C" w:rsidP="00A32B67">
            <w:r>
              <w:t>SSAC</w:t>
            </w:r>
          </w:p>
        </w:tc>
        <w:tc>
          <w:tcPr>
            <w:tcW w:w="1828" w:type="dxa"/>
          </w:tcPr>
          <w:p w14:paraId="1D508628" w14:textId="7198B9EC" w:rsidR="001B2C0C" w:rsidRDefault="001B2C0C" w:rsidP="00A32B67">
            <w:pPr>
              <w:jc w:val="center"/>
            </w:pPr>
            <w:r>
              <w:t>3</w:t>
            </w:r>
          </w:p>
        </w:tc>
        <w:tc>
          <w:tcPr>
            <w:tcW w:w="1382" w:type="dxa"/>
          </w:tcPr>
          <w:p w14:paraId="76D79AB8" w14:textId="65560F37" w:rsidR="001B2C0C" w:rsidRDefault="001B2C0C" w:rsidP="00A32B67">
            <w:pPr>
              <w:jc w:val="center"/>
            </w:pPr>
            <w:r>
              <w:t>3</w:t>
            </w:r>
          </w:p>
        </w:tc>
        <w:tc>
          <w:tcPr>
            <w:tcW w:w="1435" w:type="dxa"/>
          </w:tcPr>
          <w:p w14:paraId="072E2549" w14:textId="6F1795B8" w:rsidR="001B2C0C" w:rsidRDefault="001B2C0C" w:rsidP="00A32B67">
            <w:pPr>
              <w:jc w:val="center"/>
            </w:pPr>
          </w:p>
        </w:tc>
        <w:tc>
          <w:tcPr>
            <w:tcW w:w="1500" w:type="dxa"/>
          </w:tcPr>
          <w:p w14:paraId="35377B35" w14:textId="60AA6C04" w:rsidR="001B2C0C" w:rsidRDefault="001B2C0C" w:rsidP="00A32B67">
            <w:pPr>
              <w:jc w:val="center"/>
            </w:pPr>
            <w:r>
              <w:t>3</w:t>
            </w:r>
          </w:p>
        </w:tc>
      </w:tr>
      <w:tr w:rsidR="001B2C0C" w14:paraId="2641C16D" w14:textId="77777777" w:rsidTr="00F64140">
        <w:tc>
          <w:tcPr>
            <w:tcW w:w="1458" w:type="dxa"/>
          </w:tcPr>
          <w:p w14:paraId="3F5CFF5E" w14:textId="48BFC9B5" w:rsidR="001B2C0C" w:rsidRDefault="001B2C0C" w:rsidP="00A32B67">
            <w:proofErr w:type="spellStart"/>
            <w:r>
              <w:t>ccNSO</w:t>
            </w:r>
            <w:proofErr w:type="spellEnd"/>
          </w:p>
        </w:tc>
        <w:tc>
          <w:tcPr>
            <w:tcW w:w="1828" w:type="dxa"/>
          </w:tcPr>
          <w:p w14:paraId="1B4CD623" w14:textId="228D4D3F" w:rsidR="001B2C0C" w:rsidRDefault="001B2C0C" w:rsidP="00A32B67">
            <w:pPr>
              <w:jc w:val="center"/>
            </w:pPr>
            <w:r>
              <w:t>3</w:t>
            </w:r>
          </w:p>
        </w:tc>
        <w:tc>
          <w:tcPr>
            <w:tcW w:w="1382" w:type="dxa"/>
          </w:tcPr>
          <w:p w14:paraId="6DBFCCA9" w14:textId="2F0D2FCB" w:rsidR="001B2C0C" w:rsidRDefault="001B2C0C" w:rsidP="00A32B67">
            <w:pPr>
              <w:jc w:val="center"/>
            </w:pPr>
            <w:r>
              <w:t>3</w:t>
            </w:r>
          </w:p>
        </w:tc>
        <w:tc>
          <w:tcPr>
            <w:tcW w:w="1435" w:type="dxa"/>
          </w:tcPr>
          <w:p w14:paraId="721B6853" w14:textId="77777777" w:rsidR="001B2C0C" w:rsidRDefault="001B2C0C" w:rsidP="00A32B67">
            <w:pPr>
              <w:jc w:val="center"/>
            </w:pPr>
          </w:p>
        </w:tc>
        <w:tc>
          <w:tcPr>
            <w:tcW w:w="1500" w:type="dxa"/>
          </w:tcPr>
          <w:p w14:paraId="207E3EF3" w14:textId="27EF5D9B" w:rsidR="001B2C0C" w:rsidRDefault="001B2C0C" w:rsidP="00A32B67">
            <w:pPr>
              <w:jc w:val="center"/>
            </w:pPr>
            <w:r>
              <w:t>3</w:t>
            </w:r>
          </w:p>
        </w:tc>
      </w:tr>
      <w:tr w:rsidR="001B2C0C" w14:paraId="4C1B9E41" w14:textId="77777777" w:rsidTr="00F64140">
        <w:tc>
          <w:tcPr>
            <w:tcW w:w="1458" w:type="dxa"/>
          </w:tcPr>
          <w:p w14:paraId="5BB38095" w14:textId="3C3563C9" w:rsidR="001B2C0C" w:rsidRDefault="001B2C0C" w:rsidP="00A32B67">
            <w:r>
              <w:t>ICANN STAFF</w:t>
            </w:r>
          </w:p>
        </w:tc>
        <w:tc>
          <w:tcPr>
            <w:tcW w:w="1828" w:type="dxa"/>
          </w:tcPr>
          <w:p w14:paraId="3792182F" w14:textId="675F3F4F" w:rsidR="001B2C0C" w:rsidRDefault="001B2C0C" w:rsidP="00A32B67">
            <w:pPr>
              <w:jc w:val="center"/>
            </w:pPr>
          </w:p>
        </w:tc>
        <w:tc>
          <w:tcPr>
            <w:tcW w:w="1382" w:type="dxa"/>
          </w:tcPr>
          <w:p w14:paraId="5D1CD732" w14:textId="4C0C9CE7" w:rsidR="001B2C0C" w:rsidRDefault="001B2C0C" w:rsidP="00A32B67">
            <w:pPr>
              <w:jc w:val="center"/>
            </w:pPr>
          </w:p>
        </w:tc>
        <w:tc>
          <w:tcPr>
            <w:tcW w:w="1435" w:type="dxa"/>
          </w:tcPr>
          <w:p w14:paraId="4461EDFD" w14:textId="1AEC36A4" w:rsidR="001B2C0C" w:rsidRDefault="001B2C0C" w:rsidP="00A32B67">
            <w:pPr>
              <w:jc w:val="center"/>
            </w:pPr>
            <w:r>
              <w:t>2</w:t>
            </w:r>
          </w:p>
        </w:tc>
        <w:tc>
          <w:tcPr>
            <w:tcW w:w="1500" w:type="dxa"/>
          </w:tcPr>
          <w:p w14:paraId="7AB6A66D" w14:textId="54B116A4" w:rsidR="001B2C0C" w:rsidRDefault="001B2C0C" w:rsidP="00A32B67">
            <w:pPr>
              <w:jc w:val="center"/>
            </w:pPr>
            <w:r>
              <w:t>2</w:t>
            </w:r>
          </w:p>
        </w:tc>
      </w:tr>
      <w:tr w:rsidR="001B2C0C" w14:paraId="78C600A3" w14:textId="77777777" w:rsidTr="00F64140">
        <w:tc>
          <w:tcPr>
            <w:tcW w:w="1458" w:type="dxa"/>
          </w:tcPr>
          <w:p w14:paraId="1AA4A616" w14:textId="2D176EF1" w:rsidR="001B2C0C" w:rsidRDefault="001B2C0C" w:rsidP="00A32B67">
            <w:r>
              <w:t>ICANN BOARD</w:t>
            </w:r>
          </w:p>
        </w:tc>
        <w:tc>
          <w:tcPr>
            <w:tcW w:w="1828" w:type="dxa"/>
          </w:tcPr>
          <w:p w14:paraId="27401C5E" w14:textId="77777777" w:rsidR="001B2C0C" w:rsidRDefault="001B2C0C" w:rsidP="00A32B67">
            <w:pPr>
              <w:jc w:val="center"/>
            </w:pPr>
          </w:p>
        </w:tc>
        <w:tc>
          <w:tcPr>
            <w:tcW w:w="1382" w:type="dxa"/>
          </w:tcPr>
          <w:p w14:paraId="48957FDE" w14:textId="77777777" w:rsidR="001B2C0C" w:rsidRDefault="001B2C0C" w:rsidP="00A32B67">
            <w:pPr>
              <w:jc w:val="center"/>
            </w:pPr>
          </w:p>
        </w:tc>
        <w:tc>
          <w:tcPr>
            <w:tcW w:w="1435" w:type="dxa"/>
          </w:tcPr>
          <w:p w14:paraId="579EC9F2" w14:textId="01739D52" w:rsidR="001B2C0C" w:rsidRDefault="001B2C0C" w:rsidP="00A32B67">
            <w:pPr>
              <w:jc w:val="center"/>
            </w:pPr>
            <w:r>
              <w:t>2</w:t>
            </w:r>
          </w:p>
        </w:tc>
        <w:tc>
          <w:tcPr>
            <w:tcW w:w="1500" w:type="dxa"/>
          </w:tcPr>
          <w:p w14:paraId="618CFCAA" w14:textId="4B092922" w:rsidR="001B2C0C" w:rsidRDefault="001B2C0C" w:rsidP="00A32B67">
            <w:pPr>
              <w:jc w:val="center"/>
            </w:pPr>
            <w:r>
              <w:t>2</w:t>
            </w:r>
          </w:p>
        </w:tc>
      </w:tr>
      <w:tr w:rsidR="001B2C0C" w14:paraId="1A261C55" w14:textId="77777777" w:rsidTr="00F64140">
        <w:tc>
          <w:tcPr>
            <w:tcW w:w="1458" w:type="dxa"/>
          </w:tcPr>
          <w:p w14:paraId="0B33E3AC" w14:textId="608AD27F" w:rsidR="001B2C0C" w:rsidRDefault="001B2C0C" w:rsidP="00A32B67">
            <w:r>
              <w:lastRenderedPageBreak/>
              <w:t>GNSO COUNCIL</w:t>
            </w:r>
          </w:p>
        </w:tc>
        <w:tc>
          <w:tcPr>
            <w:tcW w:w="1828" w:type="dxa"/>
          </w:tcPr>
          <w:p w14:paraId="24594BD8" w14:textId="77777777" w:rsidR="001B2C0C" w:rsidRDefault="001B2C0C" w:rsidP="00A32B67">
            <w:pPr>
              <w:jc w:val="center"/>
            </w:pPr>
          </w:p>
        </w:tc>
        <w:tc>
          <w:tcPr>
            <w:tcW w:w="1382" w:type="dxa"/>
          </w:tcPr>
          <w:p w14:paraId="710AC37C" w14:textId="77777777" w:rsidR="001B2C0C" w:rsidRDefault="001B2C0C" w:rsidP="00A32B67">
            <w:pPr>
              <w:jc w:val="center"/>
            </w:pPr>
          </w:p>
        </w:tc>
        <w:tc>
          <w:tcPr>
            <w:tcW w:w="1435" w:type="dxa"/>
          </w:tcPr>
          <w:p w14:paraId="4263232A" w14:textId="298943BE" w:rsidR="001B2C0C" w:rsidRDefault="001B2C0C" w:rsidP="00A32B67">
            <w:pPr>
              <w:jc w:val="center"/>
            </w:pPr>
            <w:r>
              <w:t>1</w:t>
            </w:r>
          </w:p>
        </w:tc>
        <w:tc>
          <w:tcPr>
            <w:tcW w:w="1500" w:type="dxa"/>
          </w:tcPr>
          <w:p w14:paraId="10BF68DA" w14:textId="0ADE7D5E" w:rsidR="001B2C0C" w:rsidRDefault="001B2C0C" w:rsidP="00A32B67">
            <w:pPr>
              <w:jc w:val="center"/>
            </w:pPr>
            <w:r>
              <w:t>1</w:t>
            </w:r>
          </w:p>
        </w:tc>
      </w:tr>
      <w:tr w:rsidR="001B2C0C" w14:paraId="3B9D1D0E" w14:textId="77777777" w:rsidTr="00F64140">
        <w:tc>
          <w:tcPr>
            <w:tcW w:w="1458" w:type="dxa"/>
          </w:tcPr>
          <w:p w14:paraId="04DC0127" w14:textId="7B83D7BC" w:rsidR="001B2C0C" w:rsidRDefault="001B2C0C" w:rsidP="00A32B67">
            <w:r>
              <w:t>EPDP CHAIR</w:t>
            </w:r>
          </w:p>
        </w:tc>
        <w:tc>
          <w:tcPr>
            <w:tcW w:w="1828" w:type="dxa"/>
          </w:tcPr>
          <w:p w14:paraId="308D3621" w14:textId="77777777" w:rsidR="001B2C0C" w:rsidRDefault="001B2C0C" w:rsidP="00A32B67">
            <w:pPr>
              <w:jc w:val="center"/>
            </w:pPr>
          </w:p>
        </w:tc>
        <w:tc>
          <w:tcPr>
            <w:tcW w:w="1382" w:type="dxa"/>
          </w:tcPr>
          <w:p w14:paraId="53462562" w14:textId="77777777" w:rsidR="001B2C0C" w:rsidRDefault="001B2C0C" w:rsidP="00A32B67">
            <w:pPr>
              <w:jc w:val="center"/>
            </w:pPr>
          </w:p>
        </w:tc>
        <w:tc>
          <w:tcPr>
            <w:tcW w:w="1435" w:type="dxa"/>
          </w:tcPr>
          <w:p w14:paraId="38BA3688" w14:textId="4C8E85D5" w:rsidR="001B2C0C" w:rsidRDefault="001B2C0C" w:rsidP="00A32B67">
            <w:pPr>
              <w:jc w:val="center"/>
            </w:pPr>
            <w:r>
              <w:t>1</w:t>
            </w:r>
          </w:p>
        </w:tc>
        <w:tc>
          <w:tcPr>
            <w:tcW w:w="1500" w:type="dxa"/>
          </w:tcPr>
          <w:p w14:paraId="3462567F" w14:textId="30D33B51" w:rsidR="001B2C0C" w:rsidRDefault="001B2C0C" w:rsidP="00A32B67">
            <w:pPr>
              <w:jc w:val="center"/>
            </w:pPr>
            <w:r>
              <w:t>1</w:t>
            </w:r>
          </w:p>
        </w:tc>
      </w:tr>
      <w:tr w:rsidR="001B2C0C" w14:paraId="7F3C157C" w14:textId="77777777" w:rsidTr="00F64140">
        <w:tc>
          <w:tcPr>
            <w:tcW w:w="1458" w:type="dxa"/>
          </w:tcPr>
          <w:p w14:paraId="42659B56" w14:textId="7316416B" w:rsidR="001B2C0C" w:rsidRDefault="001B2C0C" w:rsidP="00A32B67">
            <w:r>
              <w:t>TOTALS</w:t>
            </w:r>
          </w:p>
        </w:tc>
        <w:tc>
          <w:tcPr>
            <w:tcW w:w="1828" w:type="dxa"/>
          </w:tcPr>
          <w:p w14:paraId="11FA98CB" w14:textId="43359E94" w:rsidR="001B2C0C" w:rsidRDefault="001B2C0C" w:rsidP="00A32B67">
            <w:pPr>
              <w:jc w:val="center"/>
            </w:pPr>
            <w:r>
              <w:t>30</w:t>
            </w:r>
          </w:p>
        </w:tc>
        <w:tc>
          <w:tcPr>
            <w:tcW w:w="1382" w:type="dxa"/>
          </w:tcPr>
          <w:p w14:paraId="5090B5F5" w14:textId="60C4D0F5" w:rsidR="001B2C0C" w:rsidRDefault="001B2C0C" w:rsidP="00A32B67">
            <w:pPr>
              <w:jc w:val="center"/>
            </w:pPr>
            <w:r>
              <w:t>(30)</w:t>
            </w:r>
          </w:p>
        </w:tc>
        <w:tc>
          <w:tcPr>
            <w:tcW w:w="1435" w:type="dxa"/>
          </w:tcPr>
          <w:p w14:paraId="55C455F2" w14:textId="68363301" w:rsidR="001B2C0C" w:rsidRDefault="001B2C0C" w:rsidP="00A32B67">
            <w:pPr>
              <w:jc w:val="center"/>
            </w:pPr>
            <w:r>
              <w:t>6</w:t>
            </w:r>
          </w:p>
        </w:tc>
        <w:tc>
          <w:tcPr>
            <w:tcW w:w="1500" w:type="dxa"/>
          </w:tcPr>
          <w:p w14:paraId="68221993" w14:textId="28B87DCB" w:rsidR="001B2C0C" w:rsidRDefault="001B2C0C" w:rsidP="00A32B67">
            <w:pPr>
              <w:jc w:val="center"/>
            </w:pPr>
            <w:r>
              <w:t>36</w:t>
            </w:r>
          </w:p>
        </w:tc>
      </w:tr>
      <w:bookmarkEnd w:id="0"/>
    </w:tbl>
    <w:p w14:paraId="03E7B217" w14:textId="10E597A0" w:rsidR="00C73CC7" w:rsidRDefault="00C73CC7" w:rsidP="003565C0"/>
    <w:p w14:paraId="52F69483" w14:textId="58AC590E" w:rsidR="00530721" w:rsidRDefault="00530721" w:rsidP="003565C0"/>
    <w:p w14:paraId="66E14467" w14:textId="40FD5848" w:rsidR="00530721" w:rsidRDefault="001836CE" w:rsidP="001836CE">
      <w:r>
        <w:t xml:space="preserve">Whereas, </w:t>
      </w:r>
    </w:p>
    <w:p w14:paraId="1C7701CC" w14:textId="58085715" w:rsidR="00FB49A0" w:rsidRDefault="001836CE" w:rsidP="00FB49A0">
      <w:pPr>
        <w:pStyle w:val="ListParagraph"/>
        <w:numPr>
          <w:ilvl w:val="0"/>
          <w:numId w:val="5"/>
        </w:numPr>
      </w:pPr>
      <w:r>
        <w:t xml:space="preserve">On 20 June 2018, </w:t>
      </w:r>
      <w:r w:rsidRPr="001836CE">
        <w:t xml:space="preserve">the </w:t>
      </w:r>
      <w:r>
        <w:t xml:space="preserve">ICANN </w:t>
      </w:r>
      <w:r w:rsidRPr="001836CE">
        <w:t>Board adopt</w:t>
      </w:r>
      <w:r>
        <w:t>ed</w:t>
      </w:r>
      <w:r w:rsidRPr="001836CE">
        <w:t xml:space="preserve"> the </w:t>
      </w:r>
      <w:r w:rsidR="00FB49A0">
        <w:t>“</w:t>
      </w:r>
      <w:r w:rsidRPr="001836CE">
        <w:t>Temporary Specification on gTLD Registration Data</w:t>
      </w:r>
      <w:r w:rsidR="00FB49A0">
        <w:t xml:space="preserve">” </w:t>
      </w:r>
      <w:r w:rsidRPr="001836CE">
        <w:t>pursuant to the procedures in the Registry Agreement and Registrar Accreditation Agreement concerning the establishment of temporary policies.</w:t>
      </w:r>
    </w:p>
    <w:p w14:paraId="53019A78" w14:textId="77777777" w:rsidR="00FB49A0" w:rsidRDefault="00FB49A0" w:rsidP="00FB49A0">
      <w:pPr>
        <w:pStyle w:val="ListParagraph"/>
      </w:pPr>
    </w:p>
    <w:p w14:paraId="6D83AB63" w14:textId="7F4D2551" w:rsidR="00FB49A0" w:rsidRDefault="00FB49A0" w:rsidP="00FB49A0">
      <w:pPr>
        <w:pStyle w:val="ListParagraph"/>
        <w:numPr>
          <w:ilvl w:val="0"/>
          <w:numId w:val="5"/>
        </w:numPr>
      </w:pPr>
      <w:r>
        <w:t>T</w:t>
      </w:r>
      <w:r w:rsidRPr="00FB49A0">
        <w:t xml:space="preserve">he </w:t>
      </w:r>
      <w:r>
        <w:t xml:space="preserve">ICANN </w:t>
      </w:r>
      <w:r w:rsidRPr="00FB49A0">
        <w:t>Board acknowledg</w:t>
      </w:r>
      <w:r>
        <w:t xml:space="preserve">ed </w:t>
      </w:r>
      <w:r w:rsidRPr="00FB49A0">
        <w:t xml:space="preserve">there are implementation items </w:t>
      </w:r>
      <w:r>
        <w:t xml:space="preserve">identified in the Temporary Specification Annex </w:t>
      </w:r>
      <w:r w:rsidRPr="00FB49A0">
        <w:t>that require further community conversation</w:t>
      </w:r>
      <w:r>
        <w:t>. The Board enco</w:t>
      </w:r>
      <w:r w:rsidRPr="00FB49A0">
        <w:t>urage</w:t>
      </w:r>
      <w:r>
        <w:t>d</w:t>
      </w:r>
      <w:r w:rsidRPr="00FB49A0">
        <w:t xml:space="preserve"> the community to resolve </w:t>
      </w:r>
      <w:r>
        <w:t xml:space="preserve">these </w:t>
      </w:r>
      <w:r w:rsidRPr="00FB49A0">
        <w:t>as quickly as possible after the effective date of the Temporary Specification</w:t>
      </w:r>
      <w:r>
        <w:t xml:space="preserve">, </w:t>
      </w:r>
      <w:r w:rsidRPr="00FB49A0">
        <w:t>though they are not required to be part of the scope of the resulting policy development process.</w:t>
      </w:r>
    </w:p>
    <w:p w14:paraId="4D9D80FF" w14:textId="77777777" w:rsidR="008026BB" w:rsidRPr="00FB49A0" w:rsidRDefault="008026BB" w:rsidP="008026BB">
      <w:pPr>
        <w:pStyle w:val="ListParagraph"/>
      </w:pPr>
    </w:p>
    <w:p w14:paraId="7505FB29" w14:textId="77777777" w:rsidR="008026BB" w:rsidRDefault="008026BB" w:rsidP="008026BB">
      <w:pPr>
        <w:pStyle w:val="ListParagraph"/>
        <w:numPr>
          <w:ilvl w:val="0"/>
          <w:numId w:val="5"/>
        </w:numPr>
      </w:pPr>
      <w:r>
        <w:t>T</w:t>
      </w:r>
      <w:r w:rsidRPr="008026BB">
        <w:t>he Board implement</w:t>
      </w:r>
      <w:r>
        <w:t xml:space="preserve">ed </w:t>
      </w:r>
      <w:r w:rsidRPr="008026BB">
        <w:t>the consensus policy development process set forth in ICANN's Bylaws and</w:t>
      </w:r>
      <w:r>
        <w:t>, on [insert date],</w:t>
      </w:r>
      <w:r w:rsidRPr="008026BB">
        <w:t xml:space="preserve"> consult</w:t>
      </w:r>
      <w:r>
        <w:t>ed</w:t>
      </w:r>
      <w:r w:rsidRPr="008026BB">
        <w:t xml:space="preserve"> with the GNSO Council on the path forward to consider the development of a consensus policy on the issues within the Temporary Specification. The Board consult</w:t>
      </w:r>
      <w:r>
        <w:t>ed</w:t>
      </w:r>
      <w:r w:rsidRPr="008026BB">
        <w:t xml:space="preserve"> with the GNSO Council about the expected scope of the PDP, timing considerations, and relevant procedural requirements.</w:t>
      </w:r>
    </w:p>
    <w:p w14:paraId="01815599" w14:textId="77777777" w:rsidR="008026BB" w:rsidRDefault="008026BB" w:rsidP="008026BB">
      <w:pPr>
        <w:pStyle w:val="ListParagraph"/>
      </w:pPr>
    </w:p>
    <w:p w14:paraId="2E4604DD" w14:textId="77777777" w:rsidR="008026BB" w:rsidRDefault="008026BB" w:rsidP="008026BB">
      <w:pPr>
        <w:pStyle w:val="ListParagraph"/>
        <w:numPr>
          <w:ilvl w:val="0"/>
          <w:numId w:val="5"/>
        </w:numPr>
      </w:pPr>
      <w:r w:rsidRPr="008026BB">
        <w:t>ICANN</w:t>
      </w:r>
      <w:r>
        <w:t>’s</w:t>
      </w:r>
      <w:r w:rsidRPr="008026BB">
        <w:t xml:space="preserve"> agreements with registries and registrars require compliance with Board-adopte</w:t>
      </w:r>
      <w:r>
        <w:t xml:space="preserve">d </w:t>
      </w:r>
      <w:r w:rsidRPr="008026BB">
        <w:t xml:space="preserve">temporary policies or specifications. </w:t>
      </w:r>
      <w:r>
        <w:t>C</w:t>
      </w:r>
      <w:r w:rsidRPr="008026BB">
        <w:t>hanges in the specification must be justified and "necessary to maintain the stability or security of Registrar Services, Registry Services or the DNS or the Internet." The temporary policy or specification must be as narrowly tailored as feasible to achieve those objectives.</w:t>
      </w:r>
    </w:p>
    <w:p w14:paraId="4F3562D5" w14:textId="77777777" w:rsidR="008026BB" w:rsidRDefault="008026BB" w:rsidP="008026BB">
      <w:pPr>
        <w:pStyle w:val="ListParagraph"/>
      </w:pPr>
    </w:p>
    <w:p w14:paraId="3218A5F5" w14:textId="03919CCD" w:rsidR="008026BB" w:rsidRDefault="008026BB" w:rsidP="008026BB">
      <w:pPr>
        <w:pStyle w:val="ListParagraph"/>
        <w:numPr>
          <w:ilvl w:val="0"/>
          <w:numId w:val="5"/>
        </w:numPr>
      </w:pPr>
      <w:r w:rsidRPr="008026BB">
        <w:t>ICANN's mission to ensure the security and stability of the operation of the Internet's system of unique identifiers has led to the obligations associated with providing the WHOIS service that are in ICANN consensus policies and contracts that ICANN has with registries and registrars. These policies and contractual obligations govern the collection, retention, escrow, transfer, and display of WHOIS registration data, which includes contact information of natural and legal persons as well as technical information associated with a domain name.</w:t>
      </w:r>
    </w:p>
    <w:p w14:paraId="1E558B92" w14:textId="77777777" w:rsidR="0009564A" w:rsidRDefault="0009564A" w:rsidP="0009564A">
      <w:pPr>
        <w:pStyle w:val="ListParagraph"/>
      </w:pPr>
    </w:p>
    <w:p w14:paraId="04391E8C" w14:textId="7448E82A" w:rsidR="0009564A" w:rsidRDefault="0009564A" w:rsidP="008026BB">
      <w:pPr>
        <w:pStyle w:val="ListParagraph"/>
        <w:numPr>
          <w:ilvl w:val="0"/>
          <w:numId w:val="5"/>
        </w:numPr>
      </w:pPr>
      <w:r>
        <w:t>Following the ICANN Board’s action triggering the Temporary Specification, the GNSO Council began its deliberations on the most appropriate path for initiating a policy development process to assess, confirm, amend or reject the Temporary Specification as a Consensus Policy.</w:t>
      </w:r>
    </w:p>
    <w:p w14:paraId="049580F7" w14:textId="77777777" w:rsidR="0009564A" w:rsidRDefault="0009564A" w:rsidP="0009564A">
      <w:pPr>
        <w:pStyle w:val="ListParagraph"/>
      </w:pPr>
    </w:p>
    <w:p w14:paraId="2BFF84C7" w14:textId="5B3408E5" w:rsidR="0009564A" w:rsidRDefault="0009564A" w:rsidP="008026BB">
      <w:pPr>
        <w:pStyle w:val="ListParagraph"/>
        <w:numPr>
          <w:ilvl w:val="0"/>
          <w:numId w:val="5"/>
        </w:numPr>
      </w:pPr>
      <w:r>
        <w:lastRenderedPageBreak/>
        <w:t xml:space="preserve">The GNSO Council determined that an Expedited Policy Development Process (EPDP) is the most appropriate process for addressing the Temporary Specification. </w:t>
      </w:r>
    </w:p>
    <w:p w14:paraId="78BC926E" w14:textId="77777777" w:rsidR="0009564A" w:rsidRDefault="0009564A" w:rsidP="0009564A">
      <w:pPr>
        <w:pStyle w:val="ListParagraph"/>
      </w:pPr>
    </w:p>
    <w:p w14:paraId="641EF914" w14:textId="1831BBB7" w:rsidR="0009564A" w:rsidRDefault="0009564A" w:rsidP="0009564A">
      <w:pPr>
        <w:pStyle w:val="ListParagraph"/>
        <w:numPr>
          <w:ilvl w:val="0"/>
          <w:numId w:val="5"/>
        </w:numPr>
      </w:pPr>
      <w:r>
        <w:t>The GNSO Council understands that there is significant interest across the ICANN community, including among members of the Governmental Advisory Committee (GAC) and other groups outside the GNSO. As such, the GNSO Council has undertaken an effort to ensure inclusiveness and parity in the EPDP, while respecting the GNSO’s PDP operating procedures and the existing balance in the GNSO’s bicameral structure.</w:t>
      </w:r>
    </w:p>
    <w:p w14:paraId="72836B9F" w14:textId="77777777" w:rsidR="0009564A" w:rsidRDefault="0009564A" w:rsidP="0009564A">
      <w:pPr>
        <w:pStyle w:val="ListParagraph"/>
      </w:pPr>
    </w:p>
    <w:p w14:paraId="0B450953" w14:textId="22FA8E57" w:rsidR="0009564A" w:rsidRDefault="009C1F8A" w:rsidP="0009564A">
      <w:pPr>
        <w:pStyle w:val="ListParagraph"/>
        <w:numPr>
          <w:ilvl w:val="0"/>
          <w:numId w:val="5"/>
        </w:numPr>
      </w:pPr>
      <w:r>
        <w:t>The GNSO Council recognizes the urgency surrounding the EPDP as triggered by the Temporary Specification, which has a maximum term of 12 months from the date of initiation. As such, the GNSO Council has developed a unique participation structure that is designed to ensure efficiency, effectiveness, inclusivity, parity, and to maximize the likelihood of timely success.</w:t>
      </w:r>
    </w:p>
    <w:p w14:paraId="2BEF9CCF" w14:textId="77777777" w:rsidR="009C1F8A" w:rsidRDefault="009C1F8A" w:rsidP="009C1F8A">
      <w:pPr>
        <w:pStyle w:val="ListParagraph"/>
      </w:pPr>
    </w:p>
    <w:p w14:paraId="0133667E" w14:textId="060078FF" w:rsidR="009C1F8A" w:rsidRDefault="009C1F8A" w:rsidP="009C1F8A">
      <w:r>
        <w:t>Resolved,</w:t>
      </w:r>
    </w:p>
    <w:p w14:paraId="500612E4" w14:textId="77777777" w:rsidR="009C1F8A" w:rsidRDefault="009C1F8A" w:rsidP="009C1F8A">
      <w:pPr>
        <w:pStyle w:val="ListParagraph"/>
      </w:pPr>
    </w:p>
    <w:p w14:paraId="5635ABEA" w14:textId="1E9EE984" w:rsidR="005973B0" w:rsidRDefault="005973B0" w:rsidP="009C1F8A">
      <w:pPr>
        <w:pStyle w:val="ListParagraph"/>
        <w:numPr>
          <w:ilvl w:val="0"/>
          <w:numId w:val="6"/>
        </w:numPr>
      </w:pPr>
      <w:r>
        <w:t>The GNSO Council initiates an Expedited Policy Development Process (EPDP) on the Temporary Specification</w:t>
      </w:r>
      <w:r w:rsidR="001E5735">
        <w:t>.</w:t>
      </w:r>
    </w:p>
    <w:p w14:paraId="51712393" w14:textId="77777777" w:rsidR="001E5735" w:rsidRDefault="001E5735" w:rsidP="001E5735">
      <w:pPr>
        <w:pStyle w:val="ListParagraph"/>
      </w:pPr>
    </w:p>
    <w:p w14:paraId="2AA90E45" w14:textId="16AEB32B" w:rsidR="009C1F8A" w:rsidRDefault="009C1F8A" w:rsidP="009C1F8A">
      <w:pPr>
        <w:pStyle w:val="ListParagraph"/>
        <w:numPr>
          <w:ilvl w:val="0"/>
          <w:numId w:val="6"/>
        </w:numPr>
      </w:pPr>
      <w:r>
        <w:t>The GNSO Council invit</w:t>
      </w:r>
      <w:r w:rsidR="00E57AE8">
        <w:t>es</w:t>
      </w:r>
      <w:r>
        <w:t xml:space="preserve"> participation </w:t>
      </w:r>
      <w:r w:rsidR="00E57AE8">
        <w:t xml:space="preserve">in the Temporary Specification EPDP </w:t>
      </w:r>
      <w:r>
        <w:t xml:space="preserve">from all other relevant and interested ICANN Supporting Organizations (SO) and Advisory Committees (AC), including the GAC, ALAC, SSAC, and </w:t>
      </w:r>
      <w:proofErr w:type="spellStart"/>
      <w:r>
        <w:t>ccNSO</w:t>
      </w:r>
      <w:proofErr w:type="spellEnd"/>
      <w:r>
        <w:t>.</w:t>
      </w:r>
      <w:r w:rsidR="00E57AE8">
        <w:t xml:space="preserve"> Such participation is welcome but optional</w:t>
      </w:r>
      <w:r w:rsidR="001E5735">
        <w:t>.</w:t>
      </w:r>
    </w:p>
    <w:p w14:paraId="419B1154" w14:textId="77777777" w:rsidR="00E57AE8" w:rsidRDefault="00E57AE8" w:rsidP="00E57AE8">
      <w:pPr>
        <w:pStyle w:val="ListParagraph"/>
      </w:pPr>
    </w:p>
    <w:p w14:paraId="74C7F161" w14:textId="3E16B19C" w:rsidR="00E57AE8" w:rsidRDefault="00E57AE8" w:rsidP="009C1F8A">
      <w:pPr>
        <w:pStyle w:val="ListParagraph"/>
        <w:numPr>
          <w:ilvl w:val="0"/>
          <w:numId w:val="6"/>
        </w:numPr>
      </w:pPr>
      <w:r>
        <w:t xml:space="preserve">The GNSO Council </w:t>
      </w:r>
      <w:r w:rsidR="001E5735">
        <w:t>announces the following membership structure</w:t>
      </w:r>
      <w:r w:rsidR="003E2918">
        <w:t xml:space="preserve"> for the EPDP on the Temporary Specification:</w:t>
      </w:r>
    </w:p>
    <w:p w14:paraId="64B19D4C" w14:textId="77777777" w:rsidR="003E2918" w:rsidRDefault="003E2918" w:rsidP="003E2918">
      <w:pPr>
        <w:pStyle w:val="ListParagraph"/>
      </w:pPr>
    </w:p>
    <w:p w14:paraId="07A87588" w14:textId="13E71556" w:rsidR="003E2918" w:rsidRDefault="003E2918" w:rsidP="003E2918">
      <w:pPr>
        <w:pStyle w:val="ListParagraph"/>
      </w:pPr>
      <w:r>
        <w:t>[INSERT BULLETS AND TABLE]</w:t>
      </w:r>
      <w:bookmarkStart w:id="1" w:name="_GoBack"/>
      <w:bookmarkEnd w:id="1"/>
    </w:p>
    <w:sectPr w:rsidR="003E2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2156A"/>
    <w:multiLevelType w:val="hybridMultilevel"/>
    <w:tmpl w:val="81A28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231B7"/>
    <w:multiLevelType w:val="hybridMultilevel"/>
    <w:tmpl w:val="08202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B64107"/>
    <w:multiLevelType w:val="hybridMultilevel"/>
    <w:tmpl w:val="B9BA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82BC7"/>
    <w:multiLevelType w:val="hybridMultilevel"/>
    <w:tmpl w:val="63B6D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CA522E"/>
    <w:multiLevelType w:val="hybridMultilevel"/>
    <w:tmpl w:val="EA8CB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EA4CEA"/>
    <w:multiLevelType w:val="multilevel"/>
    <w:tmpl w:val="DF9C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CEB"/>
    <w:rsid w:val="00016175"/>
    <w:rsid w:val="0009564A"/>
    <w:rsid w:val="001836CE"/>
    <w:rsid w:val="001B2C0C"/>
    <w:rsid w:val="001E5735"/>
    <w:rsid w:val="002F53BF"/>
    <w:rsid w:val="003565C0"/>
    <w:rsid w:val="003E2918"/>
    <w:rsid w:val="00402250"/>
    <w:rsid w:val="00442C74"/>
    <w:rsid w:val="004C12C7"/>
    <w:rsid w:val="00530721"/>
    <w:rsid w:val="00533E43"/>
    <w:rsid w:val="00580CA5"/>
    <w:rsid w:val="005973B0"/>
    <w:rsid w:val="00756CEB"/>
    <w:rsid w:val="007A66B6"/>
    <w:rsid w:val="008026BB"/>
    <w:rsid w:val="00840F69"/>
    <w:rsid w:val="008614DA"/>
    <w:rsid w:val="008B1A2C"/>
    <w:rsid w:val="00900362"/>
    <w:rsid w:val="00922226"/>
    <w:rsid w:val="00952272"/>
    <w:rsid w:val="009C1F8A"/>
    <w:rsid w:val="00A23E79"/>
    <w:rsid w:val="00A32B67"/>
    <w:rsid w:val="00BF0902"/>
    <w:rsid w:val="00C155D1"/>
    <w:rsid w:val="00C71743"/>
    <w:rsid w:val="00C73CC7"/>
    <w:rsid w:val="00E57AE8"/>
    <w:rsid w:val="00E715A1"/>
    <w:rsid w:val="00E9005E"/>
    <w:rsid w:val="00F42491"/>
    <w:rsid w:val="00F64140"/>
    <w:rsid w:val="00F97454"/>
    <w:rsid w:val="00FA5A4B"/>
    <w:rsid w:val="00FB4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56007"/>
  <w15:chartTrackingRefBased/>
  <w15:docId w15:val="{1EC73EA2-091C-48BB-B656-34DA049A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1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3E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36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Drazek, Keith</dc:creator>
  <cp:keywords/>
  <dc:description/>
  <cp:lastModifiedBy>Drazek, Keith</cp:lastModifiedBy>
  <cp:revision>2</cp:revision>
  <dcterms:created xsi:type="dcterms:W3CDTF">2018-06-27T19:46:00Z</dcterms:created>
  <dcterms:modified xsi:type="dcterms:W3CDTF">2018-06-27T19:46:00Z</dcterms:modified>
</cp:coreProperties>
</file>