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D83" w:rsidRDefault="00504D83" w:rsidP="00B31BD2">
      <w:pPr>
        <w:rPr>
          <w:sz w:val="24"/>
          <w:szCs w:val="24"/>
          <w:lang w:val="en-US"/>
        </w:rPr>
      </w:pPr>
    </w:p>
    <w:p w:rsidR="00504D83" w:rsidRDefault="00504D83" w:rsidP="00B31BD2">
      <w:pPr>
        <w:rPr>
          <w:sz w:val="24"/>
          <w:szCs w:val="24"/>
          <w:lang w:val="en-US"/>
        </w:rPr>
      </w:pPr>
    </w:p>
    <w:p w:rsidR="00B503FE" w:rsidRDefault="00B503FE" w:rsidP="00B31BD2">
      <w:pPr>
        <w:rPr>
          <w:sz w:val="24"/>
          <w:szCs w:val="24"/>
          <w:lang w:val="en-US"/>
        </w:rPr>
      </w:pPr>
      <w:r>
        <w:rPr>
          <w:sz w:val="24"/>
          <w:szCs w:val="24"/>
          <w:lang w:val="en-US"/>
        </w:rPr>
        <w:t>DATE</w:t>
      </w:r>
    </w:p>
    <w:p w:rsidR="00B31BD2" w:rsidRDefault="00B503FE" w:rsidP="00B31BD2">
      <w:pPr>
        <w:rPr>
          <w:sz w:val="24"/>
          <w:szCs w:val="24"/>
          <w:lang w:val="en-US"/>
        </w:rPr>
      </w:pPr>
      <w:r>
        <w:rPr>
          <w:sz w:val="24"/>
          <w:szCs w:val="24"/>
          <w:lang w:val="en-US"/>
        </w:rPr>
        <w:t xml:space="preserve">Dean </w:t>
      </w:r>
      <w:proofErr w:type="spellStart"/>
      <w:r>
        <w:rPr>
          <w:sz w:val="24"/>
          <w:szCs w:val="24"/>
          <w:lang w:val="en-US"/>
        </w:rPr>
        <w:t>Spielmann</w:t>
      </w:r>
      <w:proofErr w:type="spellEnd"/>
      <w:r>
        <w:rPr>
          <w:sz w:val="24"/>
          <w:szCs w:val="24"/>
          <w:lang w:val="en-US"/>
        </w:rPr>
        <w:br/>
        <w:t>President</w:t>
      </w:r>
      <w:r>
        <w:rPr>
          <w:sz w:val="24"/>
          <w:szCs w:val="24"/>
          <w:lang w:val="en-US"/>
        </w:rPr>
        <w:br/>
        <w:t>European Court of Human Rights</w:t>
      </w:r>
      <w:r>
        <w:rPr>
          <w:sz w:val="24"/>
          <w:szCs w:val="24"/>
          <w:lang w:val="en-US"/>
        </w:rPr>
        <w:br/>
        <w:t>Council of Europe</w:t>
      </w:r>
      <w:r w:rsidR="00DC2E37">
        <w:rPr>
          <w:sz w:val="24"/>
          <w:szCs w:val="24"/>
          <w:lang w:val="en-US"/>
        </w:rPr>
        <w:br/>
      </w:r>
      <w:r w:rsidR="00B31BD2" w:rsidRPr="00B31BD2">
        <w:rPr>
          <w:sz w:val="24"/>
          <w:szCs w:val="24"/>
          <w:lang w:val="en-US"/>
        </w:rPr>
        <w:t xml:space="preserve">F-67075 Strasbourg </w:t>
      </w:r>
      <w:proofErr w:type="spellStart"/>
      <w:r w:rsidR="00B31BD2" w:rsidRPr="00B31BD2">
        <w:rPr>
          <w:sz w:val="24"/>
          <w:szCs w:val="24"/>
          <w:lang w:val="en-US"/>
        </w:rPr>
        <w:t>cedex</w:t>
      </w:r>
      <w:proofErr w:type="spellEnd"/>
      <w:r w:rsidR="00B31BD2">
        <w:rPr>
          <w:sz w:val="24"/>
          <w:szCs w:val="24"/>
          <w:lang w:val="en-US"/>
        </w:rPr>
        <w:br/>
        <w:t>France</w:t>
      </w:r>
    </w:p>
    <w:p w:rsidR="00B503FE" w:rsidRPr="00253BFA" w:rsidRDefault="004E5C1B" w:rsidP="00B31BD2">
      <w:pPr>
        <w:rPr>
          <w:b/>
          <w:sz w:val="24"/>
          <w:szCs w:val="24"/>
          <w:lang w:val="en-US"/>
        </w:rPr>
      </w:pPr>
      <w:r>
        <w:rPr>
          <w:b/>
          <w:sz w:val="24"/>
          <w:szCs w:val="24"/>
          <w:lang w:val="en-US"/>
        </w:rPr>
        <w:t xml:space="preserve">Re:  </w:t>
      </w:r>
      <w:r w:rsidR="00DC2E37">
        <w:rPr>
          <w:b/>
          <w:sz w:val="24"/>
          <w:szCs w:val="24"/>
          <w:lang w:val="en-US"/>
        </w:rPr>
        <w:t xml:space="preserve">Grand </w:t>
      </w:r>
      <w:r w:rsidR="00DC2E37" w:rsidRPr="00253BFA">
        <w:rPr>
          <w:b/>
          <w:sz w:val="24"/>
          <w:szCs w:val="24"/>
          <w:lang w:val="en-US"/>
        </w:rPr>
        <w:t xml:space="preserve">Chamber referral </w:t>
      </w:r>
      <w:r w:rsidR="00B503FE" w:rsidRPr="00253BFA">
        <w:rPr>
          <w:b/>
          <w:sz w:val="24"/>
          <w:szCs w:val="24"/>
          <w:lang w:val="en-US"/>
        </w:rPr>
        <w:t xml:space="preserve">in </w:t>
      </w:r>
      <w:proofErr w:type="spellStart"/>
      <w:r w:rsidR="00B503FE" w:rsidRPr="00253BFA">
        <w:rPr>
          <w:b/>
          <w:i/>
          <w:sz w:val="24"/>
          <w:szCs w:val="24"/>
          <w:lang w:val="en-US"/>
        </w:rPr>
        <w:t>Delfi</w:t>
      </w:r>
      <w:proofErr w:type="spellEnd"/>
      <w:r w:rsidR="00B503FE" w:rsidRPr="00253BFA">
        <w:rPr>
          <w:b/>
          <w:i/>
          <w:sz w:val="24"/>
          <w:szCs w:val="24"/>
          <w:lang w:val="en-US"/>
        </w:rPr>
        <w:t xml:space="preserve"> v. Estonia </w:t>
      </w:r>
      <w:r w:rsidR="00B503FE" w:rsidRPr="00253BFA">
        <w:rPr>
          <w:sz w:val="24"/>
          <w:szCs w:val="24"/>
          <w:lang w:val="en-US"/>
        </w:rPr>
        <w:t>(Application no.</w:t>
      </w:r>
      <w:r w:rsidR="00DC2E37" w:rsidRPr="00253BFA">
        <w:rPr>
          <w:sz w:val="24"/>
          <w:szCs w:val="24"/>
          <w:lang w:val="en-US"/>
        </w:rPr>
        <w:t xml:space="preserve"> 64569/09)</w:t>
      </w:r>
    </w:p>
    <w:p w:rsidR="004C1A8E" w:rsidRPr="00253BFA" w:rsidRDefault="00B503FE" w:rsidP="00B31BD2">
      <w:pPr>
        <w:rPr>
          <w:sz w:val="24"/>
          <w:szCs w:val="24"/>
          <w:lang w:val="en-US"/>
        </w:rPr>
      </w:pPr>
      <w:r w:rsidRPr="00253BFA">
        <w:rPr>
          <w:sz w:val="24"/>
          <w:szCs w:val="24"/>
          <w:lang w:val="en-US"/>
        </w:rPr>
        <w:t xml:space="preserve">Dear President </w:t>
      </w:r>
      <w:proofErr w:type="spellStart"/>
      <w:r w:rsidRPr="00253BFA">
        <w:rPr>
          <w:sz w:val="24"/>
          <w:szCs w:val="24"/>
          <w:lang w:val="en-US"/>
        </w:rPr>
        <w:t>Spielmann</w:t>
      </w:r>
      <w:proofErr w:type="spellEnd"/>
      <w:r w:rsidRPr="00253BFA">
        <w:rPr>
          <w:sz w:val="24"/>
          <w:szCs w:val="24"/>
          <w:lang w:val="en-US"/>
        </w:rPr>
        <w:t>,</w:t>
      </w:r>
      <w:r w:rsidR="00C348F5" w:rsidRPr="00253BFA">
        <w:rPr>
          <w:sz w:val="24"/>
          <w:szCs w:val="24"/>
          <w:lang w:val="en-US"/>
        </w:rPr>
        <w:t xml:space="preserve"> and members of the panel</w:t>
      </w:r>
    </w:p>
    <w:p w:rsidR="00B503FE" w:rsidRDefault="00B503FE" w:rsidP="00B31BD2">
      <w:pPr>
        <w:rPr>
          <w:sz w:val="24"/>
          <w:szCs w:val="24"/>
          <w:lang w:val="en-US"/>
        </w:rPr>
      </w:pPr>
      <w:r w:rsidRPr="00253BFA">
        <w:rPr>
          <w:sz w:val="24"/>
          <w:szCs w:val="24"/>
          <w:lang w:val="en-US"/>
        </w:rPr>
        <w:t xml:space="preserve">We understand that the applicant in the above-referenced case has requested that the chamber judgment </w:t>
      </w:r>
      <w:r w:rsidR="00DC2E37" w:rsidRPr="00253BFA">
        <w:rPr>
          <w:sz w:val="24"/>
          <w:szCs w:val="24"/>
          <w:lang w:val="en-US"/>
        </w:rPr>
        <w:t xml:space="preserve">of 10 October 2013 </w:t>
      </w:r>
      <w:r w:rsidRPr="00253BFA">
        <w:rPr>
          <w:sz w:val="24"/>
          <w:szCs w:val="24"/>
          <w:lang w:val="en-US"/>
        </w:rPr>
        <w:t xml:space="preserve">be referred to the Grand Chamber of the Court for reconsideration.  We are writing to </w:t>
      </w:r>
      <w:r w:rsidR="004D3188" w:rsidRPr="00253BFA">
        <w:rPr>
          <w:sz w:val="24"/>
          <w:szCs w:val="24"/>
          <w:lang w:val="en-US"/>
        </w:rPr>
        <w:t>endorse</w:t>
      </w:r>
      <w:r w:rsidRPr="00253BFA">
        <w:rPr>
          <w:sz w:val="24"/>
          <w:szCs w:val="24"/>
          <w:lang w:val="en-US"/>
        </w:rPr>
        <w:t xml:space="preserve"> </w:t>
      </w:r>
      <w:proofErr w:type="spellStart"/>
      <w:r w:rsidRPr="00253BFA">
        <w:rPr>
          <w:sz w:val="24"/>
          <w:szCs w:val="24"/>
          <w:lang w:val="en-US"/>
        </w:rPr>
        <w:t>Delfi’s</w:t>
      </w:r>
      <w:proofErr w:type="spellEnd"/>
      <w:r>
        <w:rPr>
          <w:sz w:val="24"/>
          <w:szCs w:val="24"/>
          <w:lang w:val="en-US"/>
        </w:rPr>
        <w:t xml:space="preserve"> request for a referral due to our </w:t>
      </w:r>
      <w:r w:rsidR="004D3188">
        <w:rPr>
          <w:sz w:val="24"/>
          <w:szCs w:val="24"/>
          <w:lang w:val="en-US"/>
        </w:rPr>
        <w:t xml:space="preserve">shared </w:t>
      </w:r>
      <w:r>
        <w:rPr>
          <w:sz w:val="24"/>
          <w:szCs w:val="24"/>
          <w:lang w:val="en-US"/>
        </w:rPr>
        <w:t>concern that the chamber judgment, if it stands, would have serious adverse repercussions for freedom of expression and democratic openness</w:t>
      </w:r>
      <w:r w:rsidR="004D3188">
        <w:rPr>
          <w:sz w:val="24"/>
          <w:szCs w:val="24"/>
          <w:lang w:val="en-US"/>
        </w:rPr>
        <w:t xml:space="preserve"> in the digital era</w:t>
      </w:r>
      <w:r w:rsidR="004C1A8E">
        <w:rPr>
          <w:sz w:val="24"/>
          <w:szCs w:val="24"/>
          <w:lang w:val="en-US"/>
        </w:rPr>
        <w:t>. In terms of Article 43 (2) of the Convention</w:t>
      </w:r>
      <w:r w:rsidR="00B31BD2">
        <w:rPr>
          <w:sz w:val="24"/>
          <w:szCs w:val="24"/>
          <w:lang w:val="en-US"/>
        </w:rPr>
        <w:t>,</w:t>
      </w:r>
      <w:r w:rsidR="004C1A8E">
        <w:rPr>
          <w:sz w:val="24"/>
          <w:szCs w:val="24"/>
          <w:lang w:val="en-US"/>
        </w:rPr>
        <w:t xml:space="preserve"> </w:t>
      </w:r>
      <w:r w:rsidR="00B31BD2">
        <w:rPr>
          <w:sz w:val="24"/>
          <w:szCs w:val="24"/>
          <w:lang w:val="en-US"/>
        </w:rPr>
        <w:t xml:space="preserve">we believe that </w:t>
      </w:r>
      <w:r w:rsidR="004C1A8E">
        <w:rPr>
          <w:sz w:val="24"/>
          <w:szCs w:val="24"/>
          <w:lang w:val="en-US"/>
        </w:rPr>
        <w:t>liability for</w:t>
      </w:r>
      <w:r w:rsidR="00B31BD2">
        <w:rPr>
          <w:sz w:val="24"/>
          <w:szCs w:val="24"/>
          <w:lang w:val="en-US"/>
        </w:rPr>
        <w:t xml:space="preserve"> user-</w:t>
      </w:r>
      <w:r w:rsidR="004C1A8E">
        <w:rPr>
          <w:sz w:val="24"/>
          <w:szCs w:val="24"/>
          <w:lang w:val="en-US"/>
        </w:rPr>
        <w:t xml:space="preserve">generated content on the Internet </w:t>
      </w:r>
      <w:r w:rsidR="00C26C1E">
        <w:rPr>
          <w:sz w:val="24"/>
          <w:szCs w:val="24"/>
          <w:lang w:val="en-US"/>
        </w:rPr>
        <w:t xml:space="preserve"> constitute</w:t>
      </w:r>
      <w:r w:rsidR="004C1A8E">
        <w:rPr>
          <w:sz w:val="24"/>
          <w:szCs w:val="24"/>
          <w:lang w:val="en-US"/>
        </w:rPr>
        <w:t>s</w:t>
      </w:r>
      <w:r w:rsidR="00C26C1E">
        <w:rPr>
          <w:sz w:val="24"/>
          <w:szCs w:val="24"/>
          <w:lang w:val="en-US"/>
        </w:rPr>
        <w:t xml:space="preserve"> both a </w:t>
      </w:r>
      <w:r w:rsidR="00C26C1E" w:rsidRPr="00C26C1E">
        <w:rPr>
          <w:sz w:val="24"/>
          <w:szCs w:val="24"/>
          <w:lang w:val="en-US"/>
        </w:rPr>
        <w:t>serious question affecting the</w:t>
      </w:r>
      <w:r w:rsidR="00C26C1E">
        <w:rPr>
          <w:sz w:val="24"/>
          <w:szCs w:val="24"/>
          <w:lang w:val="en-US"/>
        </w:rPr>
        <w:t xml:space="preserve"> </w:t>
      </w:r>
      <w:r w:rsidR="00C26C1E" w:rsidRPr="00C26C1E">
        <w:rPr>
          <w:sz w:val="24"/>
          <w:szCs w:val="24"/>
          <w:lang w:val="en-US"/>
        </w:rPr>
        <w:t>interpretation or application of</w:t>
      </w:r>
      <w:r w:rsidR="004C1A8E">
        <w:rPr>
          <w:sz w:val="24"/>
          <w:szCs w:val="24"/>
          <w:lang w:val="en-US"/>
        </w:rPr>
        <w:t xml:space="preserve"> Article 10</w:t>
      </w:r>
      <w:r w:rsidR="00C26C1E" w:rsidRPr="00C26C1E">
        <w:rPr>
          <w:sz w:val="24"/>
          <w:szCs w:val="24"/>
          <w:lang w:val="en-US"/>
        </w:rPr>
        <w:t xml:space="preserve"> </w:t>
      </w:r>
      <w:r w:rsidR="004C1A8E">
        <w:rPr>
          <w:sz w:val="24"/>
          <w:szCs w:val="24"/>
          <w:lang w:val="en-US"/>
        </w:rPr>
        <w:t xml:space="preserve">of </w:t>
      </w:r>
      <w:r w:rsidR="00C26C1E" w:rsidRPr="00C26C1E">
        <w:rPr>
          <w:sz w:val="24"/>
          <w:szCs w:val="24"/>
          <w:lang w:val="en-US"/>
        </w:rPr>
        <w:t>the Convention</w:t>
      </w:r>
      <w:r w:rsidR="00C26C1E">
        <w:rPr>
          <w:sz w:val="24"/>
          <w:szCs w:val="24"/>
          <w:lang w:val="en-US"/>
        </w:rPr>
        <w:t xml:space="preserve"> </w:t>
      </w:r>
      <w:r w:rsidR="004C1A8E">
        <w:rPr>
          <w:sz w:val="24"/>
          <w:szCs w:val="24"/>
          <w:lang w:val="en-US"/>
        </w:rPr>
        <w:t xml:space="preserve">in the online environment </w:t>
      </w:r>
      <w:r w:rsidR="00C26C1E">
        <w:rPr>
          <w:sz w:val="24"/>
          <w:szCs w:val="24"/>
          <w:lang w:val="en-US"/>
        </w:rPr>
        <w:t>and a</w:t>
      </w:r>
      <w:r w:rsidR="00C26C1E" w:rsidRPr="00C26C1E">
        <w:rPr>
          <w:sz w:val="24"/>
          <w:szCs w:val="24"/>
          <w:lang w:val="en-US"/>
        </w:rPr>
        <w:t xml:space="preserve"> serious</w:t>
      </w:r>
      <w:r w:rsidR="00C26C1E">
        <w:rPr>
          <w:sz w:val="24"/>
          <w:szCs w:val="24"/>
          <w:lang w:val="en-US"/>
        </w:rPr>
        <w:t xml:space="preserve"> </w:t>
      </w:r>
      <w:r w:rsidR="00C26C1E" w:rsidRPr="00C26C1E">
        <w:rPr>
          <w:sz w:val="24"/>
          <w:szCs w:val="24"/>
          <w:lang w:val="en-US"/>
        </w:rPr>
        <w:t>issue of general importance</w:t>
      </w:r>
      <w:r w:rsidR="004C1A8E">
        <w:rPr>
          <w:sz w:val="24"/>
          <w:szCs w:val="24"/>
          <w:lang w:val="en-US"/>
        </w:rPr>
        <w:t>.</w:t>
      </w:r>
    </w:p>
    <w:p w:rsidR="004D3188" w:rsidRDefault="004D3188" w:rsidP="00B31BD2">
      <w:pPr>
        <w:rPr>
          <w:sz w:val="24"/>
          <w:szCs w:val="24"/>
          <w:lang w:val="en-US"/>
        </w:rPr>
      </w:pPr>
      <w:r>
        <w:rPr>
          <w:sz w:val="24"/>
          <w:szCs w:val="24"/>
          <w:lang w:val="en-US"/>
        </w:rPr>
        <w:t xml:space="preserve">The case involves the liability of an online news portal for third-party defamatory comments posted </w:t>
      </w:r>
      <w:r w:rsidR="00DC2E37">
        <w:rPr>
          <w:sz w:val="24"/>
          <w:szCs w:val="24"/>
          <w:lang w:val="en-US"/>
        </w:rPr>
        <w:t xml:space="preserve">by readers </w:t>
      </w:r>
      <w:r>
        <w:rPr>
          <w:sz w:val="24"/>
          <w:szCs w:val="24"/>
          <w:lang w:val="en-US"/>
        </w:rPr>
        <w:t>on the portal’s website</w:t>
      </w:r>
      <w:r w:rsidR="00DC2E37">
        <w:rPr>
          <w:sz w:val="24"/>
          <w:szCs w:val="24"/>
          <w:lang w:val="en-US"/>
        </w:rPr>
        <w:t>, below a news item</w:t>
      </w:r>
      <w:r>
        <w:rPr>
          <w:sz w:val="24"/>
          <w:szCs w:val="24"/>
          <w:lang w:val="en-US"/>
        </w:rPr>
        <w:t xml:space="preserve">. A unanimous chamber of the First Section found no violation of Article 10, even though the news piece itself was found to be </w:t>
      </w:r>
      <w:r w:rsidR="001578B5">
        <w:rPr>
          <w:sz w:val="24"/>
          <w:szCs w:val="24"/>
          <w:lang w:val="en-US"/>
        </w:rPr>
        <w:t>balanced and contained no offensive language.</w:t>
      </w:r>
      <w:r w:rsidR="00B31BD2">
        <w:rPr>
          <w:sz w:val="24"/>
          <w:szCs w:val="24"/>
          <w:lang w:val="en-US"/>
        </w:rPr>
        <w:t xml:space="preserve"> </w:t>
      </w:r>
      <w:r w:rsidR="001578B5">
        <w:rPr>
          <w:sz w:val="24"/>
          <w:szCs w:val="24"/>
          <w:lang w:val="en-US"/>
        </w:rPr>
        <w:t>T</w:t>
      </w:r>
      <w:r>
        <w:rPr>
          <w:sz w:val="24"/>
          <w:szCs w:val="24"/>
          <w:lang w:val="en-US"/>
        </w:rPr>
        <w:t>he portal acted quickly to remove the defamatory comments as soon as it received a complaint from the affected person, the manager of a large private company.</w:t>
      </w:r>
    </w:p>
    <w:p w:rsidR="004D3188" w:rsidRDefault="004D3188" w:rsidP="00B31BD2">
      <w:pPr>
        <w:rPr>
          <w:sz w:val="24"/>
          <w:szCs w:val="24"/>
          <w:lang w:val="en-US"/>
        </w:rPr>
      </w:pPr>
      <w:r>
        <w:rPr>
          <w:sz w:val="24"/>
          <w:szCs w:val="24"/>
          <w:lang w:val="en-US"/>
        </w:rPr>
        <w:t xml:space="preserve">We find the chamber’s </w:t>
      </w:r>
      <w:r w:rsidR="00DC2E37">
        <w:rPr>
          <w:sz w:val="24"/>
          <w:szCs w:val="24"/>
          <w:lang w:val="en-US"/>
        </w:rPr>
        <w:t>arguments</w:t>
      </w:r>
      <w:r>
        <w:rPr>
          <w:sz w:val="24"/>
          <w:szCs w:val="24"/>
          <w:lang w:val="en-US"/>
        </w:rPr>
        <w:t xml:space="preserve"> and conclusions deeply problematic for the following reasons.</w:t>
      </w:r>
    </w:p>
    <w:p w:rsidR="008C438D" w:rsidRDefault="00555C76" w:rsidP="00B31BD2">
      <w:pPr>
        <w:rPr>
          <w:sz w:val="24"/>
          <w:szCs w:val="24"/>
          <w:lang w:val="en-US"/>
        </w:rPr>
      </w:pPr>
      <w:r w:rsidRPr="005A326D">
        <w:rPr>
          <w:i/>
          <w:sz w:val="24"/>
          <w:szCs w:val="24"/>
          <w:lang w:val="en-US"/>
        </w:rPr>
        <w:t>First</w:t>
      </w:r>
      <w:r>
        <w:rPr>
          <w:sz w:val="24"/>
          <w:szCs w:val="24"/>
          <w:lang w:val="en-US"/>
        </w:rPr>
        <w:t xml:space="preserve">, </w:t>
      </w:r>
      <w:r w:rsidR="00586E4B">
        <w:rPr>
          <w:sz w:val="24"/>
          <w:szCs w:val="24"/>
          <w:lang w:val="en-US"/>
        </w:rPr>
        <w:t>the chamber judgment failed to clarify</w:t>
      </w:r>
      <w:r w:rsidR="008C438D">
        <w:rPr>
          <w:sz w:val="24"/>
          <w:szCs w:val="24"/>
          <w:lang w:val="en-US"/>
        </w:rPr>
        <w:t>, or even properly ponder,</w:t>
      </w:r>
      <w:r w:rsidR="00586E4B">
        <w:rPr>
          <w:sz w:val="24"/>
          <w:szCs w:val="24"/>
          <w:lang w:val="en-US"/>
        </w:rPr>
        <w:t xml:space="preserve"> the nature of the duty imposed on websites carrying user-generated content:</w:t>
      </w:r>
      <w:r w:rsidR="008C438D">
        <w:rPr>
          <w:sz w:val="24"/>
          <w:szCs w:val="24"/>
          <w:lang w:val="en-US"/>
        </w:rPr>
        <w:t xml:space="preserve"> what are they to do to avoid civil and potentially criminal liability in such cases? The inevitable implication of the chamber ruling is that it is consistent with Article 10 to impose </w:t>
      </w:r>
      <w:r w:rsidR="00DC2E37">
        <w:rPr>
          <w:sz w:val="24"/>
          <w:szCs w:val="24"/>
          <w:lang w:val="en-US"/>
        </w:rPr>
        <w:t xml:space="preserve">some form of </w:t>
      </w:r>
      <w:r w:rsidR="008C438D">
        <w:rPr>
          <w:sz w:val="24"/>
          <w:szCs w:val="24"/>
          <w:lang w:val="en-US"/>
        </w:rPr>
        <w:t xml:space="preserve">strict liability on online publications for all third-party content they may carry. This would translate, in effect, into a duty to </w:t>
      </w:r>
      <w:r w:rsidR="008C438D" w:rsidRPr="008C438D">
        <w:rPr>
          <w:i/>
          <w:sz w:val="24"/>
          <w:szCs w:val="24"/>
          <w:lang w:val="en-US"/>
        </w:rPr>
        <w:t>prevent</w:t>
      </w:r>
      <w:r w:rsidR="008C438D">
        <w:rPr>
          <w:sz w:val="24"/>
          <w:szCs w:val="24"/>
          <w:lang w:val="en-US"/>
        </w:rPr>
        <w:t xml:space="preserve"> the posting</w:t>
      </w:r>
      <w:r w:rsidR="00DC2E37">
        <w:rPr>
          <w:sz w:val="24"/>
          <w:szCs w:val="24"/>
          <w:lang w:val="en-US"/>
        </w:rPr>
        <w:t>,</w:t>
      </w:r>
      <w:r w:rsidR="008C438D">
        <w:rPr>
          <w:sz w:val="24"/>
          <w:szCs w:val="24"/>
          <w:lang w:val="en-US"/>
        </w:rPr>
        <w:t xml:space="preserve"> </w:t>
      </w:r>
      <w:r w:rsidR="00DC2E37">
        <w:rPr>
          <w:sz w:val="24"/>
          <w:szCs w:val="24"/>
          <w:lang w:val="en-US"/>
        </w:rPr>
        <w:t xml:space="preserve">for any period of time, </w:t>
      </w:r>
      <w:r w:rsidR="008C438D">
        <w:rPr>
          <w:sz w:val="24"/>
          <w:szCs w:val="24"/>
          <w:lang w:val="en-US"/>
        </w:rPr>
        <w:t xml:space="preserve">of any user-generated content that may be defamatory. </w:t>
      </w:r>
    </w:p>
    <w:p w:rsidR="00B31BD2" w:rsidRPr="00253BFA" w:rsidRDefault="008C438D" w:rsidP="00B31BD2">
      <w:pPr>
        <w:autoSpaceDE w:val="0"/>
        <w:autoSpaceDN w:val="0"/>
        <w:adjustRightInd w:val="0"/>
        <w:spacing w:after="0"/>
        <w:rPr>
          <w:sz w:val="24"/>
          <w:szCs w:val="24"/>
          <w:lang w:val="en-US"/>
        </w:rPr>
      </w:pPr>
      <w:r>
        <w:rPr>
          <w:sz w:val="24"/>
          <w:szCs w:val="24"/>
          <w:lang w:val="en-US"/>
        </w:rPr>
        <w:t xml:space="preserve">Such a duty would place a very significant burden on most online </w:t>
      </w:r>
      <w:r w:rsidR="000D1238">
        <w:rPr>
          <w:sz w:val="24"/>
          <w:szCs w:val="24"/>
          <w:lang w:val="en-US"/>
        </w:rPr>
        <w:t xml:space="preserve">news and comment </w:t>
      </w:r>
      <w:r>
        <w:rPr>
          <w:sz w:val="24"/>
          <w:szCs w:val="24"/>
          <w:lang w:val="en-US"/>
        </w:rPr>
        <w:t xml:space="preserve">operations – from </w:t>
      </w:r>
      <w:r w:rsidR="000D1238">
        <w:rPr>
          <w:sz w:val="24"/>
          <w:szCs w:val="24"/>
          <w:lang w:val="en-US"/>
        </w:rPr>
        <w:t xml:space="preserve">major commercial outlets to </w:t>
      </w:r>
      <w:r>
        <w:rPr>
          <w:sz w:val="24"/>
          <w:szCs w:val="24"/>
          <w:lang w:val="en-US"/>
        </w:rPr>
        <w:t>small local newspapers</w:t>
      </w:r>
      <w:r w:rsidR="00B31BD2">
        <w:rPr>
          <w:sz w:val="24"/>
          <w:szCs w:val="24"/>
          <w:lang w:val="en-US"/>
        </w:rPr>
        <w:t xml:space="preserve">, NGO </w:t>
      </w:r>
      <w:r w:rsidR="00DE7EA7">
        <w:rPr>
          <w:sz w:val="24"/>
          <w:szCs w:val="24"/>
          <w:lang w:val="en-US"/>
        </w:rPr>
        <w:t xml:space="preserve">websites </w:t>
      </w:r>
      <w:r w:rsidR="00B31BD2">
        <w:rPr>
          <w:sz w:val="24"/>
          <w:szCs w:val="24"/>
          <w:lang w:val="en-US"/>
        </w:rPr>
        <w:t xml:space="preserve">and </w:t>
      </w:r>
      <w:r>
        <w:rPr>
          <w:sz w:val="24"/>
          <w:szCs w:val="24"/>
          <w:lang w:val="en-US"/>
        </w:rPr>
        <w:t xml:space="preserve">individual bloggers – and would </w:t>
      </w:r>
      <w:r w:rsidR="00DC2E37">
        <w:rPr>
          <w:sz w:val="24"/>
          <w:szCs w:val="24"/>
          <w:lang w:val="en-US"/>
        </w:rPr>
        <w:t xml:space="preserve">be bound to produce </w:t>
      </w:r>
      <w:r>
        <w:rPr>
          <w:sz w:val="24"/>
          <w:szCs w:val="24"/>
          <w:lang w:val="en-US"/>
        </w:rPr>
        <w:t xml:space="preserve">significant censoring, or </w:t>
      </w:r>
      <w:r w:rsidR="000D1238">
        <w:rPr>
          <w:sz w:val="24"/>
          <w:szCs w:val="24"/>
          <w:lang w:val="en-US"/>
        </w:rPr>
        <w:t xml:space="preserve">even </w:t>
      </w:r>
      <w:r>
        <w:rPr>
          <w:sz w:val="24"/>
          <w:szCs w:val="24"/>
          <w:lang w:val="en-US"/>
        </w:rPr>
        <w:t xml:space="preserve">complete </w:t>
      </w:r>
      <w:r>
        <w:rPr>
          <w:sz w:val="24"/>
          <w:szCs w:val="24"/>
          <w:lang w:val="en-US"/>
        </w:rPr>
        <w:lastRenderedPageBreak/>
        <w:t xml:space="preserve">elimination, of user comments </w:t>
      </w:r>
      <w:r w:rsidR="000D1238">
        <w:rPr>
          <w:sz w:val="24"/>
          <w:szCs w:val="24"/>
          <w:lang w:val="en-US"/>
        </w:rPr>
        <w:t>to steer clear of legal trouble</w:t>
      </w:r>
      <w:r>
        <w:rPr>
          <w:sz w:val="24"/>
          <w:szCs w:val="24"/>
          <w:lang w:val="en-US"/>
        </w:rPr>
        <w:t>.</w:t>
      </w:r>
      <w:r w:rsidR="005A326D">
        <w:rPr>
          <w:sz w:val="24"/>
          <w:szCs w:val="24"/>
          <w:lang w:val="en-US"/>
        </w:rPr>
        <w:t xml:space="preserve">  </w:t>
      </w:r>
      <w:r w:rsidR="000D1238">
        <w:rPr>
          <w:sz w:val="24"/>
          <w:szCs w:val="24"/>
          <w:lang w:val="en-US"/>
        </w:rPr>
        <w:t xml:space="preserve">The </w:t>
      </w:r>
      <w:proofErr w:type="spellStart"/>
      <w:r w:rsidR="000D1238" w:rsidRPr="005A326D">
        <w:rPr>
          <w:i/>
          <w:sz w:val="24"/>
          <w:szCs w:val="24"/>
          <w:lang w:val="en-US"/>
        </w:rPr>
        <w:t>Delfi</w:t>
      </w:r>
      <w:proofErr w:type="spellEnd"/>
      <w:r w:rsidR="000D1238">
        <w:rPr>
          <w:sz w:val="24"/>
          <w:szCs w:val="24"/>
          <w:lang w:val="en-US"/>
        </w:rPr>
        <w:t xml:space="preserve"> chamber appears not to have properly considered the implications for user </w:t>
      </w:r>
      <w:bookmarkStart w:id="0" w:name="_GoBack"/>
      <w:bookmarkEnd w:id="0"/>
      <w:r w:rsidR="000D1238" w:rsidRPr="00253BFA">
        <w:rPr>
          <w:sz w:val="24"/>
          <w:szCs w:val="24"/>
          <w:lang w:val="en-US"/>
        </w:rPr>
        <w:t>comments, which on balance tend to enrich and democratize</w:t>
      </w:r>
      <w:r w:rsidR="00C348F5" w:rsidRPr="00253BFA">
        <w:rPr>
          <w:sz w:val="24"/>
          <w:szCs w:val="24"/>
          <w:lang w:val="en-US"/>
        </w:rPr>
        <w:t xml:space="preserve"> online debates, as part of the ‘public sphere’</w:t>
      </w:r>
      <w:r w:rsidR="000D1238" w:rsidRPr="00253BFA">
        <w:rPr>
          <w:sz w:val="24"/>
          <w:szCs w:val="24"/>
          <w:lang w:val="en-US"/>
        </w:rPr>
        <w:t xml:space="preserve">.  </w:t>
      </w:r>
    </w:p>
    <w:p w:rsidR="00B31BD2" w:rsidRPr="00253BFA" w:rsidRDefault="00B31BD2" w:rsidP="00B31BD2">
      <w:pPr>
        <w:autoSpaceDE w:val="0"/>
        <w:autoSpaceDN w:val="0"/>
        <w:adjustRightInd w:val="0"/>
        <w:spacing w:after="0"/>
        <w:rPr>
          <w:sz w:val="24"/>
          <w:szCs w:val="24"/>
          <w:lang w:val="en-US"/>
        </w:rPr>
      </w:pPr>
    </w:p>
    <w:p w:rsidR="009138F3" w:rsidRDefault="00B31BD2" w:rsidP="00B31BD2">
      <w:pPr>
        <w:autoSpaceDE w:val="0"/>
        <w:autoSpaceDN w:val="0"/>
        <w:adjustRightInd w:val="0"/>
        <w:spacing w:after="0"/>
        <w:rPr>
          <w:rFonts w:cs="Times New Roman"/>
          <w:sz w:val="24"/>
          <w:szCs w:val="24"/>
          <w:lang w:val="en-GB"/>
        </w:rPr>
      </w:pPr>
      <w:r w:rsidRPr="00253BFA">
        <w:rPr>
          <w:sz w:val="24"/>
          <w:szCs w:val="24"/>
          <w:lang w:val="en-US"/>
        </w:rPr>
        <w:t xml:space="preserve">Such </w:t>
      </w:r>
      <w:r w:rsidR="000D1238" w:rsidRPr="00253BFA">
        <w:rPr>
          <w:sz w:val="24"/>
          <w:szCs w:val="24"/>
          <w:lang w:val="en-US"/>
        </w:rPr>
        <w:t xml:space="preserve">an </w:t>
      </w:r>
      <w:r w:rsidR="005A326D" w:rsidRPr="00253BFA">
        <w:rPr>
          <w:sz w:val="24"/>
          <w:szCs w:val="24"/>
          <w:lang w:val="en-US"/>
        </w:rPr>
        <w:t xml:space="preserve">approach </w:t>
      </w:r>
      <w:r w:rsidRPr="00253BFA">
        <w:rPr>
          <w:sz w:val="24"/>
          <w:szCs w:val="24"/>
          <w:lang w:val="en-US"/>
        </w:rPr>
        <w:t xml:space="preserve">is </w:t>
      </w:r>
      <w:r w:rsidR="000D1238" w:rsidRPr="00253BFA">
        <w:rPr>
          <w:sz w:val="24"/>
          <w:szCs w:val="24"/>
          <w:lang w:val="en-US"/>
        </w:rPr>
        <w:t>at odds with this Court’s</w:t>
      </w:r>
      <w:r w:rsidR="005A326D" w:rsidRPr="00253BFA">
        <w:rPr>
          <w:sz w:val="24"/>
          <w:szCs w:val="24"/>
          <w:lang w:val="en-US"/>
        </w:rPr>
        <w:t xml:space="preserve"> recent</w:t>
      </w:r>
      <w:r w:rsidR="000D1238" w:rsidRPr="00253BFA">
        <w:rPr>
          <w:sz w:val="24"/>
          <w:szCs w:val="24"/>
          <w:lang w:val="en-US"/>
        </w:rPr>
        <w:t xml:space="preserve"> </w:t>
      </w:r>
      <w:r w:rsidR="005A326D" w:rsidRPr="00253BFA">
        <w:rPr>
          <w:sz w:val="24"/>
          <w:szCs w:val="24"/>
          <w:lang w:val="en-US"/>
        </w:rPr>
        <w:t>jurisprudence</w:t>
      </w:r>
      <w:r w:rsidR="005A326D">
        <w:rPr>
          <w:sz w:val="24"/>
          <w:szCs w:val="24"/>
          <w:lang w:val="en-US"/>
        </w:rPr>
        <w:t xml:space="preserve">, which has recognized that </w:t>
      </w:r>
      <w:r w:rsidR="000D1238" w:rsidRPr="000D1238">
        <w:rPr>
          <w:sz w:val="24"/>
          <w:szCs w:val="24"/>
          <w:lang w:val="en-US"/>
        </w:rPr>
        <w:t>“[i]n light of its accessibility and its capacity to store and communicate vast amounts of information, the Internet plays an important rol</w:t>
      </w:r>
      <w:r w:rsidR="000D1238" w:rsidRPr="000D24D3">
        <w:rPr>
          <w:rFonts w:cs="Times New Roman"/>
          <w:sz w:val="24"/>
          <w:szCs w:val="24"/>
          <w:lang w:val="en-US"/>
        </w:rPr>
        <w:t>e in enhancing the public’s access to news and facilitating the dissemination of information generally.”</w:t>
      </w:r>
      <w:r w:rsidR="000D1238" w:rsidRPr="000D24D3">
        <w:rPr>
          <w:rFonts w:cs="Times New Roman"/>
          <w:sz w:val="24"/>
          <w:szCs w:val="24"/>
          <w:vertAlign w:val="superscript"/>
          <w:lang w:val="en-GB"/>
        </w:rPr>
        <w:footnoteReference w:id="1"/>
      </w:r>
      <w:r w:rsidR="00ED2694" w:rsidRPr="000D24D3">
        <w:rPr>
          <w:rFonts w:cs="Times New Roman"/>
          <w:sz w:val="24"/>
          <w:szCs w:val="24"/>
          <w:lang w:val="en-US"/>
        </w:rPr>
        <w:t xml:space="preserve"> </w:t>
      </w:r>
      <w:r>
        <w:rPr>
          <w:rFonts w:cs="Times New Roman"/>
          <w:sz w:val="24"/>
          <w:szCs w:val="24"/>
          <w:lang w:val="en-US"/>
        </w:rPr>
        <w:t xml:space="preserve">Likewise, </w:t>
      </w:r>
      <w:r>
        <w:rPr>
          <w:rFonts w:cs="Times New Roman"/>
          <w:sz w:val="24"/>
          <w:szCs w:val="24"/>
          <w:lang w:val="en-GB"/>
        </w:rPr>
        <w:t>i</w:t>
      </w:r>
      <w:r w:rsidR="009138F3" w:rsidRPr="000D24D3">
        <w:rPr>
          <w:rFonts w:cs="Times New Roman"/>
          <w:sz w:val="24"/>
          <w:szCs w:val="24"/>
          <w:lang w:val="en-GB"/>
        </w:rPr>
        <w:t xml:space="preserve">n </w:t>
      </w:r>
      <w:proofErr w:type="spellStart"/>
      <w:r w:rsidR="009138F3" w:rsidRPr="00B31BD2">
        <w:rPr>
          <w:rFonts w:cs="Times New Roman"/>
          <w:i/>
          <w:sz w:val="24"/>
          <w:szCs w:val="24"/>
          <w:lang w:val="en-GB"/>
        </w:rPr>
        <w:t>Ahmet</w:t>
      </w:r>
      <w:proofErr w:type="spellEnd"/>
      <w:r w:rsidR="009138F3" w:rsidRPr="00B31BD2">
        <w:rPr>
          <w:rFonts w:cs="Times New Roman"/>
          <w:i/>
          <w:sz w:val="24"/>
          <w:szCs w:val="24"/>
          <w:lang w:val="en-GB"/>
        </w:rPr>
        <w:t xml:space="preserve"> </w:t>
      </w:r>
      <w:proofErr w:type="spellStart"/>
      <w:r w:rsidR="009138F3" w:rsidRPr="00B31BD2">
        <w:rPr>
          <w:rFonts w:cs="Times New Roman"/>
          <w:i/>
          <w:sz w:val="24"/>
          <w:szCs w:val="24"/>
          <w:lang w:val="en-GB"/>
        </w:rPr>
        <w:t>Yildirim</w:t>
      </w:r>
      <w:proofErr w:type="spellEnd"/>
      <w:r w:rsidR="009138F3" w:rsidRPr="00B31BD2">
        <w:rPr>
          <w:rFonts w:cs="Times New Roman"/>
          <w:i/>
          <w:sz w:val="24"/>
          <w:szCs w:val="24"/>
          <w:lang w:val="en-GB"/>
        </w:rPr>
        <w:t xml:space="preserve"> v. Turkey</w:t>
      </w:r>
      <w:r>
        <w:rPr>
          <w:rFonts w:cs="Times New Roman"/>
          <w:i/>
          <w:sz w:val="24"/>
          <w:szCs w:val="24"/>
          <w:lang w:val="en-GB"/>
        </w:rPr>
        <w:t>,</w:t>
      </w:r>
      <w:r w:rsidR="00456BB3">
        <w:rPr>
          <w:rFonts w:cs="Times New Roman"/>
          <w:i/>
          <w:sz w:val="24"/>
          <w:szCs w:val="24"/>
          <w:lang w:val="en-GB"/>
        </w:rPr>
        <w:t xml:space="preserve"> </w:t>
      </w:r>
      <w:r w:rsidR="009138F3" w:rsidRPr="000D24D3">
        <w:rPr>
          <w:rFonts w:cs="Times New Roman"/>
          <w:sz w:val="24"/>
          <w:szCs w:val="24"/>
          <w:lang w:val="en-GB"/>
        </w:rPr>
        <w:t xml:space="preserve">the Second Section of the Court emphasised that </w:t>
      </w:r>
      <w:r w:rsidR="000D24D3" w:rsidRPr="00B31BD2">
        <w:rPr>
          <w:rFonts w:cs="Times New Roman"/>
          <w:sz w:val="24"/>
          <w:szCs w:val="24"/>
          <w:lang w:val="en-GB"/>
        </w:rPr>
        <w:t>“</w:t>
      </w:r>
      <w:r w:rsidR="00456BB3">
        <w:rPr>
          <w:rFonts w:cs="Times New Roman"/>
          <w:sz w:val="24"/>
          <w:szCs w:val="24"/>
          <w:lang w:val="en-GB"/>
        </w:rPr>
        <w:t>the Internet has</w:t>
      </w:r>
      <w:r w:rsidR="000D24D3" w:rsidRPr="00B31BD2">
        <w:rPr>
          <w:rFonts w:cs="Times New Roman"/>
          <w:sz w:val="24"/>
          <w:szCs w:val="24"/>
          <w:lang w:val="en-GB"/>
        </w:rPr>
        <w:t xml:space="preserve"> now become one of the principal means of exercising the right to freedom of expression and information,</w:t>
      </w:r>
      <w:r w:rsidR="000D24D3" w:rsidRPr="00B31BD2">
        <w:rPr>
          <w:rFonts w:cs="Times New Roman"/>
          <w:sz w:val="24"/>
          <w:szCs w:val="24"/>
        </w:rPr>
        <w:t xml:space="preserve"> providing as it does essential tools for participation in activities and discussions concerning political issues and issues of general interest”</w:t>
      </w:r>
      <w:r w:rsidR="009138F3" w:rsidRPr="000D24D3">
        <w:rPr>
          <w:rFonts w:cs="Times New Roman"/>
          <w:sz w:val="24"/>
          <w:szCs w:val="24"/>
          <w:lang w:val="en-GB"/>
        </w:rPr>
        <w:t>.</w:t>
      </w:r>
      <w:r w:rsidR="00456BB3">
        <w:rPr>
          <w:rStyle w:val="FootnoteReference"/>
          <w:rFonts w:cs="Times New Roman"/>
          <w:i/>
          <w:sz w:val="24"/>
          <w:szCs w:val="24"/>
          <w:lang w:val="en-GB"/>
        </w:rPr>
        <w:footnoteReference w:id="2"/>
      </w:r>
    </w:p>
    <w:p w:rsidR="00B31BD2" w:rsidRPr="009138F3" w:rsidRDefault="00B31BD2" w:rsidP="00B31BD2">
      <w:pPr>
        <w:autoSpaceDE w:val="0"/>
        <w:autoSpaceDN w:val="0"/>
        <w:adjustRightInd w:val="0"/>
        <w:spacing w:after="0"/>
        <w:rPr>
          <w:rFonts w:cs="Times New Roman"/>
          <w:sz w:val="24"/>
          <w:szCs w:val="24"/>
          <w:lang w:val="en-GB"/>
        </w:rPr>
      </w:pPr>
    </w:p>
    <w:p w:rsidR="005A326D" w:rsidRDefault="00D30331" w:rsidP="00B31BD2">
      <w:pPr>
        <w:rPr>
          <w:sz w:val="24"/>
          <w:szCs w:val="24"/>
          <w:lang w:val="en-US"/>
        </w:rPr>
      </w:pPr>
      <w:r w:rsidRPr="005A326D">
        <w:rPr>
          <w:i/>
          <w:sz w:val="24"/>
          <w:szCs w:val="24"/>
          <w:lang w:val="en-US"/>
        </w:rPr>
        <w:t>Secondly</w:t>
      </w:r>
      <w:r>
        <w:rPr>
          <w:sz w:val="24"/>
          <w:szCs w:val="24"/>
          <w:lang w:val="en-US"/>
        </w:rPr>
        <w:t xml:space="preserve">, </w:t>
      </w:r>
      <w:r w:rsidR="005A326D">
        <w:rPr>
          <w:sz w:val="24"/>
          <w:szCs w:val="24"/>
          <w:lang w:val="en-US"/>
        </w:rPr>
        <w:t>the chamber ruling is inconsistent with Council of Europe standards as well as the letter and spirit of European Union law. In a widely cited 2003 Declaration, the Committee of Ministers of the Council of Europe urged member states to adopt the following policy:</w:t>
      </w:r>
    </w:p>
    <w:p w:rsidR="00555C76" w:rsidRPr="006F37FB" w:rsidRDefault="005A326D" w:rsidP="00B31BD2">
      <w:pPr>
        <w:pStyle w:val="s9e9b0cd7"/>
        <w:spacing w:after="200" w:afterAutospacing="0" w:line="276" w:lineRule="auto"/>
        <w:ind w:left="720"/>
        <w:rPr>
          <w:sz w:val="22"/>
          <w:szCs w:val="22"/>
        </w:rPr>
      </w:pPr>
      <w:r w:rsidRPr="006F37FB">
        <w:rPr>
          <w:rStyle w:val="sfbbfee58"/>
          <w:sz w:val="22"/>
          <w:szCs w:val="22"/>
        </w:rPr>
        <w:t xml:space="preserve"> </w:t>
      </w:r>
      <w:r w:rsidR="00555C76" w:rsidRPr="006F37FB">
        <w:rPr>
          <w:rStyle w:val="sfbbfee58"/>
          <w:sz w:val="22"/>
          <w:szCs w:val="22"/>
        </w:rPr>
        <w:t xml:space="preserve">“In cases where </w:t>
      </w:r>
      <w:r w:rsidRPr="006F37FB">
        <w:rPr>
          <w:rStyle w:val="sfbbfee58"/>
          <w:sz w:val="22"/>
          <w:szCs w:val="22"/>
        </w:rPr>
        <w:t xml:space="preserve">... </w:t>
      </w:r>
      <w:r w:rsidR="00555C76" w:rsidRPr="006F37FB">
        <w:rPr>
          <w:rStyle w:val="sfbbfee58"/>
          <w:sz w:val="22"/>
          <w:szCs w:val="22"/>
        </w:rPr>
        <w:t xml:space="preserve">service providers </w:t>
      </w:r>
      <w:r w:rsidRPr="006F37FB">
        <w:rPr>
          <w:rStyle w:val="sfbbfee58"/>
          <w:sz w:val="22"/>
          <w:szCs w:val="22"/>
        </w:rPr>
        <w:t xml:space="preserve">... </w:t>
      </w:r>
      <w:r w:rsidR="00555C76" w:rsidRPr="006F37FB">
        <w:rPr>
          <w:rStyle w:val="sfbbfee58"/>
          <w:sz w:val="22"/>
          <w:szCs w:val="22"/>
        </w:rPr>
        <w:t xml:space="preserve">store content emanating from other parties, member states may hold them co-responsible if they do not act expeditiously to remove or disable access to information or services as soon as they </w:t>
      </w:r>
      <w:r w:rsidRPr="006F37FB">
        <w:rPr>
          <w:rStyle w:val="sfbbfee58"/>
          <w:sz w:val="22"/>
          <w:szCs w:val="22"/>
        </w:rPr>
        <w:t xml:space="preserve">become aware ... </w:t>
      </w:r>
      <w:r w:rsidR="00C75B63">
        <w:rPr>
          <w:rStyle w:val="sfbbfee58"/>
          <w:sz w:val="22"/>
          <w:szCs w:val="22"/>
        </w:rPr>
        <w:t>of their illegal nature</w:t>
      </w:r>
      <w:r w:rsidR="00555C76" w:rsidRPr="006F37FB">
        <w:rPr>
          <w:rStyle w:val="sfbbfee58"/>
          <w:sz w:val="22"/>
          <w:szCs w:val="22"/>
        </w:rPr>
        <w:t>.</w:t>
      </w:r>
    </w:p>
    <w:p w:rsidR="00555C76" w:rsidRPr="006F37FB" w:rsidRDefault="00555C76" w:rsidP="00B31BD2">
      <w:pPr>
        <w:pStyle w:val="s9e9b0cd7"/>
        <w:spacing w:after="200" w:afterAutospacing="0" w:line="276" w:lineRule="auto"/>
        <w:ind w:left="720"/>
        <w:rPr>
          <w:rStyle w:val="sfbbfee58"/>
          <w:sz w:val="22"/>
          <w:szCs w:val="22"/>
        </w:rPr>
      </w:pPr>
      <w:r w:rsidRPr="006F37FB">
        <w:rPr>
          <w:rStyle w:val="sfbbfee58"/>
          <w:sz w:val="22"/>
          <w:szCs w:val="22"/>
        </w:rPr>
        <w:t>When defining under national law the obligations of service providers as set out in the previous paragraph, due care must be taken to respect the freedom of expression of those who made the information available in the first place, as well as the corresponding right of users to the information.”</w:t>
      </w:r>
      <w:r w:rsidR="005A326D" w:rsidRPr="006F37FB">
        <w:rPr>
          <w:rStyle w:val="FootnoteReference"/>
          <w:sz w:val="22"/>
          <w:szCs w:val="22"/>
        </w:rPr>
        <w:footnoteReference w:id="3"/>
      </w:r>
    </w:p>
    <w:p w:rsidR="00555C76" w:rsidRDefault="00D25F28" w:rsidP="00B31BD2">
      <w:pPr>
        <w:pStyle w:val="s9e9b0cd7"/>
        <w:spacing w:after="200" w:afterAutospacing="0" w:line="276" w:lineRule="auto"/>
      </w:pPr>
      <w:r>
        <w:t xml:space="preserve">The same position was essentially adopted by the European Union </w:t>
      </w:r>
      <w:r w:rsidR="00C75B63">
        <w:t>through</w:t>
      </w:r>
      <w:r>
        <w:t xml:space="preserve"> the Electronic Commerce Directive of 2000. Under the Directive, member states cannot impose on intermediaries a general duty to monitor the legality of third-party communications; they can only be held liable if they fail to act “expeditiously” upon obtaining “actual knowledge” of any illegality. This approach is </w:t>
      </w:r>
      <w:r w:rsidR="00DE7EA7">
        <w:t xml:space="preserve">considered a crucial guarantee for </w:t>
      </w:r>
      <w:r>
        <w:t>freedom of expression since it tends to promote self-regulation</w:t>
      </w:r>
      <w:r w:rsidR="00DE7EA7">
        <w:t xml:space="preserve">, </w:t>
      </w:r>
      <w:r>
        <w:t>minimize</w:t>
      </w:r>
      <w:r w:rsidR="00DE7EA7">
        <w:t>s</w:t>
      </w:r>
      <w:r>
        <w:t xml:space="preserve"> the need for private censorship</w:t>
      </w:r>
      <w:r w:rsidR="00456BB3">
        <w:t>,</w:t>
      </w:r>
      <w:r w:rsidR="00DE7EA7">
        <w:t xml:space="preserve"> and prevents </w:t>
      </w:r>
      <w:r w:rsidR="00456BB3">
        <w:t xml:space="preserve">overbroad </w:t>
      </w:r>
      <w:r w:rsidR="00DE7EA7">
        <w:t>monitoring and filtering of user content</w:t>
      </w:r>
      <w:r w:rsidR="00456BB3">
        <w:t xml:space="preserve"> that tends </w:t>
      </w:r>
      <w:r w:rsidR="00DE7EA7">
        <w:t>to have a chilling effect on online public debate</w:t>
      </w:r>
      <w:r w:rsidR="00456BB3">
        <w:t>.</w:t>
      </w:r>
    </w:p>
    <w:p w:rsidR="00D25F28" w:rsidRDefault="00D25F28" w:rsidP="00B31BD2">
      <w:pPr>
        <w:pStyle w:val="s9e9b0cd7"/>
        <w:spacing w:after="200" w:afterAutospacing="0" w:line="276" w:lineRule="auto"/>
      </w:pPr>
      <w:r w:rsidRPr="006F37FB">
        <w:rPr>
          <w:i/>
        </w:rPr>
        <w:t>Thirdly</w:t>
      </w:r>
      <w:r>
        <w:t xml:space="preserve">, it follows from the above that the </w:t>
      </w:r>
      <w:r w:rsidRPr="006F37FB">
        <w:rPr>
          <w:i/>
        </w:rPr>
        <w:t>Delfi</w:t>
      </w:r>
      <w:r>
        <w:t xml:space="preserve"> chamber did not conduct a thorough analysis of whether the decisions of the Estonian authorities were “</w:t>
      </w:r>
      <w:r w:rsidR="006F37FB">
        <w:t>prescribed by law</w:t>
      </w:r>
      <w:r>
        <w:t>”</w:t>
      </w:r>
      <w:r w:rsidR="006F37FB">
        <w:t xml:space="preserve"> within the meaning of Article 10 § 2.</w:t>
      </w:r>
      <w:r>
        <w:t xml:space="preserve"> </w:t>
      </w:r>
      <w:r w:rsidR="006F37FB">
        <w:t xml:space="preserve">Under the E-Commerce Directive and relevant judgments of the Court of Justice of the European Union (CJEU), it was not unreasonable for Delfi to believe that it would </w:t>
      </w:r>
      <w:r w:rsidR="00C75B63">
        <w:t xml:space="preserve">be protected by the “safe harbour” provisions of EU law in circumstances such </w:t>
      </w:r>
      <w:r w:rsidR="00C75B63">
        <w:lastRenderedPageBreak/>
        <w:t>as those of the current case</w:t>
      </w:r>
      <w:r w:rsidR="006F37FB">
        <w:t>.</w:t>
      </w:r>
      <w:r w:rsidR="006F37FB">
        <w:rPr>
          <w:rStyle w:val="FootnoteReference"/>
        </w:rPr>
        <w:footnoteReference w:id="4"/>
      </w:r>
      <w:r w:rsidR="006F37FB">
        <w:t xml:space="preserve"> The </w:t>
      </w:r>
      <w:r w:rsidR="00C75B63">
        <w:t xml:space="preserve">chamber </w:t>
      </w:r>
      <w:r w:rsidR="00456BB3">
        <w:t>ruling sets the Court o</w:t>
      </w:r>
      <w:r w:rsidR="006F37FB">
        <w:t>n a potential course of collision with the case law of the CJEU</w:t>
      </w:r>
      <w:r w:rsidR="00085AC5">
        <w:t xml:space="preserve"> and may </w:t>
      </w:r>
      <w:r w:rsidR="00456BB3">
        <w:t xml:space="preserve">also give rise to </w:t>
      </w:r>
      <w:r w:rsidR="00085AC5">
        <w:t>a conflict under Article 53 of the Convention</w:t>
      </w:r>
      <w:r w:rsidR="006F37FB">
        <w:t>.</w:t>
      </w:r>
    </w:p>
    <w:p w:rsidR="00586E4B" w:rsidRPr="00555C76" w:rsidRDefault="009C7060" w:rsidP="00B31BD2">
      <w:pPr>
        <w:pStyle w:val="s9e9b0cd7"/>
        <w:spacing w:after="200" w:afterAutospacing="0" w:line="276" w:lineRule="auto"/>
      </w:pPr>
      <w:r w:rsidRPr="009C7060">
        <w:rPr>
          <w:i/>
        </w:rPr>
        <w:t>Finally</w:t>
      </w:r>
      <w:r w:rsidR="00586E4B">
        <w:t>,</w:t>
      </w:r>
      <w:r w:rsidR="00586E4B" w:rsidRPr="00586E4B">
        <w:rPr>
          <w:rFonts w:eastAsiaTheme="minorHAnsi" w:cstheme="minorBidi"/>
          <w:sz w:val="20"/>
          <w:szCs w:val="22"/>
          <w:lang w:eastAsia="en-US"/>
        </w:rPr>
        <w:t xml:space="preserve"> </w:t>
      </w:r>
      <w:r>
        <w:t>the chamber ruling is also at odds with emerging practice in the member states, which are seeking innovative solutions to the unique complexities of the Internet. In the UK, for example, the new defamation reform</w:t>
      </w:r>
      <w:r w:rsidR="00DC2E37">
        <w:t>s</w:t>
      </w:r>
      <w:r>
        <w:t xml:space="preserve"> </w:t>
      </w:r>
      <w:r w:rsidR="00456BB3">
        <w:t xml:space="preserve">for England and Wales </w:t>
      </w:r>
      <w:r w:rsidR="00DC2E37">
        <w:t>contain</w:t>
      </w:r>
      <w:r>
        <w:t xml:space="preserve"> a number of regulations applicable specifically to defamation </w:t>
      </w:r>
      <w:r w:rsidR="00DC2E37">
        <w:t>through</w:t>
      </w:r>
      <w:r>
        <w:t xml:space="preserve"> the Internet, </w:t>
      </w:r>
      <w:r w:rsidR="00DC2E37">
        <w:t xml:space="preserve">including with respect to anonymous third-party comments. Simply applying </w:t>
      </w:r>
      <w:r w:rsidR="00504D83">
        <w:t>traditional</w:t>
      </w:r>
      <w:r w:rsidR="00DC2E37">
        <w:t xml:space="preserve"> rules of editorial responsibility is not the answer to the new challenges of the digital era.</w:t>
      </w:r>
      <w:r w:rsidR="00085AC5">
        <w:t xml:space="preserve"> </w:t>
      </w:r>
      <w:r w:rsidR="00456BB3" w:rsidRPr="00456BB3">
        <w:t xml:space="preserve">For similar reasons, related among others to the application of binding EU law, a recent Northern Ireland High Court </w:t>
      </w:r>
      <w:r w:rsidR="00456BB3">
        <w:t>judgment</w:t>
      </w:r>
      <w:r w:rsidR="00456BB3" w:rsidRPr="00456BB3">
        <w:t xml:space="preserve"> expressly chose not to follow the </w:t>
      </w:r>
      <w:r w:rsidR="00456BB3" w:rsidRPr="00456BB3">
        <w:rPr>
          <w:i/>
        </w:rPr>
        <w:t>Delfi</w:t>
      </w:r>
      <w:r w:rsidR="00456BB3" w:rsidRPr="00456BB3">
        <w:t xml:space="preserve"> chamber ruling</w:t>
      </w:r>
      <w:r w:rsidR="00085AC5">
        <w:t>.</w:t>
      </w:r>
      <w:r w:rsidR="00085AC5">
        <w:rPr>
          <w:rStyle w:val="FootnoteReference"/>
        </w:rPr>
        <w:footnoteReference w:id="5"/>
      </w:r>
      <w:r w:rsidR="00085AC5">
        <w:t xml:space="preserve"> </w:t>
      </w:r>
    </w:p>
    <w:p w:rsidR="00555C76" w:rsidRDefault="00504D83" w:rsidP="00B31BD2">
      <w:pPr>
        <w:rPr>
          <w:sz w:val="24"/>
          <w:szCs w:val="24"/>
          <w:lang w:val="en-US"/>
        </w:rPr>
      </w:pPr>
      <w:r>
        <w:rPr>
          <w:sz w:val="24"/>
          <w:szCs w:val="24"/>
          <w:lang w:val="en-US"/>
        </w:rPr>
        <w:t>For all these reasons, we strongly urge the Court to accept the applicant’s request for a referral that would allow the Grand Chamber to reconsider these issues with the care and thoughtfulness that they deserve. There is no question in our minds that the current case raises “a serious question affecting the interpretation” of Article 10 of the Convention</w:t>
      </w:r>
      <w:r w:rsidR="00085AC5">
        <w:rPr>
          <w:sz w:val="24"/>
          <w:szCs w:val="24"/>
          <w:lang w:val="en-US"/>
        </w:rPr>
        <w:t xml:space="preserve"> as well as “a</w:t>
      </w:r>
      <w:r w:rsidR="00085AC5" w:rsidRPr="00C26C1E">
        <w:rPr>
          <w:sz w:val="24"/>
          <w:szCs w:val="24"/>
          <w:lang w:val="en-US"/>
        </w:rPr>
        <w:t xml:space="preserve"> serious</w:t>
      </w:r>
      <w:r w:rsidR="00085AC5">
        <w:rPr>
          <w:sz w:val="24"/>
          <w:szCs w:val="24"/>
          <w:lang w:val="en-US"/>
        </w:rPr>
        <w:t xml:space="preserve"> </w:t>
      </w:r>
      <w:r w:rsidR="00085AC5" w:rsidRPr="00C26C1E">
        <w:rPr>
          <w:sz w:val="24"/>
          <w:szCs w:val="24"/>
          <w:lang w:val="en-US"/>
        </w:rPr>
        <w:t>issue of general importance</w:t>
      </w:r>
      <w:r w:rsidR="00085AC5">
        <w:rPr>
          <w:sz w:val="24"/>
          <w:szCs w:val="24"/>
          <w:lang w:val="en-US"/>
        </w:rPr>
        <w:t>”</w:t>
      </w:r>
      <w:r>
        <w:rPr>
          <w:sz w:val="24"/>
          <w:szCs w:val="24"/>
          <w:lang w:val="en-US"/>
        </w:rPr>
        <w:t xml:space="preserve"> (Art. 43).</w:t>
      </w:r>
    </w:p>
    <w:p w:rsidR="00504D83" w:rsidRDefault="00504D83" w:rsidP="00B31BD2">
      <w:pPr>
        <w:rPr>
          <w:sz w:val="24"/>
          <w:szCs w:val="24"/>
          <w:lang w:val="en-US"/>
        </w:rPr>
      </w:pPr>
    </w:p>
    <w:p w:rsidR="00504D83" w:rsidRPr="00555C76" w:rsidRDefault="00504D83" w:rsidP="00B31BD2">
      <w:pPr>
        <w:rPr>
          <w:sz w:val="24"/>
          <w:szCs w:val="24"/>
          <w:lang w:val="en-US"/>
        </w:rPr>
      </w:pPr>
      <w:r>
        <w:rPr>
          <w:sz w:val="24"/>
          <w:szCs w:val="24"/>
          <w:lang w:val="en-US"/>
        </w:rPr>
        <w:t xml:space="preserve">Signatories … </w:t>
      </w:r>
    </w:p>
    <w:sectPr w:rsidR="00504D83" w:rsidRPr="00555C76" w:rsidSect="003B6D7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36B" w:rsidRDefault="00D6436B" w:rsidP="000D1238">
      <w:pPr>
        <w:spacing w:after="0" w:line="240" w:lineRule="auto"/>
      </w:pPr>
      <w:r>
        <w:separator/>
      </w:r>
    </w:p>
  </w:endnote>
  <w:endnote w:type="continuationSeparator" w:id="0">
    <w:p w:rsidR="00D6436B" w:rsidRDefault="00D6436B" w:rsidP="000D1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466642"/>
      <w:docPartObj>
        <w:docPartGallery w:val="Page Numbers (Bottom of Page)"/>
        <w:docPartUnique/>
      </w:docPartObj>
    </w:sdtPr>
    <w:sdtEndPr>
      <w:rPr>
        <w:noProof/>
      </w:rPr>
    </w:sdtEndPr>
    <w:sdtContent>
      <w:p w:rsidR="004E5C1B" w:rsidRDefault="004E5C1B">
        <w:pPr>
          <w:pStyle w:val="Footer"/>
          <w:jc w:val="center"/>
        </w:pPr>
        <w:r>
          <w:fldChar w:fldCharType="begin"/>
        </w:r>
        <w:r>
          <w:instrText xml:space="preserve"> PAGE   \* MERGEFORMAT </w:instrText>
        </w:r>
        <w:r>
          <w:fldChar w:fldCharType="separate"/>
        </w:r>
        <w:r w:rsidR="00253BFA">
          <w:rPr>
            <w:noProof/>
          </w:rPr>
          <w:t>2</w:t>
        </w:r>
        <w:r>
          <w:rPr>
            <w:noProof/>
          </w:rPr>
          <w:fldChar w:fldCharType="end"/>
        </w:r>
      </w:p>
    </w:sdtContent>
  </w:sdt>
  <w:p w:rsidR="004E5C1B" w:rsidRDefault="004E5C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36B" w:rsidRDefault="00D6436B" w:rsidP="000D1238">
      <w:pPr>
        <w:spacing w:after="0" w:line="240" w:lineRule="auto"/>
      </w:pPr>
      <w:r>
        <w:separator/>
      </w:r>
    </w:p>
  </w:footnote>
  <w:footnote w:type="continuationSeparator" w:id="0">
    <w:p w:rsidR="00D6436B" w:rsidRDefault="00D6436B" w:rsidP="000D1238">
      <w:pPr>
        <w:spacing w:after="0" w:line="240" w:lineRule="auto"/>
      </w:pPr>
      <w:r>
        <w:continuationSeparator/>
      </w:r>
    </w:p>
  </w:footnote>
  <w:footnote w:id="1">
    <w:p w:rsidR="000D1238" w:rsidRPr="000D4D3B" w:rsidRDefault="000D1238" w:rsidP="000D1238">
      <w:pPr>
        <w:pStyle w:val="FootnoteText"/>
      </w:pPr>
      <w:r w:rsidRPr="000D4D3B">
        <w:rPr>
          <w:rStyle w:val="FootnoteReference"/>
        </w:rPr>
        <w:footnoteRef/>
      </w:r>
      <w:r w:rsidRPr="000D4D3B">
        <w:t xml:space="preserve"> </w:t>
      </w:r>
      <w:r w:rsidRPr="000D4D3B">
        <w:rPr>
          <w:i/>
        </w:rPr>
        <w:t>Times Newspapers Ltd v. the United Kingdom</w:t>
      </w:r>
      <w:r w:rsidRPr="000D4D3B">
        <w:t xml:space="preserve"> (Nos. 1 and 2), Judgment of 10 March 2009, </w:t>
      </w:r>
      <w:proofErr w:type="spellStart"/>
      <w:r w:rsidRPr="000D4D3B">
        <w:t>para</w:t>
      </w:r>
      <w:proofErr w:type="spellEnd"/>
      <w:r w:rsidRPr="000D4D3B">
        <w:t xml:space="preserve">. 27. See also </w:t>
      </w:r>
      <w:r w:rsidRPr="000D4D3B">
        <w:rPr>
          <w:i/>
        </w:rPr>
        <w:t xml:space="preserve">Editorial Board of </w:t>
      </w:r>
      <w:proofErr w:type="spellStart"/>
      <w:r w:rsidRPr="000D4D3B">
        <w:rPr>
          <w:i/>
        </w:rPr>
        <w:t>Pravoye</w:t>
      </w:r>
      <w:proofErr w:type="spellEnd"/>
      <w:r w:rsidRPr="000D4D3B">
        <w:rPr>
          <w:i/>
        </w:rPr>
        <w:t xml:space="preserve"> </w:t>
      </w:r>
      <w:proofErr w:type="spellStart"/>
      <w:r w:rsidRPr="000D4D3B">
        <w:rPr>
          <w:i/>
        </w:rPr>
        <w:t>Delo</w:t>
      </w:r>
      <w:proofErr w:type="spellEnd"/>
      <w:r w:rsidRPr="000D4D3B">
        <w:rPr>
          <w:i/>
        </w:rPr>
        <w:t xml:space="preserve"> and </w:t>
      </w:r>
      <w:proofErr w:type="spellStart"/>
      <w:r w:rsidRPr="000D4D3B">
        <w:rPr>
          <w:i/>
        </w:rPr>
        <w:t>Shtekel</w:t>
      </w:r>
      <w:proofErr w:type="spellEnd"/>
      <w:r w:rsidRPr="000D4D3B">
        <w:rPr>
          <w:i/>
        </w:rPr>
        <w:t xml:space="preserve"> v. Ukraine</w:t>
      </w:r>
      <w:r w:rsidRPr="000D4D3B">
        <w:t>, Judgment of 5 May 2011.</w:t>
      </w:r>
    </w:p>
  </w:footnote>
  <w:footnote w:id="2">
    <w:p w:rsidR="00456BB3" w:rsidRDefault="00456BB3" w:rsidP="00456BB3">
      <w:pPr>
        <w:pStyle w:val="FootnoteText"/>
      </w:pPr>
      <w:r>
        <w:rPr>
          <w:rStyle w:val="FootnoteReference"/>
        </w:rPr>
        <w:footnoteRef/>
      </w:r>
      <w:r>
        <w:t xml:space="preserve"> </w:t>
      </w:r>
      <w:r w:rsidRPr="00456BB3">
        <w:t>Judgment of 18 December 2012</w:t>
      </w:r>
      <w:r>
        <w:t xml:space="preserve">, </w:t>
      </w:r>
      <w:proofErr w:type="spellStart"/>
      <w:r>
        <w:t>para</w:t>
      </w:r>
      <w:proofErr w:type="spellEnd"/>
      <w:r>
        <w:t>. 54.</w:t>
      </w:r>
    </w:p>
  </w:footnote>
  <w:footnote w:id="3">
    <w:p w:rsidR="005A326D" w:rsidRDefault="005A326D">
      <w:pPr>
        <w:pStyle w:val="FootnoteText"/>
      </w:pPr>
      <w:r>
        <w:rPr>
          <w:rStyle w:val="FootnoteReference"/>
        </w:rPr>
        <w:footnoteRef/>
      </w:r>
      <w:r>
        <w:t xml:space="preserve"> </w:t>
      </w:r>
      <w:r w:rsidRPr="00555C76">
        <w:rPr>
          <w:rStyle w:val="sb8d990e2"/>
        </w:rPr>
        <w:t>Declaration on freedom of communication on the Internet</w:t>
      </w:r>
      <w:r>
        <w:rPr>
          <w:rStyle w:val="sb8d990e2"/>
        </w:rPr>
        <w:t>,</w:t>
      </w:r>
      <w:r w:rsidRPr="00555C76">
        <w:rPr>
          <w:rStyle w:val="sb8d990e2"/>
        </w:rPr>
        <w:t xml:space="preserve"> 28 May 2003</w:t>
      </w:r>
      <w:r>
        <w:rPr>
          <w:rStyle w:val="sb8d990e2"/>
        </w:rPr>
        <w:t>,</w:t>
      </w:r>
      <w:r w:rsidRPr="00555C76">
        <w:rPr>
          <w:rStyle w:val="sb8d990e2"/>
        </w:rPr>
        <w:t xml:space="preserve"> </w:t>
      </w:r>
      <w:r>
        <w:rPr>
          <w:rStyle w:val="sb8d990e2"/>
        </w:rPr>
        <w:t>adopted</w:t>
      </w:r>
      <w:r w:rsidRPr="00555C76">
        <w:rPr>
          <w:rStyle w:val="sb8d990e2"/>
        </w:rPr>
        <w:t xml:space="preserve"> at the 840th meeting </w:t>
      </w:r>
      <w:r>
        <w:rPr>
          <w:rStyle w:val="sb8d990e2"/>
        </w:rPr>
        <w:t>of the Ministers’ Deputies.</w:t>
      </w:r>
    </w:p>
  </w:footnote>
  <w:footnote w:id="4">
    <w:p w:rsidR="006F37FB" w:rsidRDefault="006F37FB">
      <w:pPr>
        <w:pStyle w:val="FootnoteText"/>
      </w:pPr>
      <w:r>
        <w:rPr>
          <w:rStyle w:val="FootnoteReference"/>
        </w:rPr>
        <w:footnoteRef/>
      </w:r>
      <w:r>
        <w:t xml:space="preserve"> The </w:t>
      </w:r>
      <w:r w:rsidRPr="006F37FB">
        <w:t xml:space="preserve">CJEU has ruled, with reference inter alia to Article 10 ECHR, that an </w:t>
      </w:r>
      <w:r>
        <w:t>Internet service provider can</w:t>
      </w:r>
      <w:r w:rsidRPr="006F37FB">
        <w:t>not be required to install a system filtering</w:t>
      </w:r>
      <w:r>
        <w:t xml:space="preserve"> (scanning)</w:t>
      </w:r>
      <w:r w:rsidRPr="006F37FB">
        <w:t xml:space="preserve"> all electronic communication passing </w:t>
      </w:r>
      <w:r>
        <w:t>through its services</w:t>
      </w:r>
      <w:r w:rsidRPr="006F37FB">
        <w:t xml:space="preserve"> as this would amount to a preventive measure and a disproportionate interference with </w:t>
      </w:r>
      <w:r>
        <w:t xml:space="preserve">its users’ </w:t>
      </w:r>
      <w:r w:rsidRPr="006F37FB">
        <w:t>freedom</w:t>
      </w:r>
      <w:r w:rsidR="009C7060">
        <w:t xml:space="preserve"> of expression and information. See </w:t>
      </w:r>
      <w:r w:rsidRPr="009C7060">
        <w:rPr>
          <w:i/>
        </w:rPr>
        <w:t xml:space="preserve">Scarlet </w:t>
      </w:r>
      <w:r w:rsidR="009C7060" w:rsidRPr="009C7060">
        <w:rPr>
          <w:i/>
        </w:rPr>
        <w:t xml:space="preserve">v. </w:t>
      </w:r>
      <w:proofErr w:type="spellStart"/>
      <w:r w:rsidR="009C7060" w:rsidRPr="009C7060">
        <w:rPr>
          <w:i/>
        </w:rPr>
        <w:t>Sabam</w:t>
      </w:r>
      <w:proofErr w:type="spellEnd"/>
      <w:r w:rsidR="009C7060">
        <w:t xml:space="preserve">, Case C-70/10, </w:t>
      </w:r>
      <w:r w:rsidR="009C7060" w:rsidRPr="000D4D3B">
        <w:t>Judgment of 24 November 2011</w:t>
      </w:r>
      <w:r w:rsidR="009C7060">
        <w:t xml:space="preserve">; </w:t>
      </w:r>
      <w:r w:rsidRPr="006F37FB">
        <w:t xml:space="preserve">and </w:t>
      </w:r>
      <w:proofErr w:type="spellStart"/>
      <w:r w:rsidRPr="009C7060">
        <w:rPr>
          <w:i/>
        </w:rPr>
        <w:t>Netlog</w:t>
      </w:r>
      <w:proofErr w:type="spellEnd"/>
      <w:r w:rsidR="009C7060" w:rsidRPr="009C7060">
        <w:rPr>
          <w:i/>
        </w:rPr>
        <w:t xml:space="preserve"> v. </w:t>
      </w:r>
      <w:proofErr w:type="spellStart"/>
      <w:r w:rsidR="009C7060" w:rsidRPr="009C7060">
        <w:rPr>
          <w:i/>
        </w:rPr>
        <w:t>Sabam</w:t>
      </w:r>
      <w:proofErr w:type="spellEnd"/>
      <w:r w:rsidR="009C7060">
        <w:t>, Case C-360/10,</w:t>
      </w:r>
      <w:r w:rsidR="009C7060" w:rsidRPr="000D4D3B">
        <w:t xml:space="preserve"> Judgment of 16 February 2012</w:t>
      </w:r>
      <w:r w:rsidRPr="006F37FB">
        <w:t>.</w:t>
      </w:r>
    </w:p>
  </w:footnote>
  <w:footnote w:id="5">
    <w:p w:rsidR="00085AC5" w:rsidRPr="00456BB3" w:rsidRDefault="00085AC5">
      <w:pPr>
        <w:pStyle w:val="FootnoteText"/>
        <w:rPr>
          <w:lang w:val="en-GB"/>
        </w:rPr>
      </w:pPr>
      <w:r>
        <w:rPr>
          <w:rStyle w:val="FootnoteReference"/>
        </w:rPr>
        <w:footnoteRef/>
      </w:r>
      <w:r>
        <w:t xml:space="preserve"> </w:t>
      </w:r>
      <w:r w:rsidRPr="00456BB3">
        <w:rPr>
          <w:i/>
        </w:rPr>
        <w:t xml:space="preserve">J19 &amp; </w:t>
      </w:r>
      <w:proofErr w:type="spellStart"/>
      <w:r w:rsidRPr="00456BB3">
        <w:rPr>
          <w:i/>
        </w:rPr>
        <w:t>Anor</w:t>
      </w:r>
      <w:proofErr w:type="spellEnd"/>
      <w:r w:rsidRPr="00456BB3">
        <w:rPr>
          <w:i/>
        </w:rPr>
        <w:t xml:space="preserve"> v Facebook Ireland</w:t>
      </w:r>
      <w:r w:rsidRPr="00085AC5">
        <w:t xml:space="preserve"> [2013] NIQB 113 (15 November 2013)</w:t>
      </w:r>
      <w:r w:rsidR="006F1FFA">
        <w:t xml:space="preserve">, at </w:t>
      </w:r>
      <w:hyperlink r:id="rId1" w:history="1">
        <w:r w:rsidR="006F1FFA" w:rsidRPr="003A609D">
          <w:rPr>
            <w:rStyle w:val="Hyperlink"/>
          </w:rPr>
          <w:t>http://www.bailii.org/nie/cases/NIHC/QB/2013/113.html</w:t>
        </w:r>
      </w:hyperlink>
      <w:r w:rsidR="00456BB3">
        <w:t>.</w:t>
      </w:r>
      <w:r w:rsidR="006F1FFA">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C76"/>
    <w:rsid w:val="00085AC5"/>
    <w:rsid w:val="000D1238"/>
    <w:rsid w:val="000D24D3"/>
    <w:rsid w:val="00122E3E"/>
    <w:rsid w:val="001578B5"/>
    <w:rsid w:val="001C59A9"/>
    <w:rsid w:val="00236AB7"/>
    <w:rsid w:val="00253BFA"/>
    <w:rsid w:val="002E3CD5"/>
    <w:rsid w:val="003B6D74"/>
    <w:rsid w:val="00456BB3"/>
    <w:rsid w:val="004C1A8E"/>
    <w:rsid w:val="004D3188"/>
    <w:rsid w:val="004D7B4B"/>
    <w:rsid w:val="004E5C1B"/>
    <w:rsid w:val="00504D83"/>
    <w:rsid w:val="00510CD6"/>
    <w:rsid w:val="00555C76"/>
    <w:rsid w:val="00586E4B"/>
    <w:rsid w:val="005A326D"/>
    <w:rsid w:val="005B0E0D"/>
    <w:rsid w:val="005F595C"/>
    <w:rsid w:val="00663065"/>
    <w:rsid w:val="006F1FFA"/>
    <w:rsid w:val="006F37FB"/>
    <w:rsid w:val="0076721F"/>
    <w:rsid w:val="008A4830"/>
    <w:rsid w:val="008C438D"/>
    <w:rsid w:val="009138F3"/>
    <w:rsid w:val="00975CDC"/>
    <w:rsid w:val="009C7060"/>
    <w:rsid w:val="00B31BD2"/>
    <w:rsid w:val="00B503FE"/>
    <w:rsid w:val="00C26C1E"/>
    <w:rsid w:val="00C348F5"/>
    <w:rsid w:val="00C75B63"/>
    <w:rsid w:val="00D25F28"/>
    <w:rsid w:val="00D30331"/>
    <w:rsid w:val="00D6436B"/>
    <w:rsid w:val="00DA47B5"/>
    <w:rsid w:val="00DC2E37"/>
    <w:rsid w:val="00DD7004"/>
    <w:rsid w:val="00DE7EA7"/>
    <w:rsid w:val="00ED2694"/>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D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9e9b0cd7">
    <w:name w:val="s9e9b0cd7"/>
    <w:basedOn w:val="Normal"/>
    <w:rsid w:val="00555C76"/>
    <w:pPr>
      <w:spacing w:before="100" w:beforeAutospacing="1" w:after="100" w:afterAutospacing="1" w:line="240" w:lineRule="auto"/>
    </w:pPr>
    <w:rPr>
      <w:rFonts w:eastAsia="Times New Roman" w:cs="Times New Roman"/>
      <w:sz w:val="24"/>
      <w:szCs w:val="24"/>
      <w:lang w:eastAsia="sq-AL"/>
    </w:rPr>
  </w:style>
  <w:style w:type="character" w:customStyle="1" w:styleId="sfbbfee58">
    <w:name w:val="sfbbfee58"/>
    <w:basedOn w:val="DefaultParagraphFont"/>
    <w:rsid w:val="00555C76"/>
  </w:style>
  <w:style w:type="character" w:customStyle="1" w:styleId="sb8d990e2">
    <w:name w:val="sb8d990e2"/>
    <w:basedOn w:val="DefaultParagraphFont"/>
    <w:rsid w:val="00555C76"/>
  </w:style>
  <w:style w:type="character" w:styleId="Hyperlink">
    <w:name w:val="Hyperlink"/>
    <w:basedOn w:val="DefaultParagraphFont"/>
    <w:uiPriority w:val="99"/>
    <w:unhideWhenUsed/>
    <w:rsid w:val="00586E4B"/>
    <w:rPr>
      <w:color w:val="0000FF" w:themeColor="hyperlink"/>
      <w:u w:val="single"/>
    </w:rPr>
  </w:style>
  <w:style w:type="character" w:styleId="FootnoteReference">
    <w:name w:val="footnote reference"/>
    <w:aliases w:val="Footnotes refss,Style 10"/>
    <w:uiPriority w:val="99"/>
    <w:semiHidden/>
    <w:rsid w:val="000D1238"/>
    <w:rPr>
      <w:vertAlign w:val="superscript"/>
    </w:rPr>
  </w:style>
  <w:style w:type="paragraph" w:styleId="FootnoteText">
    <w:name w:val="footnote text"/>
    <w:basedOn w:val="Normal"/>
    <w:link w:val="FootnoteTextChar"/>
    <w:uiPriority w:val="99"/>
    <w:rsid w:val="000D1238"/>
    <w:pPr>
      <w:spacing w:after="0" w:line="240" w:lineRule="auto"/>
    </w:pPr>
    <w:rPr>
      <w:rFonts w:eastAsia="Times New Roman" w:cs="Times New Roman"/>
      <w:szCs w:val="20"/>
      <w:lang w:val="en-US"/>
    </w:rPr>
  </w:style>
  <w:style w:type="character" w:customStyle="1" w:styleId="FootnoteTextChar">
    <w:name w:val="Footnote Text Char"/>
    <w:basedOn w:val="DefaultParagraphFont"/>
    <w:link w:val="FootnoteText"/>
    <w:uiPriority w:val="99"/>
    <w:rsid w:val="000D1238"/>
    <w:rPr>
      <w:rFonts w:eastAsia="Times New Roman" w:cs="Times New Roman"/>
      <w:szCs w:val="20"/>
      <w:lang w:val="en-US"/>
    </w:rPr>
  </w:style>
  <w:style w:type="paragraph" w:styleId="BalloonText">
    <w:name w:val="Balloon Text"/>
    <w:basedOn w:val="Normal"/>
    <w:link w:val="BalloonTextChar"/>
    <w:uiPriority w:val="99"/>
    <w:semiHidden/>
    <w:unhideWhenUsed/>
    <w:rsid w:val="00085A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AC5"/>
    <w:rPr>
      <w:rFonts w:ascii="Tahoma" w:hAnsi="Tahoma" w:cs="Tahoma"/>
      <w:sz w:val="16"/>
      <w:szCs w:val="16"/>
    </w:rPr>
  </w:style>
  <w:style w:type="paragraph" w:styleId="Header">
    <w:name w:val="header"/>
    <w:basedOn w:val="Normal"/>
    <w:link w:val="HeaderChar"/>
    <w:uiPriority w:val="99"/>
    <w:unhideWhenUsed/>
    <w:rsid w:val="004E5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C1B"/>
  </w:style>
  <w:style w:type="paragraph" w:styleId="Footer">
    <w:name w:val="footer"/>
    <w:basedOn w:val="Normal"/>
    <w:link w:val="FooterChar"/>
    <w:uiPriority w:val="99"/>
    <w:unhideWhenUsed/>
    <w:rsid w:val="004E5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D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9e9b0cd7">
    <w:name w:val="s9e9b0cd7"/>
    <w:basedOn w:val="Normal"/>
    <w:rsid w:val="00555C76"/>
    <w:pPr>
      <w:spacing w:before="100" w:beforeAutospacing="1" w:after="100" w:afterAutospacing="1" w:line="240" w:lineRule="auto"/>
    </w:pPr>
    <w:rPr>
      <w:rFonts w:eastAsia="Times New Roman" w:cs="Times New Roman"/>
      <w:sz w:val="24"/>
      <w:szCs w:val="24"/>
      <w:lang w:eastAsia="sq-AL"/>
    </w:rPr>
  </w:style>
  <w:style w:type="character" w:customStyle="1" w:styleId="sfbbfee58">
    <w:name w:val="sfbbfee58"/>
    <w:basedOn w:val="DefaultParagraphFont"/>
    <w:rsid w:val="00555C76"/>
  </w:style>
  <w:style w:type="character" w:customStyle="1" w:styleId="sb8d990e2">
    <w:name w:val="sb8d990e2"/>
    <w:basedOn w:val="DefaultParagraphFont"/>
    <w:rsid w:val="00555C76"/>
  </w:style>
  <w:style w:type="character" w:styleId="Hyperlink">
    <w:name w:val="Hyperlink"/>
    <w:basedOn w:val="DefaultParagraphFont"/>
    <w:uiPriority w:val="99"/>
    <w:unhideWhenUsed/>
    <w:rsid w:val="00586E4B"/>
    <w:rPr>
      <w:color w:val="0000FF" w:themeColor="hyperlink"/>
      <w:u w:val="single"/>
    </w:rPr>
  </w:style>
  <w:style w:type="character" w:styleId="FootnoteReference">
    <w:name w:val="footnote reference"/>
    <w:aliases w:val="Footnotes refss,Style 10"/>
    <w:uiPriority w:val="99"/>
    <w:semiHidden/>
    <w:rsid w:val="000D1238"/>
    <w:rPr>
      <w:vertAlign w:val="superscript"/>
    </w:rPr>
  </w:style>
  <w:style w:type="paragraph" w:styleId="FootnoteText">
    <w:name w:val="footnote text"/>
    <w:basedOn w:val="Normal"/>
    <w:link w:val="FootnoteTextChar"/>
    <w:uiPriority w:val="99"/>
    <w:rsid w:val="000D1238"/>
    <w:pPr>
      <w:spacing w:after="0" w:line="240" w:lineRule="auto"/>
    </w:pPr>
    <w:rPr>
      <w:rFonts w:eastAsia="Times New Roman" w:cs="Times New Roman"/>
      <w:szCs w:val="20"/>
      <w:lang w:val="en-US"/>
    </w:rPr>
  </w:style>
  <w:style w:type="character" w:customStyle="1" w:styleId="FootnoteTextChar">
    <w:name w:val="Footnote Text Char"/>
    <w:basedOn w:val="DefaultParagraphFont"/>
    <w:link w:val="FootnoteText"/>
    <w:uiPriority w:val="99"/>
    <w:rsid w:val="000D1238"/>
    <w:rPr>
      <w:rFonts w:eastAsia="Times New Roman" w:cs="Times New Roman"/>
      <w:szCs w:val="20"/>
      <w:lang w:val="en-US"/>
    </w:rPr>
  </w:style>
  <w:style w:type="paragraph" w:styleId="BalloonText">
    <w:name w:val="Balloon Text"/>
    <w:basedOn w:val="Normal"/>
    <w:link w:val="BalloonTextChar"/>
    <w:uiPriority w:val="99"/>
    <w:semiHidden/>
    <w:unhideWhenUsed/>
    <w:rsid w:val="00085A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AC5"/>
    <w:rPr>
      <w:rFonts w:ascii="Tahoma" w:hAnsi="Tahoma" w:cs="Tahoma"/>
      <w:sz w:val="16"/>
      <w:szCs w:val="16"/>
    </w:rPr>
  </w:style>
  <w:style w:type="paragraph" w:styleId="Header">
    <w:name w:val="header"/>
    <w:basedOn w:val="Normal"/>
    <w:link w:val="HeaderChar"/>
    <w:uiPriority w:val="99"/>
    <w:unhideWhenUsed/>
    <w:rsid w:val="004E5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C1B"/>
  </w:style>
  <w:style w:type="paragraph" w:styleId="Footer">
    <w:name w:val="footer"/>
    <w:basedOn w:val="Normal"/>
    <w:link w:val="FooterChar"/>
    <w:uiPriority w:val="99"/>
    <w:unhideWhenUsed/>
    <w:rsid w:val="004E5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79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ailii.org/nie/cases/NIHC/QB/2013/11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1034</Words>
  <Characters>5596</Characters>
  <Application>Microsoft Office Word</Application>
  <DocSecurity>0</DocSecurity>
  <Lines>75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Darian</dc:creator>
  <cp:lastModifiedBy>Dirk Voorhoof</cp:lastModifiedBy>
  <cp:revision>3</cp:revision>
  <dcterms:created xsi:type="dcterms:W3CDTF">2013-12-11T12:10:00Z</dcterms:created>
  <dcterms:modified xsi:type="dcterms:W3CDTF">2013-12-11T14:13:00Z</dcterms:modified>
</cp:coreProperties>
</file>