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6DE86" w14:textId="77777777" w:rsidR="00C81D79" w:rsidRDefault="000F4793" w:rsidP="000F4793">
      <w:pPr>
        <w:pBdr>
          <w:bottom w:val="single" w:sz="4" w:space="1" w:color="auto"/>
        </w:pBdr>
        <w:jc w:val="center"/>
        <w:rPr>
          <w:rFonts w:asciiTheme="majorHAnsi" w:hAnsiTheme="majorHAnsi"/>
          <w:b/>
        </w:rPr>
      </w:pPr>
      <w:r w:rsidRPr="000F4793">
        <w:rPr>
          <w:rFonts w:asciiTheme="majorHAnsi" w:hAnsiTheme="majorHAnsi"/>
          <w:b/>
        </w:rPr>
        <w:t>Proposed Timeline for GAC-GNSO Consultation Group on Early Engagement</w:t>
      </w:r>
    </w:p>
    <w:p w14:paraId="3A186533" w14:textId="3BF65FC6" w:rsidR="00626F3C" w:rsidRDefault="00626F3C" w:rsidP="000F4793">
      <w:pPr>
        <w:pBdr>
          <w:bottom w:val="single" w:sz="4" w:space="1" w:color="auto"/>
        </w:pBd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March – June 2015</w:t>
      </w:r>
    </w:p>
    <w:p w14:paraId="1693634B" w14:textId="77777777" w:rsidR="000F4793" w:rsidRDefault="000F4793" w:rsidP="000F4793">
      <w:pPr>
        <w:jc w:val="center"/>
        <w:rPr>
          <w:rFonts w:asciiTheme="majorHAnsi" w:hAnsiTheme="majorHAnsi"/>
          <w:b/>
        </w:rPr>
      </w:pPr>
    </w:p>
    <w:p w14:paraId="0B691FDD" w14:textId="7890D0E7" w:rsidR="00626F3C" w:rsidRPr="00626F3C" w:rsidRDefault="00626F3C" w:rsidP="00626F3C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color w:val="000000"/>
          <w:sz w:val="22"/>
          <w:szCs w:val="22"/>
        </w:rPr>
      </w:pPr>
      <w:r w:rsidRPr="00626F3C">
        <w:rPr>
          <w:rFonts w:asciiTheme="majorHAnsi" w:hAnsiTheme="majorHAnsi" w:cs="Tahoma"/>
          <w:b/>
          <w:color w:val="000000"/>
          <w:sz w:val="22"/>
          <w:szCs w:val="22"/>
        </w:rPr>
        <w:t>Goals &amp; Objectives (</w:t>
      </w:r>
      <w:r w:rsidR="005A58A9">
        <w:rPr>
          <w:rFonts w:asciiTheme="majorHAnsi" w:hAnsiTheme="majorHAnsi" w:cs="Tahoma"/>
          <w:b/>
          <w:color w:val="000000"/>
          <w:sz w:val="22"/>
          <w:szCs w:val="22"/>
        </w:rPr>
        <w:t xml:space="preserve">in cursive </w:t>
      </w:r>
      <w:r w:rsidRPr="00626F3C">
        <w:rPr>
          <w:rFonts w:asciiTheme="majorHAnsi" w:hAnsiTheme="majorHAnsi" w:cs="Tahoma"/>
          <w:b/>
          <w:color w:val="000000"/>
          <w:sz w:val="22"/>
          <w:szCs w:val="22"/>
        </w:rPr>
        <w:t>from the Consultation Group (CG) Charter)</w:t>
      </w:r>
    </w:p>
    <w:p w14:paraId="5AF82B17" w14:textId="77777777" w:rsidR="00626F3C" w:rsidRPr="00626F3C" w:rsidRDefault="00626F3C" w:rsidP="00626F3C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i/>
          <w:color w:val="000000"/>
          <w:sz w:val="22"/>
          <w:szCs w:val="22"/>
        </w:rPr>
      </w:pPr>
    </w:p>
    <w:p w14:paraId="7D99E7F8" w14:textId="77777777" w:rsidR="00626F3C" w:rsidRPr="00626F3C" w:rsidRDefault="00626F3C" w:rsidP="00626F3C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i/>
          <w:color w:val="000000"/>
          <w:sz w:val="22"/>
          <w:szCs w:val="22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  <w:u w:val="single"/>
        </w:rPr>
        <w:t>Goal</w:t>
      </w: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</w:rPr>
        <w:t>:</w:t>
      </w:r>
    </w:p>
    <w:p w14:paraId="14651466" w14:textId="77777777" w:rsidR="00626F3C" w:rsidRPr="00626F3C" w:rsidRDefault="00626F3C" w:rsidP="00626F3C">
      <w:pPr>
        <w:widowControl w:val="0"/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</w:rPr>
      </w:pPr>
    </w:p>
    <w:p w14:paraId="04CC57E9" w14:textId="77777777" w:rsidR="00626F3C" w:rsidRPr="00626F3C" w:rsidRDefault="00626F3C" w:rsidP="00626F3C">
      <w:pPr>
        <w:widowControl w:val="0"/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</w:rPr>
        <w:t>GAC early engagement in GNSO PDP projects and closer functional coordination between the GAC and the GNSO organizations</w:t>
      </w:r>
    </w:p>
    <w:p w14:paraId="2E554ABB" w14:textId="77777777" w:rsidR="00626F3C" w:rsidRPr="00626F3C" w:rsidRDefault="00626F3C" w:rsidP="00626F3C">
      <w:pPr>
        <w:widowControl w:val="0"/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</w:rPr>
        <w:t xml:space="preserve"> </w:t>
      </w:r>
    </w:p>
    <w:p w14:paraId="1920AD8B" w14:textId="77777777" w:rsidR="00626F3C" w:rsidRPr="00626F3C" w:rsidRDefault="00626F3C" w:rsidP="00626F3C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i/>
          <w:color w:val="000000"/>
          <w:sz w:val="22"/>
          <w:szCs w:val="22"/>
          <w:u w:val="single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  <w:u w:val="single"/>
        </w:rPr>
        <w:t xml:space="preserve">Objectives: </w:t>
      </w:r>
    </w:p>
    <w:p w14:paraId="15AE7D86" w14:textId="77777777" w:rsidR="00626F3C" w:rsidRPr="00626F3C" w:rsidRDefault="00626F3C" w:rsidP="00626F3C">
      <w:pPr>
        <w:widowControl w:val="0"/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  <w:u w:val="single"/>
        </w:rPr>
      </w:pPr>
    </w:p>
    <w:p w14:paraId="621230DB" w14:textId="77777777" w:rsidR="00626F3C" w:rsidRDefault="00626F3C" w:rsidP="00626F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</w:rPr>
        <w:t>An agreed process for ongoing smooth and timely information exchange between the GAC and the GNSO</w:t>
      </w:r>
    </w:p>
    <w:p w14:paraId="3408923B" w14:textId="77777777" w:rsidR="005A58A9" w:rsidRPr="00626F3C" w:rsidRDefault="005A58A9" w:rsidP="005A58A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</w:rPr>
        <w:t xml:space="preserve">An agreed process for ongoing smooth early engagement of GAC in GNSO PDP projects </w:t>
      </w:r>
    </w:p>
    <w:p w14:paraId="47DEA565" w14:textId="77777777" w:rsidR="005A58A9" w:rsidRPr="00626F3C" w:rsidRDefault="005A58A9" w:rsidP="005A58A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</w:rPr>
        <w:t xml:space="preserve">An agreed procedure for how to proceed in cases where GAC early input is in conflict with a GNSO proposal and a mutual agreement could not be reached </w:t>
      </w:r>
    </w:p>
    <w:p w14:paraId="437BE3DD" w14:textId="77777777" w:rsidR="005A58A9" w:rsidRDefault="005A58A9" w:rsidP="005A58A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</w:rPr>
        <w:t>Proposals for accommodating the different working methods between the GAC (which tends toward an intense, “episodic” norm) and the GNSO (which is geared toward constant ongoing level of effort).</w:t>
      </w:r>
    </w:p>
    <w:p w14:paraId="5BE17D5A" w14:textId="77777777" w:rsidR="005A58A9" w:rsidRDefault="005A58A9" w:rsidP="005A58A9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i/>
          <w:color w:val="000000"/>
          <w:sz w:val="22"/>
          <w:szCs w:val="22"/>
        </w:rPr>
      </w:pPr>
    </w:p>
    <w:p w14:paraId="3D4EF67E" w14:textId="77777777" w:rsidR="005A58A9" w:rsidRPr="00626F3C" w:rsidRDefault="005A58A9" w:rsidP="005A58A9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i/>
          <w:color w:val="000000"/>
          <w:sz w:val="22"/>
          <w:szCs w:val="22"/>
          <w:u w:val="single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  <w:u w:val="single"/>
        </w:rPr>
        <w:t>Deliverables:</w:t>
      </w:r>
    </w:p>
    <w:p w14:paraId="19531B6A" w14:textId="77777777" w:rsidR="005A58A9" w:rsidRPr="00626F3C" w:rsidRDefault="005A58A9" w:rsidP="005A58A9">
      <w:pPr>
        <w:widowControl w:val="0"/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  <w:u w:val="single"/>
        </w:rPr>
      </w:pPr>
    </w:p>
    <w:p w14:paraId="244F6A9B" w14:textId="77777777" w:rsidR="005A58A9" w:rsidRPr="00626F3C" w:rsidRDefault="005A58A9" w:rsidP="005A58A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</w:rPr>
        <w:t>A documented process (table, flow chart, …etc.) for ongoing smooth and timely information exchange between the GAC and the GNSO organizations (GNSO Liaison to the GAC , permanent liaison/consultative group, … etc.)</w:t>
      </w:r>
    </w:p>
    <w:p w14:paraId="15B97F86" w14:textId="77777777" w:rsidR="005A58A9" w:rsidRDefault="005A58A9" w:rsidP="005A58A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600"/>
        <w:rPr>
          <w:rFonts w:asciiTheme="majorHAnsi" w:hAnsiTheme="majorHAnsi" w:cs="Tahoma"/>
          <w:bCs/>
          <w:i/>
          <w:color w:val="000000"/>
          <w:sz w:val="22"/>
          <w:szCs w:val="22"/>
        </w:rPr>
      </w:pPr>
      <w:r w:rsidRPr="00626F3C">
        <w:rPr>
          <w:rFonts w:asciiTheme="majorHAnsi" w:hAnsiTheme="majorHAnsi" w:cs="Tahoma"/>
          <w:bCs/>
          <w:i/>
          <w:color w:val="000000"/>
          <w:sz w:val="22"/>
          <w:szCs w:val="22"/>
        </w:rPr>
        <w:t>An agreed documented process (table, flow chart, … etc.) for ongoing smooth early engagement of GAC in GNSO PDP projects; along with an agreed documented procedure to be followed where GAC early input is in conflict with a GNSO proposal and a mutual agreement could not be reached</w:t>
      </w:r>
    </w:p>
    <w:p w14:paraId="66AB316A" w14:textId="77777777" w:rsidR="005A58A9" w:rsidRDefault="005A58A9" w:rsidP="00626F3C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</w:p>
    <w:p w14:paraId="1E777D2E" w14:textId="44AAA8C2" w:rsidR="00626F3C" w:rsidRDefault="00626F3C" w:rsidP="00626F3C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 w:rsidRPr="005A58A9">
        <w:rPr>
          <w:rFonts w:asciiTheme="majorHAnsi" w:hAnsiTheme="majorHAnsi" w:cs="Tahoma"/>
          <w:b/>
          <w:bCs/>
          <w:color w:val="000000"/>
          <w:sz w:val="22"/>
          <w:szCs w:val="22"/>
        </w:rPr>
        <w:t>Achievements to date</w:t>
      </w:r>
      <w:r>
        <w:rPr>
          <w:rFonts w:asciiTheme="majorHAnsi" w:hAnsiTheme="majorHAnsi" w:cs="Tahoma"/>
          <w:bCs/>
          <w:color w:val="000000"/>
          <w:sz w:val="22"/>
          <w:szCs w:val="22"/>
        </w:rPr>
        <w:t>:</w:t>
      </w:r>
    </w:p>
    <w:p w14:paraId="5093A751" w14:textId="0EB74561" w:rsidR="005A58A9" w:rsidRDefault="005A58A9" w:rsidP="005A58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t>Appointment of GNSO Liaison to the GAC on a pilot basis</w:t>
      </w:r>
    </w:p>
    <w:p w14:paraId="625269F2" w14:textId="569FED95" w:rsidR="005A58A9" w:rsidRDefault="005A58A9" w:rsidP="005A58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t>Survey of GAC members to assess use and effectiveness of existing information &amp; communication tools</w:t>
      </w:r>
    </w:p>
    <w:p w14:paraId="27ED5343" w14:textId="5010A280" w:rsidR="005A58A9" w:rsidRDefault="005A58A9" w:rsidP="005A58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t>Monthly updates provided to the GAC by the GNSO Liaison to the GAC</w:t>
      </w:r>
    </w:p>
    <w:p w14:paraId="5833A368" w14:textId="47E85B10" w:rsidR="005A58A9" w:rsidRDefault="005A58A9" w:rsidP="005A58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t xml:space="preserve">One-stop-shop GNSO Policy Efforts Information Page (see </w:t>
      </w:r>
      <w:hyperlink r:id="rId8" w:history="1">
        <w:r w:rsidRPr="000666C3">
          <w:rPr>
            <w:rStyle w:val="Hyperlink"/>
            <w:rFonts w:asciiTheme="majorHAnsi" w:hAnsiTheme="majorHAnsi" w:cs="Tahoma"/>
            <w:bCs/>
            <w:sz w:val="22"/>
            <w:szCs w:val="22"/>
          </w:rPr>
          <w:t>http://gnso.icann.org/sites/gnso.icann.org/files/gnso/presentations/policy-efforts.htm</w:t>
        </w:r>
      </w:hyperlink>
      <w:r>
        <w:rPr>
          <w:rFonts w:asciiTheme="majorHAnsi" w:hAnsiTheme="majorHAnsi" w:cs="Tahoma"/>
          <w:bCs/>
          <w:color w:val="000000"/>
          <w:sz w:val="22"/>
          <w:szCs w:val="22"/>
        </w:rPr>
        <w:t xml:space="preserve">). </w:t>
      </w:r>
    </w:p>
    <w:p w14:paraId="37FA5C24" w14:textId="4B09B11D" w:rsidR="005A58A9" w:rsidRDefault="005A58A9" w:rsidP="005A58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lastRenderedPageBreak/>
        <w:t xml:space="preserve">Dedicated GNSO ICANN meetings information page (see </w:t>
      </w:r>
      <w:hyperlink r:id="rId9" w:history="1">
        <w:r w:rsidRPr="000666C3">
          <w:rPr>
            <w:rStyle w:val="Hyperlink"/>
            <w:rFonts w:asciiTheme="majorHAnsi" w:hAnsiTheme="majorHAnsi" w:cs="Tahoma"/>
            <w:bCs/>
            <w:sz w:val="22"/>
            <w:szCs w:val="22"/>
          </w:rPr>
          <w:t>http://gnso.icann.org/en/icannmeeting</w:t>
        </w:r>
      </w:hyperlink>
      <w:r>
        <w:rPr>
          <w:rFonts w:asciiTheme="majorHAnsi" w:hAnsiTheme="majorHAnsi" w:cs="Tahoma"/>
          <w:bCs/>
          <w:color w:val="000000"/>
          <w:sz w:val="22"/>
          <w:szCs w:val="22"/>
        </w:rPr>
        <w:t xml:space="preserve">) </w:t>
      </w:r>
    </w:p>
    <w:p w14:paraId="15AE93BB" w14:textId="577475B8" w:rsidR="005A58A9" w:rsidRDefault="005A58A9" w:rsidP="005A58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t>Preliminary recommendations on GAC early engagement in issue scoping phase of GNSO PDP implemented on a trial basis</w:t>
      </w:r>
    </w:p>
    <w:p w14:paraId="4DDC733C" w14:textId="77777777" w:rsidR="005A58A9" w:rsidRDefault="005A58A9" w:rsidP="005A58A9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</w:p>
    <w:p w14:paraId="5869D2BD" w14:textId="6EC68B8D" w:rsidR="005A58A9" w:rsidRDefault="005A58A9" w:rsidP="005A58A9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000000"/>
          <w:sz w:val="22"/>
          <w:szCs w:val="22"/>
        </w:rPr>
      </w:pPr>
      <w:r w:rsidRPr="005A58A9">
        <w:rPr>
          <w:rFonts w:asciiTheme="majorHAnsi" w:hAnsiTheme="majorHAnsi" w:cs="Tahoma"/>
          <w:b/>
          <w:bCs/>
          <w:color w:val="000000"/>
          <w:sz w:val="22"/>
          <w:szCs w:val="22"/>
        </w:rPr>
        <w:t xml:space="preserve">Outstanding: </w:t>
      </w:r>
    </w:p>
    <w:p w14:paraId="1128F6E3" w14:textId="77777777" w:rsidR="00993EFF" w:rsidRDefault="00993EFF" w:rsidP="005A58A9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000000"/>
          <w:sz w:val="22"/>
          <w:szCs w:val="22"/>
        </w:rPr>
      </w:pPr>
    </w:p>
    <w:p w14:paraId="6B941F28" w14:textId="05948A3B" w:rsidR="00993EFF" w:rsidRPr="00993EFF" w:rsidRDefault="00993EFF" w:rsidP="005A58A9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 w:rsidRPr="00E24BED">
        <w:rPr>
          <w:rFonts w:asciiTheme="majorHAnsi" w:hAnsiTheme="majorHAnsi" w:cs="Tahoma"/>
          <w:bCs/>
          <w:color w:val="000000"/>
          <w:sz w:val="22"/>
          <w:szCs w:val="22"/>
          <w:u w:val="single"/>
        </w:rPr>
        <w:t>Day</w:t>
      </w:r>
      <w:r w:rsidR="00D57C77" w:rsidRPr="00E24BED">
        <w:rPr>
          <w:rFonts w:asciiTheme="majorHAnsi" w:hAnsiTheme="majorHAnsi" w:cs="Tahoma"/>
          <w:bCs/>
          <w:color w:val="000000"/>
          <w:sz w:val="22"/>
          <w:szCs w:val="22"/>
          <w:u w:val="single"/>
        </w:rPr>
        <w:t>-</w:t>
      </w:r>
      <w:r w:rsidRPr="00E24BED">
        <w:rPr>
          <w:rFonts w:asciiTheme="majorHAnsi" w:hAnsiTheme="majorHAnsi" w:cs="Tahoma"/>
          <w:bCs/>
          <w:color w:val="000000"/>
          <w:sz w:val="22"/>
          <w:szCs w:val="22"/>
          <w:u w:val="single"/>
        </w:rPr>
        <w:t>to</w:t>
      </w:r>
      <w:r w:rsidR="00D57C77" w:rsidRPr="00E24BED">
        <w:rPr>
          <w:rFonts w:asciiTheme="majorHAnsi" w:hAnsiTheme="majorHAnsi" w:cs="Tahoma"/>
          <w:bCs/>
          <w:color w:val="000000"/>
          <w:sz w:val="22"/>
          <w:szCs w:val="22"/>
          <w:u w:val="single"/>
        </w:rPr>
        <w:t>-</w:t>
      </w:r>
      <w:r w:rsidRPr="00E24BED">
        <w:rPr>
          <w:rFonts w:asciiTheme="majorHAnsi" w:hAnsiTheme="majorHAnsi" w:cs="Tahoma"/>
          <w:bCs/>
          <w:color w:val="000000"/>
          <w:sz w:val="22"/>
          <w:szCs w:val="22"/>
          <w:u w:val="single"/>
        </w:rPr>
        <w:t xml:space="preserve">day </w:t>
      </w:r>
      <w:r w:rsidR="00D57C77" w:rsidRPr="00E24BED">
        <w:rPr>
          <w:rFonts w:asciiTheme="majorHAnsi" w:hAnsiTheme="majorHAnsi" w:cs="Tahoma"/>
          <w:bCs/>
          <w:color w:val="000000"/>
          <w:sz w:val="22"/>
          <w:szCs w:val="22"/>
          <w:u w:val="single"/>
        </w:rPr>
        <w:t xml:space="preserve">ongoing </w:t>
      </w:r>
      <w:r w:rsidRPr="00E24BED">
        <w:rPr>
          <w:rFonts w:asciiTheme="majorHAnsi" w:hAnsiTheme="majorHAnsi" w:cs="Tahoma"/>
          <w:bCs/>
          <w:color w:val="000000"/>
          <w:sz w:val="22"/>
          <w:szCs w:val="22"/>
          <w:u w:val="single"/>
        </w:rPr>
        <w:t>co-ordination</w:t>
      </w:r>
    </w:p>
    <w:p w14:paraId="2E87BBF9" w14:textId="5938E0C7" w:rsidR="00E24BED" w:rsidRPr="00E24BED" w:rsidRDefault="00E24BED" w:rsidP="00E24BE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 w:rsidRPr="00E24BED">
        <w:rPr>
          <w:rFonts w:asciiTheme="majorHAnsi" w:hAnsiTheme="majorHAnsi" w:cs="Tahoma"/>
          <w:bCs/>
          <w:color w:val="000000"/>
          <w:sz w:val="22"/>
          <w:szCs w:val="22"/>
        </w:rPr>
        <w:t xml:space="preserve">Review whether in addition to existing information and communication methods any additional day-to-day ongoing co-ordination mechanisms should be considered (identified earlier: Utilizing, streamlining and prioritizing early awareness &amp; notification </w:t>
      </w:r>
      <w:r>
        <w:rPr>
          <w:rFonts w:asciiTheme="majorHAnsi" w:hAnsiTheme="majorHAnsi" w:cs="Tahoma"/>
          <w:bCs/>
          <w:color w:val="000000"/>
          <w:sz w:val="22"/>
          <w:szCs w:val="22"/>
        </w:rPr>
        <w:t>notices; rethinking current joint meetings, and; GAC Chairs/GNSO Chairs regular interaction)</w:t>
      </w:r>
    </w:p>
    <w:p w14:paraId="51E499D5" w14:textId="085DE889" w:rsidR="005A58A9" w:rsidRDefault="005A58A9" w:rsidP="005A58A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t>Document process flow for ongoing smooth and timely information exchange between the GAC and the GNSO</w:t>
      </w:r>
    </w:p>
    <w:p w14:paraId="543C22A0" w14:textId="55C4E7EF" w:rsidR="005A58A9" w:rsidRDefault="005A58A9" w:rsidP="005A58A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t>Evaluate GNSO Liaison to the GAC pilot project and determine whether this should become a permanent feature</w:t>
      </w:r>
    </w:p>
    <w:p w14:paraId="30F094B9" w14:textId="77777777" w:rsidR="00993EFF" w:rsidRDefault="00993EFF" w:rsidP="00993EFF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</w:p>
    <w:p w14:paraId="64BCE60F" w14:textId="58792819" w:rsidR="00993EFF" w:rsidRPr="00E24BED" w:rsidRDefault="00D57C77" w:rsidP="00993EFF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  <w:u w:val="single"/>
        </w:rPr>
      </w:pPr>
      <w:r w:rsidRPr="00E24BED">
        <w:rPr>
          <w:rFonts w:asciiTheme="majorHAnsi" w:hAnsiTheme="majorHAnsi" w:cs="Tahoma"/>
          <w:bCs/>
          <w:color w:val="000000"/>
          <w:sz w:val="22"/>
          <w:szCs w:val="22"/>
          <w:u w:val="single"/>
        </w:rPr>
        <w:t>GAC Early engagement in GNSO PDP</w:t>
      </w:r>
    </w:p>
    <w:p w14:paraId="29D4F241" w14:textId="43A7A31A" w:rsidR="005A58A9" w:rsidRDefault="005A58A9" w:rsidP="005A58A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t>Consider other phases of GNSO PDP (</w:t>
      </w:r>
      <w:r w:rsidR="00993EFF">
        <w:rPr>
          <w:rFonts w:asciiTheme="majorHAnsi" w:hAnsiTheme="majorHAnsi" w:cs="Tahoma"/>
          <w:bCs/>
          <w:color w:val="000000"/>
          <w:sz w:val="22"/>
          <w:szCs w:val="22"/>
        </w:rPr>
        <w:t>initiation, working group, council deliberations and board vote) to determine whether additional recommendations should be considered for these phases to facilitate GAC early engagement in the GNSO PDP</w:t>
      </w:r>
    </w:p>
    <w:p w14:paraId="629C5907" w14:textId="426B0C98" w:rsidR="00D57C77" w:rsidRPr="00D57C77" w:rsidRDefault="00D57C77" w:rsidP="005A58A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 w:rsidRPr="00D57C77">
        <w:rPr>
          <w:rFonts w:asciiTheme="majorHAnsi" w:hAnsiTheme="majorHAnsi" w:cs="Tahoma"/>
          <w:bCs/>
          <w:color w:val="000000"/>
          <w:sz w:val="22"/>
          <w:szCs w:val="22"/>
        </w:rPr>
        <w:t>Consider possible procedure for how to proceed in cases where GAC early input is in conflict with a GNSO proposal and a mutual agreement could not be reached</w:t>
      </w:r>
    </w:p>
    <w:p w14:paraId="47B5EFCA" w14:textId="77777777" w:rsidR="00E37B34" w:rsidRDefault="00D57C77" w:rsidP="00E37B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t>Evaluate effectiveness of preliminary recommendations on GAC early engagement in issue scoping phase of GNSO PDP</w:t>
      </w:r>
    </w:p>
    <w:p w14:paraId="5F646E25" w14:textId="77777777" w:rsidR="00E37B34" w:rsidRDefault="00E37B34" w:rsidP="00E37B34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</w:p>
    <w:p w14:paraId="53CA9C51" w14:textId="77777777" w:rsidR="00E37B34" w:rsidRPr="00E24BED" w:rsidRDefault="00D57C77" w:rsidP="00E37B34">
      <w:pPr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  <w:u w:val="single"/>
        </w:rPr>
      </w:pPr>
      <w:r w:rsidRPr="00E24BED">
        <w:rPr>
          <w:rFonts w:asciiTheme="majorHAnsi" w:hAnsiTheme="majorHAnsi" w:cs="Tahoma"/>
          <w:bCs/>
          <w:color w:val="000000"/>
          <w:sz w:val="22"/>
          <w:szCs w:val="22"/>
          <w:u w:val="single"/>
        </w:rPr>
        <w:t>General</w:t>
      </w:r>
    </w:p>
    <w:p w14:paraId="050DAC2D" w14:textId="1EDBA31F" w:rsidR="00D57C77" w:rsidRPr="00E37B34" w:rsidRDefault="00D57C77" w:rsidP="00E37B3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 w:rsidRPr="00E37B34">
        <w:rPr>
          <w:rFonts w:asciiTheme="majorHAnsi" w:hAnsiTheme="majorHAnsi" w:cs="Tahoma"/>
          <w:bCs/>
          <w:color w:val="000000"/>
          <w:sz w:val="22"/>
          <w:szCs w:val="22"/>
        </w:rPr>
        <w:t xml:space="preserve">Agree on a follow-up mechanism and success measures </w:t>
      </w:r>
    </w:p>
    <w:p w14:paraId="7892F05E" w14:textId="33BCF4F8" w:rsidR="00E24BED" w:rsidRDefault="00D57C77" w:rsidP="00E37B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  <w:r w:rsidRPr="00E37B34">
        <w:rPr>
          <w:rFonts w:asciiTheme="majorHAnsi" w:hAnsiTheme="majorHAnsi" w:cs="Tahoma"/>
          <w:bCs/>
          <w:color w:val="000000"/>
          <w:sz w:val="22"/>
          <w:szCs w:val="22"/>
        </w:rPr>
        <w:t>Maintain a channel to provide feedback to further enhance the process and document those changes whenever applicable</w:t>
      </w:r>
    </w:p>
    <w:p w14:paraId="43AF3625" w14:textId="398D42E3" w:rsidR="00D57C77" w:rsidRPr="00A71A9A" w:rsidRDefault="00E24BED" w:rsidP="00A71A9A">
      <w:pPr>
        <w:rPr>
          <w:rFonts w:asciiTheme="majorHAnsi" w:hAnsiTheme="majorHAnsi" w:cs="Tahoma"/>
          <w:bCs/>
          <w:color w:val="000000"/>
          <w:sz w:val="22"/>
          <w:szCs w:val="22"/>
        </w:rPr>
      </w:pPr>
      <w:r>
        <w:rPr>
          <w:rFonts w:asciiTheme="majorHAnsi" w:hAnsiTheme="majorHAnsi" w:cs="Tahoma"/>
          <w:bCs/>
          <w:color w:val="000000"/>
          <w:sz w:val="22"/>
          <w:szCs w:val="22"/>
        </w:rPr>
        <w:br w:type="page"/>
      </w:r>
      <w:bookmarkStart w:id="0" w:name="_GoBack"/>
      <w:bookmarkEnd w:id="0"/>
    </w:p>
    <w:p w14:paraId="61750AC0" w14:textId="77777777" w:rsidR="00626F3C" w:rsidRPr="00E37B34" w:rsidRDefault="00626F3C" w:rsidP="00E37B34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ahoma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2170"/>
        <w:gridCol w:w="3134"/>
        <w:gridCol w:w="3150"/>
        <w:gridCol w:w="3504"/>
      </w:tblGrid>
      <w:tr w:rsidR="000F4793" w14:paraId="2FBC0D46" w14:textId="77777777" w:rsidTr="00E24BED">
        <w:trPr>
          <w:cantSplit/>
          <w:tblHeader/>
        </w:trPr>
        <w:tc>
          <w:tcPr>
            <w:tcW w:w="2184" w:type="dxa"/>
            <w:shd w:val="clear" w:color="auto" w:fill="D9D9D9"/>
          </w:tcPr>
          <w:p w14:paraId="69DF9822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When</w:t>
            </w:r>
          </w:p>
        </w:tc>
        <w:tc>
          <w:tcPr>
            <w:tcW w:w="2170" w:type="dxa"/>
            <w:shd w:val="clear" w:color="auto" w:fill="D9D9D9"/>
          </w:tcPr>
          <w:p w14:paraId="41DC34FB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What</w:t>
            </w:r>
          </w:p>
        </w:tc>
        <w:tc>
          <w:tcPr>
            <w:tcW w:w="3134" w:type="dxa"/>
            <w:shd w:val="clear" w:color="auto" w:fill="D9D9D9"/>
          </w:tcPr>
          <w:p w14:paraId="0E026A9B" w14:textId="72CB5713" w:rsidR="000F4793" w:rsidRDefault="000F4793" w:rsidP="00E24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Proposed Topics to be covered </w:t>
            </w:r>
            <w:r w:rsidR="00E24BED">
              <w:rPr>
                <w:rFonts w:asciiTheme="majorHAnsi" w:hAnsiTheme="majorHAnsi"/>
                <w:b/>
                <w:sz w:val="22"/>
                <w:szCs w:val="22"/>
              </w:rPr>
              <w:t xml:space="preserve"> - General</w:t>
            </w:r>
          </w:p>
        </w:tc>
        <w:tc>
          <w:tcPr>
            <w:tcW w:w="3150" w:type="dxa"/>
            <w:shd w:val="clear" w:color="auto" w:fill="D9D9D9"/>
          </w:tcPr>
          <w:p w14:paraId="0DC073C2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Proposed Topics to be covered </w:t>
            </w:r>
          </w:p>
          <w:p w14:paraId="2B259CD7" w14:textId="1FF2F584" w:rsidR="000F4793" w:rsidRDefault="00E24BED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Day-to-day co-ordination</w:t>
            </w:r>
          </w:p>
        </w:tc>
        <w:tc>
          <w:tcPr>
            <w:tcW w:w="3504" w:type="dxa"/>
            <w:shd w:val="clear" w:color="auto" w:fill="D9D9D9"/>
          </w:tcPr>
          <w:p w14:paraId="301E42AE" w14:textId="77777777" w:rsidR="00E24BED" w:rsidRDefault="00E24BED" w:rsidP="00E24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Proposed Topics to be covered </w:t>
            </w:r>
          </w:p>
          <w:p w14:paraId="5CFEA2E5" w14:textId="13F0DD2A" w:rsidR="000F4793" w:rsidRDefault="00E24BED" w:rsidP="00E24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PDP Work Stream</w:t>
            </w:r>
          </w:p>
        </w:tc>
      </w:tr>
      <w:tr w:rsidR="000F4793" w14:paraId="79C360D6" w14:textId="77777777" w:rsidTr="00E24BED">
        <w:trPr>
          <w:cantSplit/>
        </w:trPr>
        <w:tc>
          <w:tcPr>
            <w:tcW w:w="2184" w:type="dxa"/>
          </w:tcPr>
          <w:p w14:paraId="5C56075A" w14:textId="7BDFD1F9" w:rsidR="000F4793" w:rsidRPr="000F4793" w:rsidRDefault="00E24BED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March 2015</w:t>
            </w:r>
          </w:p>
        </w:tc>
        <w:tc>
          <w:tcPr>
            <w:tcW w:w="2170" w:type="dxa"/>
          </w:tcPr>
          <w:p w14:paraId="6B64E820" w14:textId="77777777" w:rsidR="000F4793" w:rsidRP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134" w:type="dxa"/>
          </w:tcPr>
          <w:p w14:paraId="5FBC8FF7" w14:textId="77777777" w:rsidR="007859B9" w:rsidRDefault="00E24BED" w:rsidP="00E24BED">
            <w:pPr>
              <w:pStyle w:val="ListParagraph"/>
              <w:numPr>
                <w:ilvl w:val="0"/>
                <w:numId w:val="5"/>
              </w:numPr>
              <w:ind w:left="236" w:hanging="23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membership</w:t>
            </w:r>
          </w:p>
          <w:p w14:paraId="55E56AF2" w14:textId="77AFA00C" w:rsidR="00E24BED" w:rsidRPr="00E24BED" w:rsidRDefault="00E24BED" w:rsidP="00E24BED">
            <w:pPr>
              <w:pStyle w:val="ListParagraph"/>
              <w:numPr>
                <w:ilvl w:val="0"/>
                <w:numId w:val="5"/>
              </w:numPr>
              <w:ind w:left="236" w:hanging="23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proposed work plan</w:t>
            </w:r>
          </w:p>
        </w:tc>
        <w:tc>
          <w:tcPr>
            <w:tcW w:w="3150" w:type="dxa"/>
          </w:tcPr>
          <w:p w14:paraId="3109EEBD" w14:textId="24F454DF" w:rsidR="00662F46" w:rsidRPr="0089571D" w:rsidRDefault="00E24BED" w:rsidP="003C0B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Confirm outstanding topics</w:t>
            </w:r>
          </w:p>
        </w:tc>
        <w:tc>
          <w:tcPr>
            <w:tcW w:w="3504" w:type="dxa"/>
          </w:tcPr>
          <w:p w14:paraId="65188C18" w14:textId="6667B8FC" w:rsidR="000F4793" w:rsidRPr="000F4793" w:rsidRDefault="00E24BED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Confirm outstanding topics</w:t>
            </w:r>
          </w:p>
        </w:tc>
      </w:tr>
      <w:tr w:rsidR="000F4793" w14:paraId="610DB8A2" w14:textId="77777777" w:rsidTr="00E24BED">
        <w:trPr>
          <w:cantSplit/>
        </w:trPr>
        <w:tc>
          <w:tcPr>
            <w:tcW w:w="2184" w:type="dxa"/>
          </w:tcPr>
          <w:p w14:paraId="5766F611" w14:textId="29662E42" w:rsidR="000F4793" w:rsidRDefault="00FA6CF0" w:rsidP="00FA6CF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 March 2015</w:t>
            </w:r>
          </w:p>
        </w:tc>
        <w:tc>
          <w:tcPr>
            <w:tcW w:w="2170" w:type="dxa"/>
          </w:tcPr>
          <w:p w14:paraId="23FABBA0" w14:textId="105084C3" w:rsidR="000F4793" w:rsidRDefault="00FA6CF0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134" w:type="dxa"/>
          </w:tcPr>
          <w:p w14:paraId="64FCAD9C" w14:textId="6A166DDF" w:rsidR="000F4793" w:rsidRPr="00662F46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C9D1442" w14:textId="7981E6D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04" w:type="dxa"/>
          </w:tcPr>
          <w:p w14:paraId="411F18F8" w14:textId="498238EE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F4793" w14:paraId="53C7B2D3" w14:textId="77777777" w:rsidTr="00E24BED">
        <w:trPr>
          <w:cantSplit/>
        </w:trPr>
        <w:tc>
          <w:tcPr>
            <w:tcW w:w="2184" w:type="dxa"/>
          </w:tcPr>
          <w:p w14:paraId="6671172F" w14:textId="1357953B" w:rsidR="000F4793" w:rsidRDefault="00FA6CF0" w:rsidP="00FA6CF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 April 2015</w:t>
            </w:r>
          </w:p>
        </w:tc>
        <w:tc>
          <w:tcPr>
            <w:tcW w:w="2170" w:type="dxa"/>
          </w:tcPr>
          <w:p w14:paraId="1B935B57" w14:textId="066C14C7" w:rsidR="000F4793" w:rsidRDefault="00FA6CF0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134" w:type="dxa"/>
          </w:tcPr>
          <w:p w14:paraId="1CE2E196" w14:textId="54366D01" w:rsidR="00662F46" w:rsidRPr="00662F46" w:rsidRDefault="00662F46" w:rsidP="00FA6CF0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3240A49" w14:textId="77777777" w:rsidR="000F4793" w:rsidRDefault="000F4793" w:rsidP="00FA6CF0">
            <w:pPr>
              <w:pStyle w:val="ListParagraph"/>
              <w:ind w:left="36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04" w:type="dxa"/>
          </w:tcPr>
          <w:p w14:paraId="28AB6ED5" w14:textId="470093CF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3111" w14:paraId="2D75CAE1" w14:textId="77777777" w:rsidTr="00E24BED">
        <w:trPr>
          <w:cantSplit/>
        </w:trPr>
        <w:tc>
          <w:tcPr>
            <w:tcW w:w="2184" w:type="dxa"/>
          </w:tcPr>
          <w:p w14:paraId="2F243380" w14:textId="115360C7" w:rsidR="001D3111" w:rsidRDefault="00FA6CF0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May 2015</w:t>
            </w:r>
          </w:p>
        </w:tc>
        <w:tc>
          <w:tcPr>
            <w:tcW w:w="2170" w:type="dxa"/>
          </w:tcPr>
          <w:p w14:paraId="1AD89017" w14:textId="7B65C20C" w:rsidR="001D3111" w:rsidRDefault="00FA6CF0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134" w:type="dxa"/>
          </w:tcPr>
          <w:p w14:paraId="011C8CFD" w14:textId="18BB9B75" w:rsidR="001D3111" w:rsidRPr="00662F46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F597617" w14:textId="704792C5" w:rsidR="001D3111" w:rsidRDefault="001D3111" w:rsidP="001D311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04" w:type="dxa"/>
          </w:tcPr>
          <w:p w14:paraId="66142254" w14:textId="04D68369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F4793" w14:paraId="7109183D" w14:textId="77777777" w:rsidTr="00E24BED">
        <w:trPr>
          <w:cantSplit/>
        </w:trPr>
        <w:tc>
          <w:tcPr>
            <w:tcW w:w="2184" w:type="dxa"/>
          </w:tcPr>
          <w:p w14:paraId="1AF4F5D4" w14:textId="1F171132" w:rsidR="000F4793" w:rsidRDefault="00FA6CF0" w:rsidP="00FA6CF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26 May 2015</w:t>
            </w:r>
          </w:p>
        </w:tc>
        <w:tc>
          <w:tcPr>
            <w:tcW w:w="2170" w:type="dxa"/>
          </w:tcPr>
          <w:p w14:paraId="4287828F" w14:textId="77777777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134" w:type="dxa"/>
          </w:tcPr>
          <w:p w14:paraId="512F0393" w14:textId="09D24990" w:rsidR="000F4793" w:rsidRPr="001D3111" w:rsidRDefault="000F4793" w:rsidP="00FA6CF0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395FC36" w14:textId="5BA49D43" w:rsidR="000F4793" w:rsidRPr="001D3111" w:rsidRDefault="000F4793" w:rsidP="00FA6CF0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04" w:type="dxa"/>
          </w:tcPr>
          <w:p w14:paraId="3BF99655" w14:textId="65D1D14C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3111" w14:paraId="21A34D00" w14:textId="77777777" w:rsidTr="00E24BED">
        <w:trPr>
          <w:cantSplit/>
        </w:trPr>
        <w:tc>
          <w:tcPr>
            <w:tcW w:w="2184" w:type="dxa"/>
          </w:tcPr>
          <w:p w14:paraId="04F3C271" w14:textId="556B9F48" w:rsidR="001D3111" w:rsidRDefault="00FA6CF0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 June 2015</w:t>
            </w:r>
          </w:p>
        </w:tc>
        <w:tc>
          <w:tcPr>
            <w:tcW w:w="2170" w:type="dxa"/>
          </w:tcPr>
          <w:p w14:paraId="16771A48" w14:textId="509D0211" w:rsidR="001D3111" w:rsidRDefault="00A8424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134" w:type="dxa"/>
          </w:tcPr>
          <w:p w14:paraId="68E23526" w14:textId="500952C6" w:rsidR="001D3111" w:rsidRPr="00662F46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9968CB7" w14:textId="10B943A2" w:rsidR="001D3111" w:rsidRDefault="001D3111" w:rsidP="001D311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04" w:type="dxa"/>
          </w:tcPr>
          <w:p w14:paraId="3FA114AF" w14:textId="2E645F31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F4793" w14:paraId="1F48CF9C" w14:textId="77777777" w:rsidTr="00E24BED">
        <w:trPr>
          <w:cantSplit/>
        </w:trPr>
        <w:tc>
          <w:tcPr>
            <w:tcW w:w="2184" w:type="dxa"/>
          </w:tcPr>
          <w:p w14:paraId="10CDC129" w14:textId="780E67C0" w:rsidR="000F4793" w:rsidRDefault="00FA6CF0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 June 2015</w:t>
            </w:r>
          </w:p>
        </w:tc>
        <w:tc>
          <w:tcPr>
            <w:tcW w:w="2170" w:type="dxa"/>
          </w:tcPr>
          <w:p w14:paraId="4077F24C" w14:textId="4D16DADA" w:rsidR="000F4793" w:rsidRDefault="00FA6CF0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GAC-GNSO Meeting – ICANN53</w:t>
            </w:r>
          </w:p>
        </w:tc>
        <w:tc>
          <w:tcPr>
            <w:tcW w:w="3134" w:type="dxa"/>
          </w:tcPr>
          <w:p w14:paraId="7A4B6624" w14:textId="00D6AEA6" w:rsidR="001D3111" w:rsidRPr="00FA6CF0" w:rsidRDefault="001D3111" w:rsidP="00FA6CF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6F527EE" w14:textId="46F6B46D" w:rsidR="001D3111" w:rsidRPr="001D3111" w:rsidRDefault="001D3111" w:rsidP="00FA6CF0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04" w:type="dxa"/>
          </w:tcPr>
          <w:p w14:paraId="6609C148" w14:textId="01749431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3111" w14:paraId="7D314C9F" w14:textId="77777777" w:rsidTr="00E24BED">
        <w:trPr>
          <w:cantSplit/>
        </w:trPr>
        <w:tc>
          <w:tcPr>
            <w:tcW w:w="2184" w:type="dxa"/>
          </w:tcPr>
          <w:p w14:paraId="47514F17" w14:textId="0C3DEEF0" w:rsidR="001D3111" w:rsidRDefault="00FA6CF0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22 June 2015</w:t>
            </w:r>
          </w:p>
        </w:tc>
        <w:tc>
          <w:tcPr>
            <w:tcW w:w="2170" w:type="dxa"/>
          </w:tcPr>
          <w:p w14:paraId="155400C5" w14:textId="14C4FD49" w:rsidR="001D3111" w:rsidRDefault="00FA6CF0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F2F meeting (TBC) – ICANN53</w:t>
            </w:r>
          </w:p>
        </w:tc>
        <w:tc>
          <w:tcPr>
            <w:tcW w:w="3134" w:type="dxa"/>
          </w:tcPr>
          <w:p w14:paraId="53A8DBD5" w14:textId="643590BD" w:rsidR="001D3111" w:rsidRDefault="001D3111" w:rsidP="001D311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50" w:type="dxa"/>
          </w:tcPr>
          <w:p w14:paraId="060D5760" w14:textId="75FE9DD7" w:rsidR="001D3111" w:rsidRDefault="001D3111" w:rsidP="001D311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04" w:type="dxa"/>
          </w:tcPr>
          <w:p w14:paraId="48DDB9E4" w14:textId="43FA329F" w:rsidR="001D3111" w:rsidRDefault="001D3111" w:rsidP="000F479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E9C733A" w14:textId="77777777" w:rsidR="000F4793" w:rsidRPr="000F4793" w:rsidRDefault="000F4793" w:rsidP="000F4793">
      <w:pPr>
        <w:rPr>
          <w:rFonts w:asciiTheme="majorHAnsi" w:hAnsiTheme="majorHAnsi"/>
          <w:b/>
          <w:sz w:val="22"/>
          <w:szCs w:val="22"/>
        </w:rPr>
      </w:pPr>
    </w:p>
    <w:sectPr w:rsidR="000F4793" w:rsidRPr="000F4793" w:rsidSect="000F4793">
      <w:footerReference w:type="even" r:id="rId10"/>
      <w:footerReference w:type="default" r:id="rId11"/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7ABFE" w14:textId="77777777" w:rsidR="00FA6CF0" w:rsidRDefault="00FA6CF0" w:rsidP="0052477C">
      <w:r>
        <w:separator/>
      </w:r>
    </w:p>
  </w:endnote>
  <w:endnote w:type="continuationSeparator" w:id="0">
    <w:p w14:paraId="25C78921" w14:textId="77777777" w:rsidR="00FA6CF0" w:rsidRDefault="00FA6CF0" w:rsidP="0052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CAB2" w14:textId="77777777" w:rsidR="00FA6CF0" w:rsidRDefault="00FA6CF0" w:rsidP="000773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DBF4CB" w14:textId="77777777" w:rsidR="00FA6CF0" w:rsidRDefault="00FA6CF0" w:rsidP="0052477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02D3A" w14:textId="77777777" w:rsidR="00FA6CF0" w:rsidRPr="0052477C" w:rsidRDefault="00FA6CF0" w:rsidP="000773E5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0"/>
        <w:szCs w:val="20"/>
      </w:rPr>
    </w:pPr>
    <w:r w:rsidRPr="0052477C">
      <w:rPr>
        <w:rStyle w:val="PageNumber"/>
        <w:rFonts w:asciiTheme="majorHAnsi" w:hAnsiTheme="majorHAnsi"/>
        <w:sz w:val="20"/>
        <w:szCs w:val="20"/>
      </w:rPr>
      <w:fldChar w:fldCharType="begin"/>
    </w:r>
    <w:r w:rsidRPr="0052477C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52477C">
      <w:rPr>
        <w:rStyle w:val="PageNumber"/>
        <w:rFonts w:asciiTheme="majorHAnsi" w:hAnsiTheme="majorHAnsi"/>
        <w:sz w:val="20"/>
        <w:szCs w:val="20"/>
      </w:rPr>
      <w:fldChar w:fldCharType="separate"/>
    </w:r>
    <w:r w:rsidR="00A71A9A">
      <w:rPr>
        <w:rStyle w:val="PageNumber"/>
        <w:rFonts w:asciiTheme="majorHAnsi" w:hAnsiTheme="majorHAnsi"/>
        <w:noProof/>
        <w:sz w:val="20"/>
        <w:szCs w:val="20"/>
      </w:rPr>
      <w:t>1</w:t>
    </w:r>
    <w:r w:rsidRPr="0052477C">
      <w:rPr>
        <w:rStyle w:val="PageNumber"/>
        <w:rFonts w:asciiTheme="majorHAnsi" w:hAnsiTheme="majorHAnsi"/>
        <w:sz w:val="20"/>
        <w:szCs w:val="20"/>
      </w:rPr>
      <w:fldChar w:fldCharType="end"/>
    </w:r>
  </w:p>
  <w:p w14:paraId="1853EF60" w14:textId="77777777" w:rsidR="00FA6CF0" w:rsidRDefault="00FA6CF0" w:rsidP="005247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D725B" w14:textId="77777777" w:rsidR="00FA6CF0" w:rsidRDefault="00FA6CF0" w:rsidP="0052477C">
      <w:r>
        <w:separator/>
      </w:r>
    </w:p>
  </w:footnote>
  <w:footnote w:type="continuationSeparator" w:id="0">
    <w:p w14:paraId="6322FC79" w14:textId="77777777" w:rsidR="00FA6CF0" w:rsidRDefault="00FA6CF0" w:rsidP="0052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3CF"/>
    <w:multiLevelType w:val="hybridMultilevel"/>
    <w:tmpl w:val="91CCAFCC"/>
    <w:lvl w:ilvl="0" w:tplc="CB726630">
      <w:numFmt w:val="bullet"/>
      <w:lvlText w:val="-"/>
      <w:lvlJc w:val="left"/>
      <w:pPr>
        <w:ind w:left="1320" w:hanging="600"/>
      </w:pPr>
      <w:rPr>
        <w:rFonts w:ascii="Cambria" w:eastAsia="MS Mincho" w:hAnsi="Cambria" w:cs="Calibri" w:hint="default"/>
        <w:color w:val="18376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0CE"/>
    <w:multiLevelType w:val="hybridMultilevel"/>
    <w:tmpl w:val="9272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46463"/>
    <w:multiLevelType w:val="hybridMultilevel"/>
    <w:tmpl w:val="94F29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ED56E7"/>
    <w:multiLevelType w:val="hybridMultilevel"/>
    <w:tmpl w:val="243A2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60A7E"/>
    <w:multiLevelType w:val="hybridMultilevel"/>
    <w:tmpl w:val="67E8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D25F6"/>
    <w:multiLevelType w:val="hybridMultilevel"/>
    <w:tmpl w:val="F9BE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C0771"/>
    <w:multiLevelType w:val="hybridMultilevel"/>
    <w:tmpl w:val="629C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231CD"/>
    <w:multiLevelType w:val="hybridMultilevel"/>
    <w:tmpl w:val="A3F8E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93"/>
    <w:rsid w:val="000773E5"/>
    <w:rsid w:val="000F4793"/>
    <w:rsid w:val="00153367"/>
    <w:rsid w:val="001D3111"/>
    <w:rsid w:val="003C0B87"/>
    <w:rsid w:val="0052477C"/>
    <w:rsid w:val="005A58A9"/>
    <w:rsid w:val="00626F3C"/>
    <w:rsid w:val="00662F46"/>
    <w:rsid w:val="007859B9"/>
    <w:rsid w:val="007A0677"/>
    <w:rsid w:val="0089571D"/>
    <w:rsid w:val="008B5166"/>
    <w:rsid w:val="00993EFF"/>
    <w:rsid w:val="00A71A9A"/>
    <w:rsid w:val="00A84241"/>
    <w:rsid w:val="00C33D10"/>
    <w:rsid w:val="00C81D79"/>
    <w:rsid w:val="00CF3027"/>
    <w:rsid w:val="00D57C77"/>
    <w:rsid w:val="00E24BED"/>
    <w:rsid w:val="00E37B34"/>
    <w:rsid w:val="00FA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44D6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9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47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77C"/>
  </w:style>
  <w:style w:type="character" w:styleId="PageNumber">
    <w:name w:val="page number"/>
    <w:basedOn w:val="DefaultParagraphFont"/>
    <w:uiPriority w:val="99"/>
    <w:semiHidden/>
    <w:unhideWhenUsed/>
    <w:rsid w:val="0052477C"/>
  </w:style>
  <w:style w:type="paragraph" w:styleId="Header">
    <w:name w:val="header"/>
    <w:basedOn w:val="Normal"/>
    <w:link w:val="HeaderChar"/>
    <w:uiPriority w:val="99"/>
    <w:unhideWhenUsed/>
    <w:rsid w:val="005247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77C"/>
  </w:style>
  <w:style w:type="character" w:styleId="Hyperlink">
    <w:name w:val="Hyperlink"/>
    <w:basedOn w:val="DefaultParagraphFont"/>
    <w:uiPriority w:val="99"/>
    <w:unhideWhenUsed/>
    <w:rsid w:val="005A58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7C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9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47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77C"/>
  </w:style>
  <w:style w:type="character" w:styleId="PageNumber">
    <w:name w:val="page number"/>
    <w:basedOn w:val="DefaultParagraphFont"/>
    <w:uiPriority w:val="99"/>
    <w:semiHidden/>
    <w:unhideWhenUsed/>
    <w:rsid w:val="0052477C"/>
  </w:style>
  <w:style w:type="paragraph" w:styleId="Header">
    <w:name w:val="header"/>
    <w:basedOn w:val="Normal"/>
    <w:link w:val="HeaderChar"/>
    <w:uiPriority w:val="99"/>
    <w:unhideWhenUsed/>
    <w:rsid w:val="005247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77C"/>
  </w:style>
  <w:style w:type="character" w:styleId="Hyperlink">
    <w:name w:val="Hyperlink"/>
    <w:basedOn w:val="DefaultParagraphFont"/>
    <w:uiPriority w:val="99"/>
    <w:unhideWhenUsed/>
    <w:rsid w:val="005A58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7C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gnso.icann.org/sites/gnso.icann.org/files/gnso/presentations/policy-efforts.htm" TargetMode="External"/><Relationship Id="rId9" Type="http://schemas.openxmlformats.org/officeDocument/2006/relationships/hyperlink" Target="http://gnso.icann.org/en/icannmeetin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587</Words>
  <Characters>3352</Characters>
  <Application>Microsoft Macintosh Word</Application>
  <DocSecurity>0</DocSecurity>
  <Lines>27</Lines>
  <Paragraphs>7</Paragraphs>
  <ScaleCrop>false</ScaleCrop>
  <Company>ICANN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7</cp:revision>
  <dcterms:created xsi:type="dcterms:W3CDTF">2015-03-02T09:52:00Z</dcterms:created>
  <dcterms:modified xsi:type="dcterms:W3CDTF">2015-03-09T09:04:00Z</dcterms:modified>
</cp:coreProperties>
</file>