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F95632" w14:textId="77777777" w:rsidR="00CF7768" w:rsidRPr="00A30FB3" w:rsidRDefault="00CF7768" w:rsidP="00CF7768">
      <w:pPr>
        <w:jc w:val="center"/>
        <w:rPr>
          <w:b/>
          <w:bCs/>
          <w:u w:val="single"/>
        </w:rPr>
      </w:pPr>
      <w:r w:rsidRPr="00A30FB3">
        <w:rPr>
          <w:b/>
          <w:bCs/>
          <w:u w:val="single"/>
        </w:rPr>
        <w:t>Privacy Proxy Service Accreditation Agreement Discussion Items</w:t>
      </w:r>
    </w:p>
    <w:p w14:paraId="746C75A2" w14:textId="0B7C5FE4" w:rsidR="00CF7768" w:rsidRPr="00A30FB3" w:rsidRDefault="00672326" w:rsidP="00CF7768">
      <w:pPr>
        <w:rPr>
          <w:bCs/>
        </w:rPr>
      </w:pPr>
      <w:r>
        <w:rPr>
          <w:bCs/>
        </w:rPr>
        <w:t>20 October 2017</w:t>
      </w:r>
    </w:p>
    <w:p w14:paraId="7FE9ADE6" w14:textId="77777777" w:rsidR="00CF7768" w:rsidRPr="00A30FB3" w:rsidRDefault="00CF7768" w:rsidP="00CF7768">
      <w:pPr>
        <w:rPr>
          <w:bCs/>
        </w:rPr>
      </w:pPr>
    </w:p>
    <w:p w14:paraId="2D407C36" w14:textId="77777777" w:rsidR="00CF7768" w:rsidRPr="00A30FB3" w:rsidRDefault="00CF7768" w:rsidP="00CF7768">
      <w:pPr>
        <w:rPr>
          <w:bCs/>
        </w:rPr>
      </w:pPr>
    </w:p>
    <w:p w14:paraId="1DE9F4B1" w14:textId="77777777" w:rsidR="00CF7768" w:rsidRPr="00A30FB3" w:rsidRDefault="00CF7768" w:rsidP="00CF7768"/>
    <w:tbl>
      <w:tblPr>
        <w:tblStyle w:val="TableGrid"/>
        <w:tblW w:w="0" w:type="auto"/>
        <w:tblLook w:val="04A0" w:firstRow="1" w:lastRow="0" w:firstColumn="1" w:lastColumn="0" w:noHBand="0" w:noVBand="1"/>
      </w:tblPr>
      <w:tblGrid>
        <w:gridCol w:w="1241"/>
        <w:gridCol w:w="1790"/>
        <w:gridCol w:w="1912"/>
        <w:gridCol w:w="4084"/>
        <w:gridCol w:w="3923"/>
        <w:gridCol w:w="3923"/>
      </w:tblGrid>
      <w:tr w:rsidR="00CF7768" w:rsidRPr="00A30FB3" w14:paraId="2CAF0B00" w14:textId="77777777" w:rsidTr="00672326">
        <w:trPr>
          <w:tblHeader/>
        </w:trPr>
        <w:tc>
          <w:tcPr>
            <w:tcW w:w="1241" w:type="dxa"/>
            <w:shd w:val="clear" w:color="auto" w:fill="0070C0"/>
          </w:tcPr>
          <w:p w14:paraId="335CF24F" w14:textId="77777777" w:rsidR="00CF7768" w:rsidRPr="00A30FB3" w:rsidRDefault="00CF7768" w:rsidP="00672326">
            <w:pPr>
              <w:jc w:val="center"/>
              <w:rPr>
                <w:b/>
                <w:bCs/>
                <w:color w:val="FFFFFF" w:themeColor="background1"/>
              </w:rPr>
            </w:pPr>
            <w:r w:rsidRPr="00A30FB3">
              <w:rPr>
                <w:b/>
                <w:bCs/>
                <w:color w:val="FFFFFF" w:themeColor="background1"/>
              </w:rPr>
              <w:t>Issue</w:t>
            </w:r>
          </w:p>
        </w:tc>
        <w:tc>
          <w:tcPr>
            <w:tcW w:w="1790" w:type="dxa"/>
            <w:shd w:val="clear" w:color="auto" w:fill="0070C0"/>
          </w:tcPr>
          <w:p w14:paraId="0FC88988" w14:textId="77777777" w:rsidR="00CF7768" w:rsidRPr="00A30FB3" w:rsidRDefault="00CF7768" w:rsidP="00672326">
            <w:pPr>
              <w:jc w:val="center"/>
              <w:rPr>
                <w:b/>
                <w:bCs/>
                <w:color w:val="FFFFFF" w:themeColor="background1"/>
              </w:rPr>
            </w:pPr>
            <w:r w:rsidRPr="00A30FB3">
              <w:rPr>
                <w:b/>
                <w:bCs/>
                <w:color w:val="FFFFFF" w:themeColor="background1"/>
              </w:rPr>
              <w:t>Section</w:t>
            </w:r>
          </w:p>
        </w:tc>
        <w:tc>
          <w:tcPr>
            <w:tcW w:w="1912" w:type="dxa"/>
            <w:shd w:val="clear" w:color="auto" w:fill="0070C0"/>
          </w:tcPr>
          <w:p w14:paraId="1B50EF2A" w14:textId="77777777" w:rsidR="00CF7768" w:rsidRPr="00A30FB3" w:rsidRDefault="00CF7768" w:rsidP="00672326">
            <w:pPr>
              <w:jc w:val="center"/>
              <w:rPr>
                <w:b/>
                <w:bCs/>
                <w:color w:val="FFFFFF" w:themeColor="background1"/>
              </w:rPr>
            </w:pPr>
            <w:r w:rsidRPr="00A30FB3">
              <w:rPr>
                <w:b/>
                <w:bCs/>
                <w:color w:val="FFFFFF" w:themeColor="background1"/>
              </w:rPr>
              <w:t>Topic</w:t>
            </w:r>
          </w:p>
        </w:tc>
        <w:tc>
          <w:tcPr>
            <w:tcW w:w="4084" w:type="dxa"/>
            <w:shd w:val="clear" w:color="auto" w:fill="0070C0"/>
          </w:tcPr>
          <w:p w14:paraId="0AF3E00C" w14:textId="77777777" w:rsidR="00CF7768" w:rsidRPr="00A30FB3" w:rsidRDefault="00CF7768" w:rsidP="00672326">
            <w:pPr>
              <w:jc w:val="center"/>
              <w:rPr>
                <w:b/>
                <w:bCs/>
                <w:color w:val="FFFFFF" w:themeColor="background1"/>
              </w:rPr>
            </w:pPr>
            <w:r w:rsidRPr="00A30FB3">
              <w:rPr>
                <w:b/>
                <w:bCs/>
                <w:color w:val="FFFFFF" w:themeColor="background1"/>
              </w:rPr>
              <w:t>Issue</w:t>
            </w:r>
          </w:p>
        </w:tc>
        <w:tc>
          <w:tcPr>
            <w:tcW w:w="3923" w:type="dxa"/>
            <w:shd w:val="clear" w:color="auto" w:fill="0070C0"/>
          </w:tcPr>
          <w:p w14:paraId="48E6F244" w14:textId="77777777" w:rsidR="00CF7768" w:rsidRPr="00A30FB3" w:rsidRDefault="00CF7768" w:rsidP="00672326">
            <w:pPr>
              <w:jc w:val="center"/>
              <w:rPr>
                <w:b/>
                <w:bCs/>
                <w:color w:val="FFFFFF" w:themeColor="background1"/>
              </w:rPr>
            </w:pPr>
            <w:r w:rsidRPr="00A30FB3">
              <w:rPr>
                <w:b/>
                <w:bCs/>
                <w:color w:val="FFFFFF" w:themeColor="background1"/>
              </w:rPr>
              <w:t>Additional IRT Feedback</w:t>
            </w:r>
          </w:p>
        </w:tc>
        <w:tc>
          <w:tcPr>
            <w:tcW w:w="3923" w:type="dxa"/>
            <w:shd w:val="clear" w:color="auto" w:fill="0070C0"/>
          </w:tcPr>
          <w:p w14:paraId="5EE90699" w14:textId="77777777" w:rsidR="00CF7768" w:rsidRPr="00A30FB3" w:rsidRDefault="00CF7768" w:rsidP="00672326">
            <w:pPr>
              <w:jc w:val="center"/>
              <w:rPr>
                <w:b/>
                <w:bCs/>
                <w:color w:val="FFFFFF" w:themeColor="background1"/>
              </w:rPr>
            </w:pPr>
            <w:r w:rsidRPr="00A30FB3">
              <w:rPr>
                <w:b/>
                <w:bCs/>
                <w:color w:val="FFFFFF" w:themeColor="background1"/>
              </w:rPr>
              <w:t>Status</w:t>
            </w:r>
          </w:p>
        </w:tc>
      </w:tr>
      <w:tr w:rsidR="00CF7768" w:rsidRPr="00A30FB3" w14:paraId="7A4680F7" w14:textId="77777777" w:rsidTr="007629FB">
        <w:tc>
          <w:tcPr>
            <w:tcW w:w="1241" w:type="dxa"/>
            <w:shd w:val="clear" w:color="auto" w:fill="auto"/>
          </w:tcPr>
          <w:p w14:paraId="3EF6A87F" w14:textId="4A509D6F" w:rsidR="00CF7768" w:rsidRPr="00A30FB3" w:rsidRDefault="007629FB" w:rsidP="00672326">
            <w:r>
              <w:t>1</w:t>
            </w:r>
          </w:p>
        </w:tc>
        <w:tc>
          <w:tcPr>
            <w:tcW w:w="1790" w:type="dxa"/>
            <w:shd w:val="clear" w:color="auto" w:fill="auto"/>
          </w:tcPr>
          <w:p w14:paraId="17AAF61E" w14:textId="77777777" w:rsidR="00CF7768" w:rsidRPr="00A30FB3" w:rsidRDefault="00CF7768" w:rsidP="00672326">
            <w:r w:rsidRPr="00A30FB3">
              <w:t>1.42; 6; 7.4</w:t>
            </w:r>
          </w:p>
        </w:tc>
        <w:tc>
          <w:tcPr>
            <w:tcW w:w="1912" w:type="dxa"/>
            <w:shd w:val="clear" w:color="auto" w:fill="auto"/>
          </w:tcPr>
          <w:p w14:paraId="14B0988B" w14:textId="77777777" w:rsidR="00CF7768" w:rsidRPr="00A30FB3" w:rsidRDefault="00CF7768" w:rsidP="00672326">
            <w:r w:rsidRPr="00A30FB3">
              <w:t>Working Group; Amendments</w:t>
            </w:r>
          </w:p>
        </w:tc>
        <w:tc>
          <w:tcPr>
            <w:tcW w:w="4084" w:type="dxa"/>
            <w:shd w:val="clear" w:color="auto" w:fill="auto"/>
          </w:tcPr>
          <w:p w14:paraId="55D8D673" w14:textId="77777777" w:rsidR="00CF7768" w:rsidRPr="00A30FB3" w:rsidRDefault="00CF7768" w:rsidP="00672326">
            <w:r w:rsidRPr="00A30FB3">
              <w:t>Like the RA and the RAA, the PPAA needs a method to implement global amendments.  However, Service Providers do not have a Stakeholder Group.  The Draft contemplates a Working Group to fill this role until a Provider Stakeholder Group is formed (if ever).</w:t>
            </w:r>
          </w:p>
        </w:tc>
        <w:tc>
          <w:tcPr>
            <w:tcW w:w="3923" w:type="dxa"/>
            <w:shd w:val="clear" w:color="auto" w:fill="auto"/>
          </w:tcPr>
          <w:p w14:paraId="7AA7DE54" w14:textId="77777777" w:rsidR="00CF7768" w:rsidRPr="00A30FB3" w:rsidRDefault="00CF7768" w:rsidP="00672326">
            <w:r w:rsidRPr="00A30FB3">
              <w:rPr>
                <w:b/>
              </w:rPr>
              <w:t>Feedback at 18 July meeting</w:t>
            </w:r>
            <w:r w:rsidRPr="00A30FB3">
              <w:t>: Amendment process may be too complicated</w:t>
            </w:r>
          </w:p>
          <w:p w14:paraId="15093394" w14:textId="77777777" w:rsidR="00CF7768" w:rsidRPr="00A30FB3" w:rsidRDefault="00CF7768" w:rsidP="00672326"/>
          <w:p w14:paraId="1D0C805F" w14:textId="77777777" w:rsidR="00CF7768" w:rsidRPr="00A30FB3" w:rsidRDefault="00CF7768" w:rsidP="00672326">
            <w:r w:rsidRPr="00A30FB3">
              <w:rPr>
                <w:b/>
              </w:rPr>
              <w:t xml:space="preserve">Feedback at 25 July meeting: </w:t>
            </w:r>
            <w:r w:rsidRPr="00A30FB3">
              <w:t>Maybe there could be a process for amendments to be considered by a re-convened IRT for a period of time (1-2 years) before reverting to this Section 7.4, as this is a completely new agreement and issues may arise as it goes into effect.</w:t>
            </w:r>
          </w:p>
          <w:p w14:paraId="03A57A8E" w14:textId="77777777" w:rsidR="00CF7768" w:rsidRPr="00A30FB3" w:rsidRDefault="00CF7768" w:rsidP="00672326"/>
          <w:p w14:paraId="7E5B5C58" w14:textId="77777777" w:rsidR="00CF7768" w:rsidRPr="00A30FB3" w:rsidRDefault="00CF7768" w:rsidP="00672326">
            <w:pPr>
              <w:rPr>
                <w:b/>
              </w:rPr>
            </w:pPr>
            <w:r w:rsidRPr="00A30FB3">
              <w:rPr>
                <w:b/>
              </w:rPr>
              <w:t>Feedback at 15 August meeting:</w:t>
            </w:r>
          </w:p>
          <w:p w14:paraId="11F2961B" w14:textId="77777777" w:rsidR="00CF7768" w:rsidRPr="00A30FB3" w:rsidRDefault="00CF7768" w:rsidP="00672326">
            <w:r w:rsidRPr="00A30FB3">
              <w:rPr>
                <w:b/>
              </w:rPr>
              <w:t>&gt;</w:t>
            </w:r>
            <w:r w:rsidRPr="00A30FB3">
              <w:t>This looks OK. It makes sense not to say re-convene the IRT explicitly. I feel reasonably confident that GNSO would look to the IRT list as the first stop. One proposed change—in the clause about a provider stakeholder group. If there is one, it shouldn’t be appointing all the representatives to the WG, just the service provider representatives to the WG that is convened by the GNSO.</w:t>
            </w:r>
          </w:p>
          <w:p w14:paraId="22754049" w14:textId="77777777" w:rsidR="00CF7768" w:rsidRPr="00A30FB3" w:rsidRDefault="00CF7768" w:rsidP="00672326">
            <w:r w:rsidRPr="00A30FB3">
              <w:t>&gt;Support expressed for recommendation above.</w:t>
            </w:r>
          </w:p>
          <w:p w14:paraId="072FE606" w14:textId="77777777" w:rsidR="00CF7768" w:rsidRPr="00A30FB3" w:rsidRDefault="00CF7768" w:rsidP="00672326"/>
          <w:p w14:paraId="53981BD1" w14:textId="77777777" w:rsidR="00CF7768" w:rsidRPr="00A30FB3" w:rsidRDefault="00CF7768" w:rsidP="00672326">
            <w:r w:rsidRPr="00A30FB3">
              <w:t>&gt;Is the number of negotiations open here? Concern about gridlock. Should the number of negotiations allowed/year be limited?</w:t>
            </w:r>
          </w:p>
          <w:p w14:paraId="0D6FFE24" w14:textId="77777777" w:rsidR="00CF7768" w:rsidRPr="00A30FB3" w:rsidRDefault="00CF7768" w:rsidP="00672326"/>
          <w:p w14:paraId="1C755D0F" w14:textId="77777777" w:rsidR="00CF7768" w:rsidRPr="00A30FB3" w:rsidRDefault="00CF7768" w:rsidP="00672326">
            <w:r w:rsidRPr="00A30FB3">
              <w:t>&gt;</w:t>
            </w:r>
            <w:proofErr w:type="gramStart"/>
            <w:r w:rsidRPr="00A30FB3">
              <w:t>2 year</w:t>
            </w:r>
            <w:proofErr w:type="gramEnd"/>
            <w:r w:rsidRPr="00A30FB3">
              <w:t xml:space="preserve"> period for allowing multiple negotiations/year sounds ok</w:t>
            </w:r>
          </w:p>
          <w:p w14:paraId="21D50F12" w14:textId="77777777" w:rsidR="00CF7768" w:rsidRDefault="00CF7768" w:rsidP="00672326">
            <w:r w:rsidRPr="00A30FB3">
              <w:t xml:space="preserve">&gt; Not sure we need to micromanage this, presumably amendment topics would be consolidated... </w:t>
            </w:r>
          </w:p>
          <w:p w14:paraId="05AFDD84" w14:textId="77777777" w:rsidR="00747D0D" w:rsidRDefault="00747D0D" w:rsidP="00672326"/>
          <w:p w14:paraId="110C7D49" w14:textId="77777777" w:rsidR="00747D0D" w:rsidRDefault="007629FB" w:rsidP="007629FB">
            <w:pPr>
              <w:rPr>
                <w:b/>
              </w:rPr>
            </w:pPr>
            <w:r>
              <w:rPr>
                <w:b/>
              </w:rPr>
              <w:t xml:space="preserve">Feedback at 17 October meeting: </w:t>
            </w:r>
          </w:p>
          <w:p w14:paraId="72F9A6DC" w14:textId="77777777" w:rsidR="007629FB" w:rsidRDefault="007629FB" w:rsidP="007629FB">
            <w:r w:rsidRPr="007629FB">
              <w:t>&gt;</w:t>
            </w:r>
            <w:r>
              <w:t>Working Group definition should be amended to ensure Providers can only nominate the Service Provider representatives of the Working Group.</w:t>
            </w:r>
          </w:p>
          <w:p w14:paraId="3C1AB779" w14:textId="77777777" w:rsidR="007629FB" w:rsidRDefault="007629FB" w:rsidP="007629FB"/>
          <w:p w14:paraId="5D7FC1D8" w14:textId="218B1146" w:rsidR="007629FB" w:rsidRPr="007629FB" w:rsidRDefault="007629FB" w:rsidP="007629FB">
            <w:r>
              <w:t>&gt;Working Group definition should have GNSO removed, and negotiation should be between Providers and ICANN.</w:t>
            </w:r>
          </w:p>
        </w:tc>
        <w:tc>
          <w:tcPr>
            <w:tcW w:w="3923" w:type="dxa"/>
            <w:shd w:val="clear" w:color="auto" w:fill="auto"/>
          </w:tcPr>
          <w:p w14:paraId="11FB8C6A" w14:textId="7A96ECC7" w:rsidR="00CF7768" w:rsidRPr="00A30FB3" w:rsidRDefault="007629FB" w:rsidP="007629FB">
            <w:pPr>
              <w:rPr>
                <w:b/>
              </w:rPr>
            </w:pPr>
            <w:r>
              <w:rPr>
                <w:b/>
              </w:rPr>
              <w:lastRenderedPageBreak/>
              <w:t>UPDATE: Section 1.43 has been updated to account for feedback.  Pending additional IRT Discussion 24 Oct.</w:t>
            </w:r>
          </w:p>
        </w:tc>
      </w:tr>
      <w:tr w:rsidR="00CF7768" w:rsidRPr="00A30FB3" w14:paraId="758CEAFE" w14:textId="77777777" w:rsidTr="007E50A8">
        <w:tc>
          <w:tcPr>
            <w:tcW w:w="1241" w:type="dxa"/>
            <w:shd w:val="clear" w:color="auto" w:fill="auto"/>
          </w:tcPr>
          <w:p w14:paraId="7DCE885A" w14:textId="758F9C43" w:rsidR="00CF7768" w:rsidRPr="00A30FB3" w:rsidRDefault="005D50C1" w:rsidP="00672326">
            <w:r>
              <w:lastRenderedPageBreak/>
              <w:t>2</w:t>
            </w:r>
          </w:p>
        </w:tc>
        <w:tc>
          <w:tcPr>
            <w:tcW w:w="1790" w:type="dxa"/>
            <w:shd w:val="clear" w:color="auto" w:fill="auto"/>
          </w:tcPr>
          <w:p w14:paraId="7751D203" w14:textId="77777777" w:rsidR="00CF7768" w:rsidRPr="00A30FB3" w:rsidRDefault="00CF7768" w:rsidP="00672326">
            <w:r w:rsidRPr="00A30FB3">
              <w:t>3.2.2</w:t>
            </w:r>
          </w:p>
        </w:tc>
        <w:tc>
          <w:tcPr>
            <w:tcW w:w="1912" w:type="dxa"/>
            <w:shd w:val="clear" w:color="auto" w:fill="auto"/>
          </w:tcPr>
          <w:p w14:paraId="18F2BDE5" w14:textId="77777777" w:rsidR="00CF7768" w:rsidRPr="00A30FB3" w:rsidRDefault="00CF7768" w:rsidP="00672326">
            <w:r w:rsidRPr="00A30FB3">
              <w:t>Data Retention</w:t>
            </w:r>
          </w:p>
        </w:tc>
        <w:tc>
          <w:tcPr>
            <w:tcW w:w="4084" w:type="dxa"/>
            <w:shd w:val="clear" w:color="auto" w:fill="auto"/>
          </w:tcPr>
          <w:p w14:paraId="336BB6F6" w14:textId="77777777" w:rsidR="00CF7768" w:rsidRPr="00A30FB3" w:rsidRDefault="00CF7768" w:rsidP="00672326">
            <w:r w:rsidRPr="00A30FB3">
              <w:t>The RAA provides that this information is to be kept for two years, but ICANN proposes that Providers only keep it for one in order to limit the number of exemption requests</w:t>
            </w:r>
          </w:p>
        </w:tc>
        <w:tc>
          <w:tcPr>
            <w:tcW w:w="3923" w:type="dxa"/>
            <w:shd w:val="clear" w:color="auto" w:fill="auto"/>
          </w:tcPr>
          <w:p w14:paraId="4656BAC2" w14:textId="77777777" w:rsidR="00CF7768" w:rsidRPr="00A30FB3" w:rsidRDefault="00CF7768" w:rsidP="00672326">
            <w:r w:rsidRPr="00A30FB3">
              <w:rPr>
                <w:b/>
              </w:rPr>
              <w:t xml:space="preserve">Feedback at 25 July meeting: </w:t>
            </w:r>
            <w:r w:rsidRPr="00A30FB3">
              <w:t>Ensure that PSWG is on call where this is discussed.</w:t>
            </w:r>
          </w:p>
          <w:p w14:paraId="08477195" w14:textId="77777777" w:rsidR="00CF7768" w:rsidRPr="00A30FB3" w:rsidRDefault="00CF7768" w:rsidP="00672326"/>
          <w:p w14:paraId="37DD1115" w14:textId="77777777" w:rsidR="00CF7768" w:rsidRPr="00A30FB3" w:rsidRDefault="00CF7768" w:rsidP="00672326">
            <w:pPr>
              <w:rPr>
                <w:b/>
              </w:rPr>
            </w:pPr>
            <w:r w:rsidRPr="00A30FB3">
              <w:rPr>
                <w:b/>
              </w:rPr>
              <w:t>Feedback at 8 August IRT meeting:</w:t>
            </w:r>
          </w:p>
          <w:p w14:paraId="36E5360F" w14:textId="77777777" w:rsidR="00CF7768" w:rsidRPr="00A30FB3" w:rsidRDefault="00CF7768" w:rsidP="00672326">
            <w:r w:rsidRPr="00A30FB3">
              <w:rPr>
                <w:u w:val="single"/>
              </w:rPr>
              <w:t>Lindsay Hamilton-Reed</w:t>
            </w:r>
            <w:r w:rsidRPr="00A30FB3">
              <w:t>: Under European law, we can only retain data for as long as is necessary.  We have difficulties with one year, never mind two.</w:t>
            </w:r>
          </w:p>
          <w:p w14:paraId="1257B8B7" w14:textId="77777777" w:rsidR="00CF7768" w:rsidRPr="00A30FB3" w:rsidRDefault="00CF7768" w:rsidP="00672326"/>
          <w:p w14:paraId="4A560119" w14:textId="77777777" w:rsidR="00CF7768" w:rsidRPr="00A30FB3" w:rsidRDefault="00CF7768" w:rsidP="00672326">
            <w:r w:rsidRPr="00A30FB3">
              <w:rPr>
                <w:u w:val="single"/>
              </w:rPr>
              <w:t>Roget Carney:</w:t>
            </w:r>
            <w:r w:rsidRPr="00A30FB3">
              <w:t xml:space="preserve"> This section mentions registrar—ensure references are changed to provider.</w:t>
            </w:r>
          </w:p>
          <w:p w14:paraId="6074F3E5" w14:textId="77777777" w:rsidR="00CF7768" w:rsidRPr="00A30FB3" w:rsidRDefault="00CF7768" w:rsidP="00672326"/>
          <w:p w14:paraId="01BD93E7" w14:textId="77777777" w:rsidR="00CF7768" w:rsidRPr="00A30FB3" w:rsidRDefault="00CF7768" w:rsidP="00672326">
            <w:r w:rsidRPr="00A30FB3">
              <w:rPr>
                <w:u w:val="single"/>
              </w:rPr>
              <w:t xml:space="preserve">Theo </w:t>
            </w:r>
            <w:proofErr w:type="spellStart"/>
            <w:r w:rsidRPr="00A30FB3">
              <w:rPr>
                <w:u w:val="single"/>
              </w:rPr>
              <w:t>Geurts</w:t>
            </w:r>
            <w:proofErr w:type="spellEnd"/>
            <w:r w:rsidRPr="00A30FB3">
              <w:rPr>
                <w:u w:val="single"/>
              </w:rPr>
              <w:t>:</w:t>
            </w:r>
            <w:r w:rsidRPr="00A30FB3">
              <w:t xml:space="preserve"> I don’t like this. The original data retention specification was already problematic in 2013, and other work is currently ongoing re: the GDPR. As a practical matter, if we are going to collect data, which we are all doing, and there needs to be some form of retention, it should be meeting applicable law. If we have language from 2 years from 1 year---should just mention meeting applicable law. If data is collected and processed, it should be up to the provider to retain for the period allowed under applicable law. I would highly suggest we revise this language to that effect. Please don’t apply the waiver process—expensive and time-consuming.</w:t>
            </w:r>
          </w:p>
          <w:p w14:paraId="60DFB41F" w14:textId="77777777" w:rsidR="00CF7768" w:rsidRPr="00A30FB3" w:rsidRDefault="00CF7768" w:rsidP="00672326"/>
          <w:p w14:paraId="010DF3BE" w14:textId="77777777" w:rsidR="00CF7768" w:rsidRPr="00A30FB3" w:rsidRDefault="00CF7768" w:rsidP="00672326">
            <w:r w:rsidRPr="00A30FB3">
              <w:rPr>
                <w:u w:val="single"/>
              </w:rPr>
              <w:t xml:space="preserve">Lindsay Hamilton-Reed: </w:t>
            </w:r>
            <w:r w:rsidRPr="00A30FB3">
              <w:t>Agreed, Theo!</w:t>
            </w:r>
          </w:p>
          <w:p w14:paraId="0F4C686A" w14:textId="77777777" w:rsidR="00CF7768" w:rsidRPr="00A30FB3" w:rsidRDefault="00CF7768" w:rsidP="00672326"/>
          <w:p w14:paraId="014E5A51" w14:textId="77777777" w:rsidR="00CF7768" w:rsidRPr="00A30FB3" w:rsidRDefault="00CF7768" w:rsidP="00672326">
            <w:r w:rsidRPr="00A30FB3">
              <w:rPr>
                <w:u w:val="single"/>
              </w:rPr>
              <w:t xml:space="preserve">Theo </w:t>
            </w:r>
            <w:proofErr w:type="spellStart"/>
            <w:r w:rsidRPr="00A30FB3">
              <w:rPr>
                <w:u w:val="single"/>
              </w:rPr>
              <w:t>Geurts</w:t>
            </w:r>
            <w:proofErr w:type="spellEnd"/>
            <w:r w:rsidRPr="00A30FB3">
              <w:rPr>
                <w:u w:val="single"/>
              </w:rPr>
              <w:t>:</w:t>
            </w:r>
            <w:r w:rsidRPr="00A30FB3">
              <w:t xml:space="preserve"> I don’t think it’s the data collection that is the problem—we are all collecting data. The biggest issue is ICANN (or another third party) </w:t>
            </w:r>
            <w:r w:rsidRPr="00A30FB3">
              <w:lastRenderedPageBreak/>
              <w:t>obtaining that information—that is usually a no-go. That’s one of the big issues here. There’s a big difference between collecting data and making data available outside the provider/registrar and that’s the key problem with the entire thing.</w:t>
            </w:r>
          </w:p>
          <w:p w14:paraId="35EB900F" w14:textId="77777777" w:rsidR="00CF7768" w:rsidRPr="00A30FB3" w:rsidRDefault="00CF7768" w:rsidP="00672326"/>
          <w:p w14:paraId="29025B3E" w14:textId="77777777" w:rsidR="00CF7768" w:rsidRPr="00A30FB3" w:rsidRDefault="00CF7768" w:rsidP="00672326">
            <w:r w:rsidRPr="00A30FB3">
              <w:rPr>
                <w:u w:val="single"/>
              </w:rPr>
              <w:t xml:space="preserve">Vicky </w:t>
            </w:r>
            <w:proofErr w:type="spellStart"/>
            <w:r w:rsidRPr="00A30FB3">
              <w:rPr>
                <w:u w:val="single"/>
              </w:rPr>
              <w:t>Sheckler</w:t>
            </w:r>
            <w:proofErr w:type="spellEnd"/>
            <w:r w:rsidRPr="00A30FB3">
              <w:t xml:space="preserve">: at the p/p level.  ok if for affiliated pp to have data at registrar level in certain </w:t>
            </w:r>
            <w:proofErr w:type="spellStart"/>
            <w:r w:rsidRPr="00A30FB3">
              <w:t>scenarious</w:t>
            </w:r>
            <w:proofErr w:type="spellEnd"/>
          </w:p>
          <w:p w14:paraId="5A73214E" w14:textId="77777777" w:rsidR="00CF7768" w:rsidRPr="00A30FB3" w:rsidRDefault="00CF7768" w:rsidP="00672326"/>
          <w:p w14:paraId="0DD187A1" w14:textId="77777777" w:rsidR="00CF7768" w:rsidRPr="00A30FB3" w:rsidRDefault="00CF7768" w:rsidP="00672326">
            <w:r w:rsidRPr="00A30FB3">
              <w:rPr>
                <w:u w:val="single"/>
              </w:rPr>
              <w:t>Lindsay Hamilton-Reed:</w:t>
            </w:r>
            <w:r w:rsidRPr="00A30FB3">
              <w:t xml:space="preserve"> Well not really.  We have to bear in mind the purpose of a privacy provider.</w:t>
            </w:r>
          </w:p>
          <w:p w14:paraId="3A4CDA3F" w14:textId="77777777" w:rsidR="00CF7768" w:rsidRPr="00A30FB3" w:rsidRDefault="00CF7768" w:rsidP="00672326"/>
          <w:p w14:paraId="315D638D" w14:textId="77777777" w:rsidR="00CF7768" w:rsidRPr="00A30FB3" w:rsidRDefault="00CF7768" w:rsidP="00672326">
            <w:r w:rsidRPr="00A30FB3">
              <w:rPr>
                <w:u w:val="single"/>
              </w:rPr>
              <w:t xml:space="preserve">Vicky </w:t>
            </w:r>
            <w:proofErr w:type="spellStart"/>
            <w:r w:rsidRPr="00A30FB3">
              <w:rPr>
                <w:u w:val="single"/>
              </w:rPr>
              <w:t>Sheckler</w:t>
            </w:r>
            <w:proofErr w:type="spellEnd"/>
            <w:r w:rsidRPr="00A30FB3">
              <w:rPr>
                <w:u w:val="single"/>
              </w:rPr>
              <w:t>:</w:t>
            </w:r>
            <w:r w:rsidRPr="00A30FB3">
              <w:t xml:space="preserve"> we have already gone through in the PDP process areas where data needs to be disclosed.  in order to disclose the data, it needs to be collected and retained for some period of time</w:t>
            </w:r>
          </w:p>
          <w:p w14:paraId="66C0E8B2" w14:textId="77777777" w:rsidR="00CF7768" w:rsidRPr="00A30FB3" w:rsidRDefault="00CF7768" w:rsidP="00672326"/>
          <w:p w14:paraId="11ABD1A7" w14:textId="77777777" w:rsidR="00CF7768" w:rsidRPr="00A30FB3" w:rsidRDefault="00CF7768" w:rsidP="00672326">
            <w:r w:rsidRPr="00A30FB3">
              <w:rPr>
                <w:u w:val="single"/>
              </w:rPr>
              <w:t>Susan Kawaguchi:</w:t>
            </w:r>
            <w:r w:rsidRPr="00A30FB3">
              <w:t xml:space="preserve"> agree with Vicky</w:t>
            </w:r>
          </w:p>
          <w:p w14:paraId="0796B71B" w14:textId="77777777" w:rsidR="00CF7768" w:rsidRPr="00A30FB3" w:rsidRDefault="00CF7768" w:rsidP="00672326"/>
          <w:p w14:paraId="3BFB4C91" w14:textId="77777777" w:rsidR="00CF7768" w:rsidRPr="00A30FB3" w:rsidRDefault="00CF7768" w:rsidP="00672326">
            <w:r w:rsidRPr="00A30FB3">
              <w:t>Re: Specification 6</w:t>
            </w:r>
          </w:p>
          <w:p w14:paraId="32B534A3" w14:textId="77777777" w:rsidR="00CF7768" w:rsidRPr="00A30FB3" w:rsidRDefault="00CF7768" w:rsidP="00672326"/>
          <w:p w14:paraId="6CB12282" w14:textId="77777777" w:rsidR="00CF7768" w:rsidRPr="00A30FB3" w:rsidRDefault="00CF7768" w:rsidP="00672326">
            <w:r w:rsidRPr="00A30FB3">
              <w:rPr>
                <w:u w:val="single"/>
              </w:rPr>
              <w:t xml:space="preserve">Susan Kawaguchi: </w:t>
            </w:r>
            <w:r w:rsidRPr="00A30FB3">
              <w:t>OK with these data points</w:t>
            </w:r>
          </w:p>
          <w:p w14:paraId="6285D880" w14:textId="77777777" w:rsidR="00CF7768" w:rsidRPr="00A30FB3" w:rsidRDefault="00CF7768" w:rsidP="00672326"/>
          <w:p w14:paraId="43CF8955" w14:textId="77777777" w:rsidR="00CF7768" w:rsidRPr="00A30FB3" w:rsidRDefault="00CF7768" w:rsidP="00672326">
            <w:r w:rsidRPr="00A30FB3">
              <w:rPr>
                <w:u w:val="single"/>
              </w:rPr>
              <w:t xml:space="preserve">Vicky </w:t>
            </w:r>
            <w:proofErr w:type="spellStart"/>
            <w:r w:rsidRPr="00A30FB3">
              <w:rPr>
                <w:u w:val="single"/>
              </w:rPr>
              <w:t>Sheckler</w:t>
            </w:r>
            <w:proofErr w:type="spellEnd"/>
            <w:r w:rsidRPr="00A30FB3">
              <w:rPr>
                <w:u w:val="single"/>
              </w:rPr>
              <w:t xml:space="preserve">: </w:t>
            </w:r>
            <w:r w:rsidRPr="00A30FB3">
              <w:t>Ok w/data points</w:t>
            </w:r>
          </w:p>
          <w:p w14:paraId="0BD44BC3" w14:textId="77777777" w:rsidR="00CF7768" w:rsidRPr="00A30FB3" w:rsidRDefault="00CF7768" w:rsidP="00672326"/>
          <w:p w14:paraId="6A6B2F0F" w14:textId="77777777" w:rsidR="00CF7768" w:rsidRPr="00A30FB3" w:rsidRDefault="00CF7768" w:rsidP="00672326">
            <w:r w:rsidRPr="00A30FB3">
              <w:rPr>
                <w:u w:val="single"/>
              </w:rPr>
              <w:lastRenderedPageBreak/>
              <w:t xml:space="preserve">Theo </w:t>
            </w:r>
            <w:proofErr w:type="spellStart"/>
            <w:r w:rsidRPr="00A30FB3">
              <w:rPr>
                <w:u w:val="single"/>
              </w:rPr>
              <w:t>Geurts</w:t>
            </w:r>
            <w:proofErr w:type="spellEnd"/>
            <w:r w:rsidRPr="00A30FB3">
              <w:rPr>
                <w:u w:val="single"/>
              </w:rPr>
              <w:t>:</w:t>
            </w:r>
            <w:r w:rsidRPr="00A30FB3">
              <w:t xml:space="preserve"> still processing</w:t>
            </w:r>
          </w:p>
          <w:p w14:paraId="2CF94DA2" w14:textId="77777777" w:rsidR="00CF7768" w:rsidRPr="00A30FB3" w:rsidRDefault="00CF7768" w:rsidP="00672326"/>
          <w:p w14:paraId="73240B00" w14:textId="77777777" w:rsidR="00CF7768" w:rsidRPr="00A30FB3" w:rsidRDefault="00CF7768" w:rsidP="00672326">
            <w:r w:rsidRPr="00A30FB3">
              <w:rPr>
                <w:u w:val="single"/>
              </w:rPr>
              <w:t>Carlton Samuels</w:t>
            </w:r>
            <w:r w:rsidRPr="00A30FB3">
              <w:t xml:space="preserve">: I have always believed the waiver process was </w:t>
            </w:r>
            <w:proofErr w:type="spellStart"/>
            <w:r w:rsidRPr="00A30FB3">
              <w:t>makework</w:t>
            </w:r>
            <w:proofErr w:type="spellEnd"/>
            <w:r w:rsidRPr="00A30FB3">
              <w:t xml:space="preserve"> for lawyers.  Why not align it to "applicable law" and stop making these folks scofflaws in their own country</w:t>
            </w:r>
          </w:p>
          <w:p w14:paraId="48C70652" w14:textId="77777777" w:rsidR="00CF7768" w:rsidRPr="00A30FB3" w:rsidRDefault="00CF7768" w:rsidP="00672326"/>
          <w:p w14:paraId="164A536E" w14:textId="77777777" w:rsidR="00CF7768" w:rsidRPr="00A30FB3" w:rsidRDefault="00CF7768" w:rsidP="00672326"/>
          <w:p w14:paraId="3C6F5C0F" w14:textId="77777777" w:rsidR="00CF7768" w:rsidRPr="00A30FB3" w:rsidRDefault="00CF7768" w:rsidP="00672326"/>
          <w:p w14:paraId="172B6EAA" w14:textId="77777777" w:rsidR="00CF7768" w:rsidRPr="00A30FB3" w:rsidRDefault="00CF7768" w:rsidP="00672326"/>
        </w:tc>
        <w:tc>
          <w:tcPr>
            <w:tcW w:w="3923" w:type="dxa"/>
            <w:shd w:val="clear" w:color="auto" w:fill="auto"/>
          </w:tcPr>
          <w:p w14:paraId="510D1BC0" w14:textId="77777777" w:rsidR="0022031A" w:rsidRDefault="0022031A" w:rsidP="0022031A"/>
          <w:p w14:paraId="352BA986" w14:textId="77777777" w:rsidR="0022031A" w:rsidRDefault="0022031A" w:rsidP="0022031A">
            <w:r>
              <w:t xml:space="preserve">Keep language as is for now in draft PPAA pending conclusion of GDPR work.  </w:t>
            </w:r>
          </w:p>
          <w:p w14:paraId="6A07F78A" w14:textId="77777777" w:rsidR="0022031A" w:rsidRDefault="0022031A" w:rsidP="0022031A"/>
          <w:p w14:paraId="75FAAEA6" w14:textId="4EB05F4B" w:rsidR="0022031A" w:rsidRDefault="0022031A" w:rsidP="0022031A">
            <w:r>
              <w:t>If a solution is developed in GDPR before PPAA is finalized, amend PPAA accordingly.</w:t>
            </w:r>
          </w:p>
          <w:p w14:paraId="1AA26B0C" w14:textId="77777777" w:rsidR="0022031A" w:rsidRDefault="0022031A" w:rsidP="0022031A"/>
          <w:p w14:paraId="7841209C" w14:textId="05749CF3" w:rsidR="00CF7768" w:rsidRPr="00A30FB3" w:rsidRDefault="0022031A" w:rsidP="0022031A">
            <w:pPr>
              <w:rPr>
                <w:b/>
              </w:rPr>
            </w:pPr>
            <w:r>
              <w:lastRenderedPageBreak/>
              <w:t>If GDPR work is not finished when PPAA is finalized, initiate proceedings to amend the PPAA to reflect the results of the GDPR.</w:t>
            </w:r>
          </w:p>
        </w:tc>
      </w:tr>
      <w:tr w:rsidR="00CF7768" w:rsidRPr="00A30FB3" w14:paraId="1D48AA8D" w14:textId="77777777" w:rsidTr="007E50A8">
        <w:tc>
          <w:tcPr>
            <w:tcW w:w="1241" w:type="dxa"/>
            <w:shd w:val="clear" w:color="auto" w:fill="auto"/>
          </w:tcPr>
          <w:p w14:paraId="3A2008E3" w14:textId="5B972902" w:rsidR="00CF7768" w:rsidRPr="00A30FB3" w:rsidRDefault="00CF7768" w:rsidP="00672326"/>
        </w:tc>
        <w:tc>
          <w:tcPr>
            <w:tcW w:w="1790" w:type="dxa"/>
            <w:shd w:val="clear" w:color="auto" w:fill="auto"/>
          </w:tcPr>
          <w:p w14:paraId="7A01B49E" w14:textId="77777777" w:rsidR="00CF7768" w:rsidRPr="00A30FB3" w:rsidRDefault="00CF7768" w:rsidP="00672326"/>
        </w:tc>
        <w:tc>
          <w:tcPr>
            <w:tcW w:w="1912" w:type="dxa"/>
            <w:shd w:val="clear" w:color="auto" w:fill="auto"/>
          </w:tcPr>
          <w:p w14:paraId="2E7B0E88" w14:textId="77777777" w:rsidR="00CF7768" w:rsidRPr="00A30FB3" w:rsidRDefault="00CF7768" w:rsidP="00672326"/>
        </w:tc>
        <w:tc>
          <w:tcPr>
            <w:tcW w:w="4084" w:type="dxa"/>
            <w:shd w:val="clear" w:color="auto" w:fill="auto"/>
          </w:tcPr>
          <w:p w14:paraId="41E93812" w14:textId="77777777" w:rsidR="00CF7768" w:rsidRPr="00A30FB3" w:rsidRDefault="00CF7768" w:rsidP="00672326"/>
        </w:tc>
        <w:tc>
          <w:tcPr>
            <w:tcW w:w="3923" w:type="dxa"/>
            <w:shd w:val="clear" w:color="auto" w:fill="auto"/>
          </w:tcPr>
          <w:p w14:paraId="2B18DB03" w14:textId="77777777" w:rsidR="00CF7768" w:rsidRPr="00A30FB3" w:rsidRDefault="00CF7768" w:rsidP="00672326">
            <w:pPr>
              <w:rPr>
                <w:b/>
              </w:rPr>
            </w:pPr>
            <w:r w:rsidRPr="00A30FB3">
              <w:rPr>
                <w:b/>
              </w:rPr>
              <w:t>Feedback Received at 5 Sept Meeting:</w:t>
            </w:r>
          </w:p>
          <w:p w14:paraId="7396DF13" w14:textId="77777777" w:rsidR="00CF7768" w:rsidRPr="00A30FB3" w:rsidRDefault="00CF7768" w:rsidP="00672326">
            <w:pPr>
              <w:rPr>
                <w:b/>
              </w:rPr>
            </w:pPr>
          </w:p>
          <w:p w14:paraId="7DF8C5B3" w14:textId="77777777" w:rsidR="00CF7768" w:rsidRPr="00A30FB3" w:rsidRDefault="00CF7768" w:rsidP="00672326">
            <w:r w:rsidRPr="00A30FB3">
              <w:t xml:space="preserve">Margie Milam: </w:t>
            </w:r>
            <w:proofErr w:type="gramStart"/>
            <w:r w:rsidRPr="00A30FB3">
              <w:t>So</w:t>
            </w:r>
            <w:proofErr w:type="gramEnd"/>
            <w:r w:rsidRPr="00A30FB3">
              <w:t xml:space="preserve"> this is consistent with the RAA waivers? Ok if so.</w:t>
            </w:r>
          </w:p>
          <w:p w14:paraId="4BC55026" w14:textId="77777777" w:rsidR="00CF7768" w:rsidRPr="00A30FB3" w:rsidRDefault="00CF7768" w:rsidP="00672326"/>
          <w:p w14:paraId="6BA09FD6" w14:textId="77777777" w:rsidR="00CF7768" w:rsidRPr="00A30FB3" w:rsidRDefault="00CF7768" w:rsidP="00672326">
            <w:r w:rsidRPr="00A30FB3">
              <w:rPr>
                <w:b/>
              </w:rPr>
              <w:t xml:space="preserve">Vlad </w:t>
            </w:r>
            <w:proofErr w:type="spellStart"/>
            <w:r w:rsidRPr="00A30FB3">
              <w:rPr>
                <w:b/>
              </w:rPr>
              <w:t>Dinculescu</w:t>
            </w:r>
            <w:proofErr w:type="spellEnd"/>
            <w:r w:rsidRPr="00A30FB3">
              <w:t xml:space="preserve">: I support to have it reviewed once the GDPR work is done. However, in preparation for a potential no workaround from the community, can we temporarily insert the clause </w:t>
            </w:r>
            <w:proofErr w:type="gramStart"/>
            <w:r w:rsidRPr="00A30FB3">
              <w:t>stating</w:t>
            </w:r>
            <w:proofErr w:type="gramEnd"/>
            <w:r w:rsidRPr="00A30FB3">
              <w:t xml:space="preserve"> "retain the data for as long as applicable in their jurisdiction"?</w:t>
            </w:r>
          </w:p>
          <w:p w14:paraId="0C20D360" w14:textId="77777777" w:rsidR="00CF7768" w:rsidRPr="00A30FB3" w:rsidRDefault="00CF7768" w:rsidP="00672326"/>
          <w:p w14:paraId="6259BC73" w14:textId="77777777" w:rsidR="00CF7768" w:rsidRPr="00A30FB3" w:rsidRDefault="00CF7768" w:rsidP="00672326">
            <w:r w:rsidRPr="00A30FB3">
              <w:rPr>
                <w:b/>
              </w:rPr>
              <w:t xml:space="preserve">Volker </w:t>
            </w:r>
            <w:proofErr w:type="spellStart"/>
            <w:r w:rsidRPr="00A30FB3">
              <w:rPr>
                <w:b/>
              </w:rPr>
              <w:t>Greimann</w:t>
            </w:r>
            <w:proofErr w:type="spellEnd"/>
            <w:r w:rsidRPr="00A30FB3">
              <w:rPr>
                <w:b/>
              </w:rPr>
              <w:t xml:space="preserve">: </w:t>
            </w:r>
            <w:r w:rsidRPr="00A30FB3">
              <w:t xml:space="preserve">I fully agree that we should reference to the GDPR work and say that anything that we come up with should be modified by results of that work. Could we refer </w:t>
            </w:r>
            <w:r w:rsidRPr="00A30FB3">
              <w:lastRenderedPageBreak/>
              <w:t xml:space="preserve">back to any waivers that </w:t>
            </w:r>
            <w:proofErr w:type="spellStart"/>
            <w:r w:rsidRPr="00A30FB3">
              <w:t>Rrs</w:t>
            </w:r>
            <w:proofErr w:type="spellEnd"/>
            <w:r w:rsidRPr="00A30FB3">
              <w:t xml:space="preserve"> in a certain jurisdiction have already obtained and assume that these could also apply to PP providers in the same jurisdictions?</w:t>
            </w:r>
          </w:p>
          <w:p w14:paraId="279F78EC" w14:textId="77777777" w:rsidR="00CF7768" w:rsidRPr="00A30FB3" w:rsidRDefault="00CF7768" w:rsidP="00672326"/>
          <w:p w14:paraId="2BEEB3DA" w14:textId="77777777" w:rsidR="00CF7768" w:rsidRPr="00A30FB3" w:rsidRDefault="00CF7768" w:rsidP="00672326">
            <w:r w:rsidRPr="00A30FB3">
              <w:rPr>
                <w:b/>
              </w:rPr>
              <w:t xml:space="preserve">Margie Milam: </w:t>
            </w:r>
            <w:r w:rsidRPr="00A30FB3">
              <w:t>It would make sense for ICANN to publish (instead of Vlad’s proposed language) for every country what the period is (some sort of grid of countries)</w:t>
            </w:r>
          </w:p>
          <w:p w14:paraId="7F767BEC" w14:textId="77777777" w:rsidR="00CF7768" w:rsidRPr="00A30FB3" w:rsidRDefault="00CF7768" w:rsidP="00672326"/>
          <w:p w14:paraId="7F7D02BE" w14:textId="77777777" w:rsidR="00CF7768" w:rsidRPr="00A30FB3" w:rsidRDefault="00CF7768" w:rsidP="00672326">
            <w:r w:rsidRPr="00A30FB3">
              <w:rPr>
                <w:b/>
              </w:rPr>
              <w:t xml:space="preserve">Steve Metalitz: </w:t>
            </w:r>
            <w:r w:rsidRPr="00A30FB3">
              <w:t>Since this is an LEA issue, it would be good to get PSWG input on this in the near future. Also, not sure we should assume that the waiver for RR should be blindly applied to PP—I would have some caution about that.</w:t>
            </w:r>
          </w:p>
          <w:p w14:paraId="79DF3685" w14:textId="77777777" w:rsidR="00CF7768" w:rsidRPr="00A30FB3" w:rsidRDefault="00CF7768" w:rsidP="00672326">
            <w:pPr>
              <w:rPr>
                <w:b/>
              </w:rPr>
            </w:pPr>
          </w:p>
        </w:tc>
        <w:tc>
          <w:tcPr>
            <w:tcW w:w="3923" w:type="dxa"/>
            <w:shd w:val="clear" w:color="auto" w:fill="auto"/>
          </w:tcPr>
          <w:p w14:paraId="033B8421" w14:textId="77777777" w:rsidR="00CF7768" w:rsidRPr="00A30FB3" w:rsidRDefault="00CF7768" w:rsidP="00672326"/>
        </w:tc>
      </w:tr>
      <w:tr w:rsidR="00CF7768" w:rsidRPr="00A30FB3" w14:paraId="6E3AE426" w14:textId="77777777" w:rsidTr="004B40BB">
        <w:tc>
          <w:tcPr>
            <w:tcW w:w="1241" w:type="dxa"/>
            <w:shd w:val="clear" w:color="auto" w:fill="auto"/>
          </w:tcPr>
          <w:p w14:paraId="6FD89EAC" w14:textId="152EECBA" w:rsidR="00CF7768" w:rsidRPr="00A30FB3" w:rsidRDefault="005D50C1" w:rsidP="00672326">
            <w:r>
              <w:lastRenderedPageBreak/>
              <w:t>3</w:t>
            </w:r>
          </w:p>
        </w:tc>
        <w:tc>
          <w:tcPr>
            <w:tcW w:w="1790" w:type="dxa"/>
            <w:shd w:val="clear" w:color="auto" w:fill="auto"/>
          </w:tcPr>
          <w:p w14:paraId="644C1216" w14:textId="77777777" w:rsidR="00CF7768" w:rsidRPr="00A30FB3" w:rsidRDefault="00CF7768" w:rsidP="00672326">
            <w:r w:rsidRPr="00A30FB3">
              <w:t>3.5.4.1, 3.5.4.17</w:t>
            </w:r>
          </w:p>
        </w:tc>
        <w:tc>
          <w:tcPr>
            <w:tcW w:w="1912" w:type="dxa"/>
            <w:shd w:val="clear" w:color="auto" w:fill="auto"/>
          </w:tcPr>
          <w:p w14:paraId="555EBB85" w14:textId="77777777" w:rsidR="00CF7768" w:rsidRPr="00A30FB3" w:rsidRDefault="00CF7768" w:rsidP="00672326">
            <w:r w:rsidRPr="00A30FB3">
              <w:t>Cancellation (PP Service and Domain Name)</w:t>
            </w:r>
          </w:p>
        </w:tc>
        <w:tc>
          <w:tcPr>
            <w:tcW w:w="4084" w:type="dxa"/>
            <w:shd w:val="clear" w:color="auto" w:fill="auto"/>
          </w:tcPr>
          <w:p w14:paraId="2E4CBBE1" w14:textId="77777777" w:rsidR="00CF7768" w:rsidRPr="00A30FB3" w:rsidRDefault="00CF7768" w:rsidP="00672326">
            <w:pPr>
              <w:pStyle w:val="ListParagraph"/>
              <w:numPr>
                <w:ilvl w:val="0"/>
                <w:numId w:val="1"/>
              </w:numPr>
            </w:pPr>
            <w:r w:rsidRPr="00A30FB3">
              <w:t xml:space="preserve">Please advise on cancellation process.  </w:t>
            </w:r>
          </w:p>
          <w:p w14:paraId="50D0630E" w14:textId="77777777" w:rsidR="00CF7768" w:rsidRPr="00A30FB3" w:rsidRDefault="00CF7768" w:rsidP="00672326">
            <w:pPr>
              <w:pStyle w:val="ListParagraph"/>
              <w:numPr>
                <w:ilvl w:val="0"/>
                <w:numId w:val="1"/>
              </w:numPr>
            </w:pPr>
            <w:r w:rsidRPr="00A30FB3">
              <w:t>How would a Service Provider prohibit cancellation of a domain name that is the subject of a UDRP dispute?</w:t>
            </w:r>
          </w:p>
        </w:tc>
        <w:tc>
          <w:tcPr>
            <w:tcW w:w="3923" w:type="dxa"/>
            <w:shd w:val="clear" w:color="auto" w:fill="auto"/>
          </w:tcPr>
          <w:p w14:paraId="6574F264" w14:textId="77777777" w:rsidR="00CF7768" w:rsidRPr="00A30FB3" w:rsidRDefault="00CF7768" w:rsidP="00672326">
            <w:pPr>
              <w:rPr>
                <w:b/>
              </w:rPr>
            </w:pPr>
            <w:r w:rsidRPr="00A30FB3">
              <w:rPr>
                <w:b/>
              </w:rPr>
              <w:t>Part A:</w:t>
            </w:r>
          </w:p>
          <w:p w14:paraId="5283CC28" w14:textId="77777777" w:rsidR="00CF7768" w:rsidRPr="00A30FB3" w:rsidRDefault="00CF7768" w:rsidP="00672326">
            <w:pPr>
              <w:rPr>
                <w:color w:val="1F497D"/>
              </w:rPr>
            </w:pPr>
            <w:r w:rsidRPr="00A30FB3">
              <w:t>On list (31 July):</w:t>
            </w:r>
            <w:r w:rsidRPr="00A30FB3">
              <w:rPr>
                <w:color w:val="1F497D"/>
              </w:rPr>
              <w:t xml:space="preserve"> I agree that the reference to cancellation of the registered name agreement should probably be dropped from 3.5.4.1, as that action has to be taken by the registrar.  {Perhaps the provider should be required to notify the registrar immediately of the breach, simultaneously with supplying it with the “actual” contact information for </w:t>
            </w:r>
            <w:r w:rsidRPr="00A30FB3">
              <w:rPr>
                <w:color w:val="1F497D"/>
              </w:rPr>
              <w:lastRenderedPageBreak/>
              <w:t>the customer so that the latter can be published.} </w:t>
            </w:r>
          </w:p>
          <w:p w14:paraId="253BEE9A" w14:textId="77777777" w:rsidR="00CF7768" w:rsidRPr="00A30FB3" w:rsidRDefault="00CF7768" w:rsidP="00672326">
            <w:pPr>
              <w:rPr>
                <w:color w:val="1F497D"/>
              </w:rPr>
            </w:pPr>
          </w:p>
          <w:p w14:paraId="073D5C25" w14:textId="77777777" w:rsidR="00CF7768" w:rsidRPr="00A30FB3" w:rsidRDefault="00CF7768" w:rsidP="00672326">
            <w:pPr>
              <w:rPr>
                <w:b/>
                <w:color w:val="1F497D"/>
              </w:rPr>
            </w:pPr>
            <w:r w:rsidRPr="00A30FB3">
              <w:rPr>
                <w:b/>
                <w:color w:val="1F497D"/>
              </w:rPr>
              <w:t>1 August IRT call:</w:t>
            </w:r>
          </w:p>
          <w:p w14:paraId="5804B4E2" w14:textId="77777777" w:rsidR="00CF7768" w:rsidRPr="00A30FB3" w:rsidRDefault="00CF7768" w:rsidP="00672326">
            <w:pPr>
              <w:rPr>
                <w:color w:val="1F497D"/>
              </w:rPr>
            </w:pPr>
            <w:r w:rsidRPr="00A30FB3">
              <w:rPr>
                <w:color w:val="1F497D"/>
              </w:rPr>
              <w:t xml:space="preserve">Point 1: This works pretty well for </w:t>
            </w:r>
            <w:proofErr w:type="spellStart"/>
            <w:r w:rsidRPr="00A30FB3">
              <w:rPr>
                <w:color w:val="1F497D"/>
              </w:rPr>
              <w:t>Rrs</w:t>
            </w:r>
            <w:proofErr w:type="spellEnd"/>
            <w:r w:rsidRPr="00A30FB3">
              <w:rPr>
                <w:color w:val="1F497D"/>
              </w:rPr>
              <w:t xml:space="preserve"> and affiliates, but not sure how a TPP would be able to do this.</w:t>
            </w:r>
          </w:p>
          <w:p w14:paraId="479C19D8" w14:textId="77777777" w:rsidR="00CF7768" w:rsidRPr="00A30FB3" w:rsidRDefault="00CF7768" w:rsidP="00672326">
            <w:pPr>
              <w:rPr>
                <w:color w:val="1F497D"/>
              </w:rPr>
            </w:pPr>
          </w:p>
          <w:p w14:paraId="4A9841D8" w14:textId="77777777" w:rsidR="00CF7768" w:rsidRPr="00A30FB3" w:rsidRDefault="00CF7768" w:rsidP="00672326">
            <w:pPr>
              <w:rPr>
                <w:color w:val="1F497D"/>
              </w:rPr>
            </w:pPr>
            <w:r w:rsidRPr="00A30FB3">
              <w:rPr>
                <w:color w:val="1F497D"/>
              </w:rPr>
              <w:t xml:space="preserve">Point 2:  I agree with point 1 w/r/t the domain name registration. Maybe we need to add—basis for immediate notification to registrar for invocation of the RAA provision (re: cancellation). If the Rr did not cancel they would have a compliance issue. </w:t>
            </w:r>
            <w:proofErr w:type="gramStart"/>
            <w:r w:rsidRPr="00A30FB3">
              <w:rPr>
                <w:color w:val="1F497D"/>
              </w:rPr>
              <w:t>So</w:t>
            </w:r>
            <w:proofErr w:type="gramEnd"/>
            <w:r w:rsidRPr="00A30FB3">
              <w:rPr>
                <w:color w:val="1F497D"/>
              </w:rPr>
              <w:t xml:space="preserve"> drop the last 5 words and substitute requirement to immediately notify registrar.</w:t>
            </w:r>
          </w:p>
          <w:p w14:paraId="4E22D528" w14:textId="77777777" w:rsidR="00CF7768" w:rsidRPr="00A30FB3" w:rsidRDefault="00CF7768" w:rsidP="00672326">
            <w:pPr>
              <w:rPr>
                <w:color w:val="1F497D"/>
              </w:rPr>
            </w:pPr>
          </w:p>
          <w:p w14:paraId="295849A2" w14:textId="77777777" w:rsidR="00CF7768" w:rsidRPr="00A30FB3" w:rsidRDefault="00CF7768" w:rsidP="00672326">
            <w:r w:rsidRPr="00A30FB3">
              <w:rPr>
                <w:color w:val="1F497D"/>
              </w:rPr>
              <w:t xml:space="preserve">Point 3 (chat): </w:t>
            </w:r>
            <w:r w:rsidRPr="00A30FB3">
              <w:t>Remove all references to the registration of the domain</w:t>
            </w:r>
          </w:p>
          <w:p w14:paraId="3B0D871F" w14:textId="77777777" w:rsidR="00CF7768" w:rsidRPr="00A30FB3" w:rsidRDefault="00CF7768" w:rsidP="00672326"/>
          <w:p w14:paraId="11057DBE" w14:textId="77777777" w:rsidR="00CF7768" w:rsidRPr="00A30FB3" w:rsidRDefault="00CF7768" w:rsidP="00672326">
            <w:r w:rsidRPr="00A30FB3">
              <w:t>Point 4: I agree with point 2. There will be some sort of EPP connection in place for affiliates; for non-</w:t>
            </w:r>
            <w:proofErr w:type="gramStart"/>
            <w:r w:rsidRPr="00A30FB3">
              <w:t>affiliates</w:t>
            </w:r>
            <w:proofErr w:type="gramEnd"/>
            <w:r w:rsidRPr="00A30FB3">
              <w:t xml:space="preserve"> we should expand a bit re: the costs attached, that allows Rr to bill the providers</w:t>
            </w:r>
          </w:p>
          <w:p w14:paraId="1AB58E75" w14:textId="77777777" w:rsidR="00CF7768" w:rsidRPr="00A30FB3" w:rsidRDefault="00CF7768" w:rsidP="00672326"/>
          <w:p w14:paraId="4226ED54" w14:textId="77777777" w:rsidR="00CF7768" w:rsidRPr="00A30FB3" w:rsidRDefault="00CF7768" w:rsidP="00672326">
            <w:pPr>
              <w:rPr>
                <w:color w:val="1F497D"/>
              </w:rPr>
            </w:pPr>
            <w:r w:rsidRPr="00A30FB3">
              <w:t xml:space="preserve">Point 5: Agree with Steve (point 2).  The P/P provider is limited to </w:t>
            </w:r>
            <w:r w:rsidRPr="00A30FB3">
              <w:lastRenderedPageBreak/>
              <w:t>suspending the services it provides to its customer.</w:t>
            </w:r>
          </w:p>
          <w:p w14:paraId="6A6B8CA6" w14:textId="77777777" w:rsidR="00CF7768" w:rsidRPr="00A30FB3" w:rsidRDefault="00CF7768" w:rsidP="00672326">
            <w:pPr>
              <w:rPr>
                <w:b/>
                <w:color w:val="1F497D"/>
              </w:rPr>
            </w:pPr>
          </w:p>
          <w:p w14:paraId="3AFFB40A" w14:textId="77777777" w:rsidR="00CF7768" w:rsidRPr="00A30FB3" w:rsidRDefault="00CF7768" w:rsidP="00672326">
            <w:pPr>
              <w:rPr>
                <w:b/>
                <w:color w:val="1F497D"/>
              </w:rPr>
            </w:pPr>
            <w:r w:rsidRPr="00A30FB3">
              <w:rPr>
                <w:b/>
                <w:color w:val="1F497D"/>
              </w:rPr>
              <w:t>(group asked about the recommendation to notify the registrar)</w:t>
            </w:r>
          </w:p>
          <w:p w14:paraId="7EAAC782" w14:textId="77777777" w:rsidR="00CF7768" w:rsidRPr="00A30FB3" w:rsidRDefault="00CF7768" w:rsidP="00672326">
            <w:pPr>
              <w:rPr>
                <w:b/>
                <w:color w:val="1F497D"/>
              </w:rPr>
            </w:pPr>
          </w:p>
          <w:p w14:paraId="78B4CB4C" w14:textId="77777777" w:rsidR="00CF7768" w:rsidRPr="00A30FB3" w:rsidRDefault="00CF7768" w:rsidP="00672326">
            <w:r w:rsidRPr="00A30FB3">
              <w:rPr>
                <w:color w:val="1F497D"/>
              </w:rPr>
              <w:t xml:space="preserve">Point 6: </w:t>
            </w:r>
            <w:r w:rsidRPr="00A30FB3">
              <w:t>if I am understanding this proposal, customers will be allowed approximately 30 days before a domain name will be suspended. 15 for p/p and 15 for registrar.</w:t>
            </w:r>
          </w:p>
          <w:p w14:paraId="4AE8133A" w14:textId="77777777" w:rsidR="00CF7768" w:rsidRPr="00A30FB3" w:rsidRDefault="00CF7768" w:rsidP="00672326"/>
          <w:p w14:paraId="44367236" w14:textId="77777777" w:rsidR="00CF7768" w:rsidRPr="00A30FB3" w:rsidRDefault="00CF7768" w:rsidP="00672326">
            <w:r w:rsidRPr="00A30FB3">
              <w:t>Point 7: Please clarify if Point 6 is what we are proposing.</w:t>
            </w:r>
          </w:p>
          <w:p w14:paraId="77C848CC" w14:textId="77777777" w:rsidR="00CF7768" w:rsidRPr="00A30FB3" w:rsidRDefault="00CF7768" w:rsidP="00672326"/>
          <w:p w14:paraId="599DA960" w14:textId="77777777" w:rsidR="00CF7768" w:rsidRPr="00A30FB3" w:rsidRDefault="00CF7768" w:rsidP="00672326">
            <w:r w:rsidRPr="00A30FB3">
              <w:t xml:space="preserve">Point 8: (Re: point 6) That would be unfortunate and we should try to avoid a second bite at the apple.  Especially for affiliated providers that seems unfair.  Then you have someone who gives false info and because they used an affiliate provider they get an extra 15 days. We should try to avoid that outcome. But I don’t see this </w:t>
            </w:r>
            <w:proofErr w:type="gramStart"/>
            <w:r w:rsidRPr="00A30FB3">
              <w:t>15 day</w:t>
            </w:r>
            <w:proofErr w:type="gramEnd"/>
            <w:r w:rsidRPr="00A30FB3">
              <w:t xml:space="preserve"> provision as necessarily a floor. Both the provider and the registrar could have a shorter period.</w:t>
            </w:r>
          </w:p>
          <w:p w14:paraId="1077BE0A" w14:textId="77777777" w:rsidR="00CF7768" w:rsidRPr="00A30FB3" w:rsidRDefault="00CF7768" w:rsidP="00672326"/>
          <w:p w14:paraId="5CC24A44" w14:textId="77777777" w:rsidR="00CF7768" w:rsidRPr="00A30FB3" w:rsidRDefault="00CF7768" w:rsidP="00672326">
            <w:r w:rsidRPr="00A30FB3">
              <w:t xml:space="preserve">Point 9: re: point 6: I understand why it is convenient to pull from the RAA </w:t>
            </w:r>
            <w:r w:rsidRPr="00A30FB3">
              <w:lastRenderedPageBreak/>
              <w:t xml:space="preserve">but in this </w:t>
            </w:r>
            <w:proofErr w:type="gramStart"/>
            <w:r w:rsidRPr="00A30FB3">
              <w:t>case</w:t>
            </w:r>
            <w:proofErr w:type="gramEnd"/>
            <w:r w:rsidRPr="00A30FB3">
              <w:t xml:space="preserve"> we are making the period far too long. I believe in our instance if we are told info is inaccurate we provide customer several days (maybe 3) to correct that info, and then service would be removed, info would be restored and then it would become a registrar matter and they could cancel/suspend the name itself. We could do something similar here to keep it more efficient and give customer incentive to correct the info and keeps PP provider and Rr actions separate and compartmentalized.</w:t>
            </w:r>
          </w:p>
          <w:p w14:paraId="24A7FB3B" w14:textId="77777777" w:rsidR="00CF7768" w:rsidRPr="00A30FB3" w:rsidRDefault="00CF7768" w:rsidP="00672326"/>
          <w:p w14:paraId="5B5DC8D2" w14:textId="77777777" w:rsidR="00CF7768" w:rsidRPr="00A30FB3" w:rsidRDefault="00CF7768" w:rsidP="00672326">
            <w:r w:rsidRPr="00A30FB3">
              <w:t>Point 10: re point 6 I agree that we should not add time to this process</w:t>
            </w:r>
          </w:p>
          <w:p w14:paraId="37EDF795" w14:textId="77777777" w:rsidR="00CF7768" w:rsidRPr="00A30FB3" w:rsidRDefault="00CF7768" w:rsidP="00672326"/>
          <w:p w14:paraId="3F3FDA0F" w14:textId="77777777" w:rsidR="00CF7768" w:rsidRPr="00A30FB3" w:rsidRDefault="00CF7768" w:rsidP="00672326">
            <w:r w:rsidRPr="00A30FB3">
              <w:t xml:space="preserve">Point 11: sounds like we need to clarify more </w:t>
            </w:r>
            <w:proofErr w:type="spellStart"/>
            <w:r w:rsidRPr="00A30FB3">
              <w:t>consisely</w:t>
            </w:r>
            <w:proofErr w:type="spellEnd"/>
            <w:r w:rsidRPr="00A30FB3">
              <w:t xml:space="preserve"> that upon uncorrected false </w:t>
            </w:r>
            <w:proofErr w:type="spellStart"/>
            <w:r w:rsidRPr="00A30FB3">
              <w:t>whois</w:t>
            </w:r>
            <w:proofErr w:type="spellEnd"/>
            <w:r w:rsidRPr="00A30FB3">
              <w:t xml:space="preserve">, we need an explicit obligation to cancel p/p service. </w:t>
            </w:r>
          </w:p>
          <w:p w14:paraId="0F9D3D81" w14:textId="77777777" w:rsidR="00CF7768" w:rsidRPr="00A30FB3" w:rsidRDefault="00CF7768" w:rsidP="00672326"/>
          <w:p w14:paraId="1E4D3F5A" w14:textId="77777777" w:rsidR="00CF7768" w:rsidRPr="00A30FB3" w:rsidRDefault="00CF7768" w:rsidP="00672326">
            <w:r w:rsidRPr="00A30FB3">
              <w:t xml:space="preserve">Point 12: The intention of the PDP was not to extend </w:t>
            </w:r>
            <w:proofErr w:type="gramStart"/>
            <w:r w:rsidRPr="00A30FB3">
              <w:t>this..</w:t>
            </w:r>
            <w:proofErr w:type="gramEnd"/>
            <w:r w:rsidRPr="00A30FB3">
              <w:t xml:space="preserve"> different registrars do things differently, so long as it is within the parameters. The intention wasn’t to give anyone 30 days.</w:t>
            </w:r>
          </w:p>
          <w:p w14:paraId="14843019" w14:textId="77777777" w:rsidR="00CF7768" w:rsidRPr="00A30FB3" w:rsidRDefault="00CF7768" w:rsidP="00672326"/>
          <w:p w14:paraId="2E35DEBD" w14:textId="77777777" w:rsidR="00CF7768" w:rsidRPr="00A30FB3" w:rsidRDefault="00CF7768" w:rsidP="00672326">
            <w:r w:rsidRPr="00A30FB3">
              <w:lastRenderedPageBreak/>
              <w:t>Point 13: agree re: timing</w:t>
            </w:r>
          </w:p>
          <w:p w14:paraId="63AEC037" w14:textId="77777777" w:rsidR="00CF7768" w:rsidRPr="00A30FB3" w:rsidRDefault="00CF7768" w:rsidP="00672326"/>
          <w:p w14:paraId="4210E9BA" w14:textId="77777777" w:rsidR="00CF7768" w:rsidRPr="00A30FB3" w:rsidRDefault="00CF7768" w:rsidP="00672326">
            <w:r w:rsidRPr="00A30FB3">
              <w:t xml:space="preserve">Point 14: agree we need a floor and that p/p providers can chose to have quicker </w:t>
            </w:r>
            <w:proofErr w:type="spellStart"/>
            <w:r w:rsidRPr="00A30FB3">
              <w:t>turn around</w:t>
            </w:r>
            <w:proofErr w:type="spellEnd"/>
            <w:r w:rsidRPr="00A30FB3">
              <w:t xml:space="preserve"> times</w:t>
            </w:r>
          </w:p>
          <w:p w14:paraId="1DE3660E" w14:textId="77777777" w:rsidR="00CF7768" w:rsidRPr="00A30FB3" w:rsidRDefault="00CF7768" w:rsidP="00672326"/>
          <w:p w14:paraId="37CEE6A0" w14:textId="77777777" w:rsidR="00CF7768" w:rsidRPr="00A30FB3" w:rsidRDefault="00CF7768" w:rsidP="00672326">
            <w:r w:rsidRPr="00A30FB3">
              <w:t xml:space="preserve">Point 15: RAA uses stronger language—this </w:t>
            </w:r>
            <w:proofErr w:type="gramStart"/>
            <w:r w:rsidRPr="00A30FB3">
              <w:t>says</w:t>
            </w:r>
            <w:proofErr w:type="gramEnd"/>
            <w:r w:rsidRPr="00A30FB3">
              <w:t xml:space="preserve"> “basis for suspension.” RAA says the registrar SHALL. I’m wondering whether should think about having that language based on that here.</w:t>
            </w:r>
          </w:p>
          <w:p w14:paraId="1772632A" w14:textId="77777777" w:rsidR="00CF7768" w:rsidRPr="00A30FB3" w:rsidRDefault="00CF7768" w:rsidP="00672326"/>
          <w:p w14:paraId="1A531056" w14:textId="77777777" w:rsidR="00CF7768" w:rsidRPr="00A30FB3" w:rsidRDefault="00CF7768" w:rsidP="00672326">
            <w:r w:rsidRPr="00A30FB3">
              <w:t xml:space="preserve">The RAA Spec language ends with "Registrar either terminate or suspend or place on Client Hold or and client Transfer Prohibited."  The PPAA should contain a more specific obligation, not "be a basis for suspension or cancellation."  </w:t>
            </w:r>
          </w:p>
          <w:p w14:paraId="7FA6710E" w14:textId="77777777" w:rsidR="00CF7768" w:rsidRPr="00A30FB3" w:rsidRDefault="00CF7768" w:rsidP="00672326"/>
          <w:p w14:paraId="2F4C20AC" w14:textId="77777777" w:rsidR="00CF7768" w:rsidRPr="00A30FB3" w:rsidRDefault="00CF7768" w:rsidP="00672326">
            <w:r w:rsidRPr="00A30FB3">
              <w:t>Point 16: support noted for points 14 and 15.</w:t>
            </w:r>
          </w:p>
          <w:p w14:paraId="168E2042" w14:textId="77777777" w:rsidR="00CF7768" w:rsidRPr="00A30FB3" w:rsidRDefault="00CF7768" w:rsidP="00672326"/>
          <w:p w14:paraId="6578392C" w14:textId="77777777" w:rsidR="00CF7768" w:rsidRPr="00A30FB3" w:rsidRDefault="00CF7768" w:rsidP="00672326">
            <w:pPr>
              <w:rPr>
                <w:b/>
              </w:rPr>
            </w:pPr>
            <w:r w:rsidRPr="00A30FB3">
              <w:rPr>
                <w:b/>
              </w:rPr>
              <w:t>On-list, 2 August:</w:t>
            </w:r>
          </w:p>
          <w:p w14:paraId="50364BD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Regarding Section 3.5.4.1, what if we used language that provided some </w:t>
            </w:r>
          </w:p>
          <w:p w14:paraId="4E083E7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&gt; flexibility regarding the time frame? For example:</w:t>
            </w:r>
          </w:p>
          <w:p w14:paraId="2D50258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w:t>
            </w:r>
          </w:p>
          <w:p w14:paraId="76BC99E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A Customer's willful provision of inaccurate or unreliable </w:t>
            </w:r>
          </w:p>
          <w:p w14:paraId="3C687E3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lastRenderedPageBreak/>
              <w:t xml:space="preserve">&gt; information, its willful failure to update information provided to </w:t>
            </w:r>
          </w:p>
          <w:p w14:paraId="0FBFF63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Provider within seven (7) days of any change, OR ITS FAILURE TO </w:t>
            </w:r>
          </w:p>
          <w:p w14:paraId="5254EF0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RESPOND TO PROVIDER INQUIRIES WITHIN THE TIME FRAME REQUIRED BY </w:t>
            </w:r>
          </w:p>
          <w:p w14:paraId="1F62939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PROVIDER’S TOS (NOT TO EXCEED (15) DAYS) concerning the accuracy of </w:t>
            </w:r>
          </w:p>
          <w:p w14:paraId="23C5F77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contact details associated with the Registered Name for which Provider </w:t>
            </w:r>
          </w:p>
          <w:p w14:paraId="7CB2FBEC"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is providing the Services constitute a material breach of the service </w:t>
            </w:r>
          </w:p>
          <w:p w14:paraId="79778451"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&gt; agreement between such Customer and Provider and be a basis for </w:t>
            </w:r>
          </w:p>
          <w:p w14:paraId="791C13BB"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&gt; suspension or cancellation of the Services.</w:t>
            </w:r>
          </w:p>
          <w:p w14:paraId="452DD3F6" w14:textId="77777777" w:rsidR="00CF7768" w:rsidRPr="00A30FB3" w:rsidRDefault="00CF7768" w:rsidP="00672326">
            <w:pPr>
              <w:rPr>
                <w:b/>
              </w:rPr>
            </w:pPr>
          </w:p>
          <w:p w14:paraId="0A2954EB" w14:textId="77777777" w:rsidR="00CF7768" w:rsidRPr="00A30FB3" w:rsidRDefault="00CF7768" w:rsidP="00672326">
            <w:r w:rsidRPr="00A30FB3">
              <w:t>This proposal was supported by 3 other IRT members.</w:t>
            </w:r>
          </w:p>
          <w:p w14:paraId="6EAB78F6" w14:textId="77777777" w:rsidR="00CF7768" w:rsidRPr="00A30FB3" w:rsidRDefault="00CF7768" w:rsidP="00672326"/>
          <w:p w14:paraId="434C5B0C" w14:textId="77777777" w:rsidR="00CF7768" w:rsidRPr="00A30FB3" w:rsidRDefault="00CF7768" w:rsidP="00672326">
            <w:r w:rsidRPr="00A30FB3">
              <w:t>On-list, 3 August:</w:t>
            </w:r>
          </w:p>
          <w:p w14:paraId="634DA191" w14:textId="77777777" w:rsidR="00CF7768" w:rsidRPr="00A30FB3" w:rsidRDefault="00CF7768" w:rsidP="00672326">
            <w:pPr>
              <w:rPr>
                <w:sz w:val="22"/>
                <w:szCs w:val="22"/>
              </w:rPr>
            </w:pPr>
            <w:r w:rsidRPr="00A30FB3">
              <w:rPr>
                <w:sz w:val="22"/>
                <w:szCs w:val="22"/>
              </w:rPr>
              <w:t>Note the language at the end needs to be revised along the lines of the RAA, as I think was tentatively agreed on the last call.</w:t>
            </w:r>
          </w:p>
          <w:p w14:paraId="343C1915" w14:textId="77777777" w:rsidR="00CF7768" w:rsidRPr="00A30FB3" w:rsidRDefault="00CF7768" w:rsidP="00672326">
            <w:pPr>
              <w:rPr>
                <w:sz w:val="22"/>
                <w:szCs w:val="22"/>
              </w:rPr>
            </w:pPr>
          </w:p>
          <w:p w14:paraId="009B1991" w14:textId="77777777" w:rsidR="00CF7768" w:rsidRPr="00A30FB3" w:rsidRDefault="00CF7768" w:rsidP="00672326">
            <w:r w:rsidRPr="00A30FB3">
              <w:rPr>
                <w:sz w:val="22"/>
                <w:szCs w:val="22"/>
              </w:rPr>
              <w:t xml:space="preserve">On-list, 7 August: </w:t>
            </w:r>
            <w:r w:rsidRPr="00A30FB3">
              <w:t>I support Sara's suggested language​ (on list 2 August, above).</w:t>
            </w:r>
          </w:p>
          <w:p w14:paraId="59308878" w14:textId="77777777" w:rsidR="00CF7768" w:rsidRPr="00A30FB3" w:rsidRDefault="00CF7768" w:rsidP="00672326">
            <w:pPr>
              <w:rPr>
                <w:color w:val="1F497D"/>
              </w:rPr>
            </w:pPr>
          </w:p>
          <w:p w14:paraId="35F057A9" w14:textId="77777777" w:rsidR="00CF7768" w:rsidRPr="00A30FB3" w:rsidRDefault="00CF7768" w:rsidP="00672326">
            <w:pPr>
              <w:rPr>
                <w:b/>
                <w:color w:val="1F497D"/>
              </w:rPr>
            </w:pPr>
            <w:r w:rsidRPr="00A30FB3">
              <w:rPr>
                <w:b/>
                <w:color w:val="1F497D"/>
              </w:rPr>
              <w:t>Part B:</w:t>
            </w:r>
          </w:p>
          <w:p w14:paraId="605FBB32" w14:textId="77777777" w:rsidR="00CF7768" w:rsidRPr="00A30FB3" w:rsidRDefault="00CF7768" w:rsidP="00672326">
            <w:pPr>
              <w:rPr>
                <w:color w:val="1F497D"/>
              </w:rPr>
            </w:pPr>
            <w:r w:rsidRPr="00A30FB3">
              <w:rPr>
                <w:color w:val="1F497D"/>
              </w:rPr>
              <w:lastRenderedPageBreak/>
              <w:t xml:space="preserve">On list (31 July): as I recall one (or possibly two) WG members felt strongly that customers should be provided the option of cancelling their registrations rather than having their contact points published, and that this should be a required policy for all accredited providers.  There was a lot of pushback against such a mandate, with the compromise solution that the provider be allowed, but not required, to adopt such a policy (which of course would have to be adequately disclosed).  In </w:t>
            </w:r>
            <w:proofErr w:type="gramStart"/>
            <w:r w:rsidRPr="00A30FB3">
              <w:rPr>
                <w:color w:val="1F497D"/>
              </w:rPr>
              <w:t>practice</w:t>
            </w:r>
            <w:proofErr w:type="gramEnd"/>
            <w:r w:rsidRPr="00A30FB3">
              <w:rPr>
                <w:color w:val="1F497D"/>
              </w:rPr>
              <w:t xml:space="preserve"> I agree that such a policy could only be implemented by a provider that is either Affiliated with (i.e., controlled by) a registrar, or at least as the result of some kind of contractual agreement between the registrar and an unaffiliated provider. As I read 3.5.4.17 it simply says that no such policy can trump the applicable UDRP or URS policies as adopted by ICANN.  This make sense to me and I don’t know of any reason 3.5.4.17 has to be changed in this regard. </w:t>
            </w:r>
          </w:p>
          <w:p w14:paraId="539D4DF8" w14:textId="77777777" w:rsidR="00CF7768" w:rsidRPr="00A30FB3" w:rsidRDefault="00CF7768" w:rsidP="00672326">
            <w:pPr>
              <w:rPr>
                <w:color w:val="1F497D"/>
              </w:rPr>
            </w:pPr>
          </w:p>
          <w:p w14:paraId="54C51702" w14:textId="77777777" w:rsidR="00CF7768" w:rsidRPr="00A30FB3" w:rsidRDefault="00CF7768" w:rsidP="00672326">
            <w:pPr>
              <w:rPr>
                <w:color w:val="1F497D"/>
              </w:rPr>
            </w:pPr>
            <w:r w:rsidRPr="00A30FB3">
              <w:rPr>
                <w:b/>
                <w:color w:val="1F497D"/>
              </w:rPr>
              <w:t xml:space="preserve">1 August IRT call:  </w:t>
            </w:r>
          </w:p>
          <w:p w14:paraId="2810817E" w14:textId="77777777" w:rsidR="00CF7768" w:rsidRPr="00A30FB3" w:rsidRDefault="00CF7768" w:rsidP="00672326">
            <w:pPr>
              <w:rPr>
                <w:color w:val="1F497D"/>
              </w:rPr>
            </w:pPr>
            <w:r w:rsidRPr="00A30FB3">
              <w:rPr>
                <w:color w:val="1F497D"/>
              </w:rPr>
              <w:t>Point 1: Providers can’t block the cancellation of the domain. (similar points raised by other IRT members)</w:t>
            </w:r>
          </w:p>
          <w:p w14:paraId="1C44897B" w14:textId="77777777" w:rsidR="00CF7768" w:rsidRPr="00A30FB3" w:rsidRDefault="00CF7768" w:rsidP="00672326">
            <w:pPr>
              <w:rPr>
                <w:color w:val="1F497D"/>
              </w:rPr>
            </w:pPr>
          </w:p>
          <w:p w14:paraId="0C5AEAD6" w14:textId="77777777" w:rsidR="00CF7768" w:rsidRPr="00A30FB3" w:rsidRDefault="00CF7768" w:rsidP="00672326">
            <w:pPr>
              <w:rPr>
                <w:color w:val="1F497D"/>
              </w:rPr>
            </w:pPr>
            <w:r w:rsidRPr="00A30FB3">
              <w:rPr>
                <w:color w:val="1F497D"/>
              </w:rPr>
              <w:t xml:space="preserve">Point 2: this should be in the </w:t>
            </w:r>
            <w:proofErr w:type="spellStart"/>
            <w:r w:rsidRPr="00A30FB3">
              <w:rPr>
                <w:color w:val="1F497D"/>
              </w:rPr>
              <w:t>ToS</w:t>
            </w:r>
            <w:proofErr w:type="spellEnd"/>
          </w:p>
          <w:p w14:paraId="16EFBB3B" w14:textId="77777777" w:rsidR="00CF7768" w:rsidRPr="00A30FB3" w:rsidRDefault="00CF7768" w:rsidP="00672326">
            <w:r w:rsidRPr="00A30FB3">
              <w:rPr>
                <w:color w:val="1F497D"/>
              </w:rPr>
              <w:t xml:space="preserve">Point 3: </w:t>
            </w:r>
            <w:r w:rsidRPr="00A30FB3">
              <w:t>Perhaps all this means is that the P/P provider should provide notice to the customer of this cancellation lock issue?</w:t>
            </w:r>
          </w:p>
          <w:p w14:paraId="05EE95B6" w14:textId="77777777" w:rsidR="00CF7768" w:rsidRPr="00A30FB3" w:rsidRDefault="00CF7768" w:rsidP="00672326"/>
          <w:p w14:paraId="2CF22157" w14:textId="77777777" w:rsidR="00CF7768" w:rsidRPr="00A30FB3" w:rsidRDefault="00CF7768" w:rsidP="00672326">
            <w:r w:rsidRPr="00A30FB3">
              <w:t>Point 4: I think this language is OK. The PDP WG recommended that Providers should be able to give customers the option to cancel a domain in lieu of having their information disclosed, but not if the name is subject to UDRP proceedings. The Provider should disclose this to the customer and the public.</w:t>
            </w:r>
          </w:p>
          <w:p w14:paraId="5FF5BF40" w14:textId="77777777" w:rsidR="00CF7768" w:rsidRPr="00A30FB3" w:rsidRDefault="00CF7768" w:rsidP="00672326"/>
          <w:p w14:paraId="71B6E060" w14:textId="77777777" w:rsidR="00CF7768" w:rsidRPr="00A30FB3" w:rsidRDefault="00CF7768" w:rsidP="00672326">
            <w:pPr>
              <w:rPr>
                <w:color w:val="1F497D"/>
              </w:rPr>
            </w:pPr>
            <w:r w:rsidRPr="00A30FB3">
              <w:t xml:space="preserve">Point 5: Prohibition of cancelation of a domain name during a UDRP is a registrar </w:t>
            </w:r>
            <w:proofErr w:type="gramStart"/>
            <w:r w:rsidRPr="00A30FB3">
              <w:t>obligation  I</w:t>
            </w:r>
            <w:proofErr w:type="gramEnd"/>
            <w:r w:rsidRPr="00A30FB3">
              <w:t xml:space="preserve"> see no reason to include this language in the P/P accreditation agreement. </w:t>
            </w:r>
          </w:p>
        </w:tc>
        <w:tc>
          <w:tcPr>
            <w:tcW w:w="3923" w:type="dxa"/>
            <w:shd w:val="clear" w:color="auto" w:fill="auto"/>
          </w:tcPr>
          <w:p w14:paraId="0FCAB2D2" w14:textId="0376DCF8" w:rsidR="00CF7768" w:rsidRPr="00A30FB3" w:rsidRDefault="00037138" w:rsidP="00B76D61">
            <w:pPr>
              <w:rPr>
                <w:b/>
              </w:rPr>
            </w:pPr>
            <w:r>
              <w:rPr>
                <w:b/>
              </w:rPr>
              <w:lastRenderedPageBreak/>
              <w:t xml:space="preserve">IRT to discuss proposed edits </w:t>
            </w:r>
            <w:proofErr w:type="gramStart"/>
            <w:r>
              <w:rPr>
                <w:b/>
              </w:rPr>
              <w:t xml:space="preserve">to </w:t>
            </w:r>
            <w:r w:rsidR="00B76D61">
              <w:rPr>
                <w:b/>
              </w:rPr>
              <w:t xml:space="preserve"> 3.5.3</w:t>
            </w:r>
            <w:r w:rsidR="00CF7768" w:rsidRPr="00A30FB3">
              <w:rPr>
                <w:b/>
              </w:rPr>
              <w:t>.1</w:t>
            </w:r>
            <w:proofErr w:type="gramEnd"/>
            <w:r w:rsidR="00CF7768" w:rsidRPr="00A30FB3">
              <w:rPr>
                <w:b/>
              </w:rPr>
              <w:t xml:space="preserve"> and Customer Data Accuracy Program Specification, Section 5.</w:t>
            </w:r>
          </w:p>
        </w:tc>
      </w:tr>
      <w:tr w:rsidR="00CF7768" w:rsidRPr="00A30FB3" w14:paraId="2F496989" w14:textId="77777777" w:rsidTr="005D50C1">
        <w:tc>
          <w:tcPr>
            <w:tcW w:w="1241" w:type="dxa"/>
            <w:shd w:val="clear" w:color="auto" w:fill="auto"/>
          </w:tcPr>
          <w:p w14:paraId="644F790B" w14:textId="5A9CDAEA" w:rsidR="00CF7768" w:rsidRPr="00A30FB3" w:rsidRDefault="005D50C1" w:rsidP="00672326">
            <w:r>
              <w:lastRenderedPageBreak/>
              <w:t>4</w:t>
            </w:r>
          </w:p>
        </w:tc>
        <w:tc>
          <w:tcPr>
            <w:tcW w:w="1790" w:type="dxa"/>
            <w:shd w:val="clear" w:color="auto" w:fill="auto"/>
          </w:tcPr>
          <w:p w14:paraId="57E382EC" w14:textId="77777777" w:rsidR="00CF7768" w:rsidRPr="00A30FB3" w:rsidRDefault="00CF7768" w:rsidP="00672326">
            <w:r w:rsidRPr="00A30FB3">
              <w:t>3.6.1</w:t>
            </w:r>
          </w:p>
        </w:tc>
        <w:tc>
          <w:tcPr>
            <w:tcW w:w="1912" w:type="dxa"/>
            <w:shd w:val="clear" w:color="auto" w:fill="auto"/>
          </w:tcPr>
          <w:p w14:paraId="4E226F1A" w14:textId="77777777" w:rsidR="00CF7768" w:rsidRPr="00A30FB3" w:rsidRDefault="00CF7768" w:rsidP="00672326">
            <w:r w:rsidRPr="00A30FB3">
              <w:t>Accreditation Fees</w:t>
            </w:r>
          </w:p>
        </w:tc>
        <w:tc>
          <w:tcPr>
            <w:tcW w:w="4084" w:type="dxa"/>
            <w:shd w:val="clear" w:color="auto" w:fill="auto"/>
          </w:tcPr>
          <w:p w14:paraId="1A0D0A58" w14:textId="12DE11F8" w:rsidR="00CF7768" w:rsidRPr="00A30FB3" w:rsidRDefault="004B40BB" w:rsidP="004B40BB">
            <w:r>
              <w:t>Fees were updated to reflect what was shown in P/P Applicant Guidebook</w:t>
            </w:r>
            <w:r w:rsidR="00CF7768" w:rsidRPr="00A30FB3">
              <w:t xml:space="preserve">.  </w:t>
            </w:r>
          </w:p>
        </w:tc>
        <w:tc>
          <w:tcPr>
            <w:tcW w:w="3923" w:type="dxa"/>
            <w:shd w:val="clear" w:color="auto" w:fill="auto"/>
          </w:tcPr>
          <w:p w14:paraId="015299E7" w14:textId="26D35547" w:rsidR="00CF7768" w:rsidRPr="00A30FB3" w:rsidRDefault="00CF7768" w:rsidP="00672326"/>
        </w:tc>
        <w:tc>
          <w:tcPr>
            <w:tcW w:w="3923" w:type="dxa"/>
            <w:shd w:val="clear" w:color="auto" w:fill="auto"/>
          </w:tcPr>
          <w:p w14:paraId="58E6F4C7" w14:textId="49B2BE4B" w:rsidR="00CF7768" w:rsidRPr="00A30FB3" w:rsidRDefault="00CF7768" w:rsidP="007E50A8">
            <w:r w:rsidRPr="00A30FB3">
              <w:t xml:space="preserve">Fees proposal </w:t>
            </w:r>
            <w:r w:rsidR="007E50A8">
              <w:t>under review by ICANN</w:t>
            </w:r>
            <w:r w:rsidR="004B40BB">
              <w:t xml:space="preserve"> to minimize the impact and cost to applicants.</w:t>
            </w:r>
          </w:p>
        </w:tc>
      </w:tr>
      <w:tr w:rsidR="00CF7768" w:rsidRPr="00A30FB3" w14:paraId="03BE008E" w14:textId="77777777" w:rsidTr="00672326">
        <w:tc>
          <w:tcPr>
            <w:tcW w:w="1241" w:type="dxa"/>
          </w:tcPr>
          <w:p w14:paraId="244E65DB" w14:textId="2D560AC0" w:rsidR="00CF7768" w:rsidRPr="00A30FB3" w:rsidRDefault="001B4462" w:rsidP="00672326">
            <w:r>
              <w:t>5</w:t>
            </w:r>
          </w:p>
        </w:tc>
        <w:tc>
          <w:tcPr>
            <w:tcW w:w="1790" w:type="dxa"/>
          </w:tcPr>
          <w:p w14:paraId="6EA63DFA" w14:textId="77777777" w:rsidR="00CF7768" w:rsidRPr="00A30FB3" w:rsidRDefault="00CF7768" w:rsidP="00672326">
            <w:r w:rsidRPr="00A30FB3">
              <w:t>3.19.1</w:t>
            </w:r>
          </w:p>
        </w:tc>
        <w:tc>
          <w:tcPr>
            <w:tcW w:w="1912" w:type="dxa"/>
          </w:tcPr>
          <w:p w14:paraId="7AA486BB" w14:textId="77777777" w:rsidR="00CF7768" w:rsidRPr="00A30FB3" w:rsidRDefault="00CF7768" w:rsidP="00672326">
            <w:r w:rsidRPr="00A30FB3">
              <w:t>Transfer of Registered Names Requirements</w:t>
            </w:r>
          </w:p>
        </w:tc>
        <w:tc>
          <w:tcPr>
            <w:tcW w:w="4084" w:type="dxa"/>
          </w:tcPr>
          <w:p w14:paraId="14D1B38A" w14:textId="77777777" w:rsidR="00CF7768" w:rsidRPr="00A30FB3" w:rsidRDefault="00CF7768" w:rsidP="00672326">
            <w:r w:rsidRPr="00A30FB3">
              <w:t>Please advise on how transfers should work in connection with the de-Accreditation of a Service Provider.</w:t>
            </w:r>
          </w:p>
        </w:tc>
        <w:tc>
          <w:tcPr>
            <w:tcW w:w="3923" w:type="dxa"/>
          </w:tcPr>
          <w:p w14:paraId="4BE1757F" w14:textId="77777777" w:rsidR="00CF7768" w:rsidRPr="00A30FB3" w:rsidRDefault="00CF7768" w:rsidP="00672326"/>
        </w:tc>
        <w:tc>
          <w:tcPr>
            <w:tcW w:w="3923" w:type="dxa"/>
          </w:tcPr>
          <w:p w14:paraId="2365641A" w14:textId="77777777" w:rsidR="00CF7768" w:rsidRPr="00A30FB3" w:rsidRDefault="00CF7768" w:rsidP="00672326">
            <w:r w:rsidRPr="00A30FB3">
              <w:t>Transfer discussion on hold, pending resolution of GNSO issue regarding IRTP C matter.</w:t>
            </w:r>
          </w:p>
        </w:tc>
      </w:tr>
      <w:tr w:rsidR="00CF7768" w:rsidRPr="00A30FB3" w14:paraId="08020F42" w14:textId="77777777" w:rsidTr="001B4462">
        <w:tc>
          <w:tcPr>
            <w:tcW w:w="1241" w:type="dxa"/>
            <w:shd w:val="clear" w:color="auto" w:fill="auto"/>
          </w:tcPr>
          <w:p w14:paraId="617689F1" w14:textId="396A7F6F" w:rsidR="00CF7768" w:rsidRPr="00A30FB3" w:rsidRDefault="001B4462" w:rsidP="00672326">
            <w:r>
              <w:t>6</w:t>
            </w:r>
          </w:p>
        </w:tc>
        <w:tc>
          <w:tcPr>
            <w:tcW w:w="1790" w:type="dxa"/>
            <w:shd w:val="clear" w:color="auto" w:fill="auto"/>
          </w:tcPr>
          <w:p w14:paraId="1B96DBF0" w14:textId="77777777" w:rsidR="00CF7768" w:rsidRPr="00A30FB3" w:rsidRDefault="00CF7768" w:rsidP="00672326">
            <w:r w:rsidRPr="00A30FB3">
              <w:t xml:space="preserve">Customer Data Accuracy </w:t>
            </w:r>
            <w:r w:rsidRPr="00A30FB3">
              <w:lastRenderedPageBreak/>
              <w:t>Program Specification</w:t>
            </w:r>
          </w:p>
        </w:tc>
        <w:tc>
          <w:tcPr>
            <w:tcW w:w="1912" w:type="dxa"/>
            <w:shd w:val="clear" w:color="auto" w:fill="auto"/>
          </w:tcPr>
          <w:p w14:paraId="0580438F" w14:textId="77777777" w:rsidR="00CF7768" w:rsidRPr="00A30FB3" w:rsidRDefault="00CF7768" w:rsidP="00672326">
            <w:r w:rsidRPr="00A30FB3">
              <w:lastRenderedPageBreak/>
              <w:t>Data Accuracy</w:t>
            </w:r>
          </w:p>
        </w:tc>
        <w:tc>
          <w:tcPr>
            <w:tcW w:w="4084" w:type="dxa"/>
            <w:shd w:val="clear" w:color="auto" w:fill="auto"/>
          </w:tcPr>
          <w:p w14:paraId="24AC6F5C" w14:textId="77777777" w:rsidR="00CF7768" w:rsidRPr="00A30FB3" w:rsidRDefault="00CF7768" w:rsidP="00672326">
            <w:pPr>
              <w:autoSpaceDE w:val="0"/>
              <w:autoSpaceDN w:val="0"/>
              <w:adjustRightInd w:val="0"/>
            </w:pPr>
            <w:r w:rsidRPr="00A30FB3">
              <w:t xml:space="preserve">This was adapted from the RAA, in furtherance of the Policy Recommendation that “P/P customer </w:t>
            </w:r>
            <w:r w:rsidRPr="00A30FB3">
              <w:lastRenderedPageBreak/>
              <w:t>data is to be validated and verified in a manner consistent with the requirements outlined in the WHOIS Accuracy Program Specification of the 2013 RAA (as may be updated from time to time). In the cases where a P/P service provider is Affiliated with a registrar and that Affiliated registrar has carried out validation and verification of the P/P customer data, reverification by the P/P service provider of the same, identical, information should not be</w:t>
            </w:r>
          </w:p>
          <w:p w14:paraId="0638EEEC" w14:textId="77777777" w:rsidR="00CF7768" w:rsidRPr="00A30FB3" w:rsidRDefault="00CF7768" w:rsidP="00672326">
            <w:r w:rsidRPr="00A30FB3">
              <w:t>required.” (Final Report p. 9)</w:t>
            </w:r>
          </w:p>
          <w:p w14:paraId="513286AF" w14:textId="77777777" w:rsidR="00CF7768" w:rsidRPr="00A30FB3" w:rsidRDefault="00CF7768" w:rsidP="00672326"/>
          <w:p w14:paraId="1A65D532" w14:textId="77777777" w:rsidR="00CF7768" w:rsidRPr="00A30FB3" w:rsidRDefault="00CF7768" w:rsidP="00672326">
            <w:r w:rsidRPr="00A30FB3">
              <w:t>IRT input is sought on this draft specification in its entirety.</w:t>
            </w:r>
          </w:p>
        </w:tc>
        <w:tc>
          <w:tcPr>
            <w:tcW w:w="3923" w:type="dxa"/>
            <w:shd w:val="clear" w:color="auto" w:fill="auto"/>
          </w:tcPr>
          <w:p w14:paraId="4FB0AF09" w14:textId="77777777" w:rsidR="00CF7768" w:rsidRPr="00A30FB3" w:rsidRDefault="00CF7768" w:rsidP="00672326">
            <w:pPr>
              <w:autoSpaceDE w:val="0"/>
              <w:autoSpaceDN w:val="0"/>
              <w:adjustRightInd w:val="0"/>
              <w:rPr>
                <w:b/>
              </w:rPr>
            </w:pPr>
            <w:r w:rsidRPr="00A30FB3">
              <w:rPr>
                <w:b/>
              </w:rPr>
              <w:lastRenderedPageBreak/>
              <w:t>8 August IRT Meeting:</w:t>
            </w:r>
          </w:p>
          <w:p w14:paraId="4837DE3C" w14:textId="77777777" w:rsidR="00CF7768" w:rsidRPr="00A30FB3" w:rsidRDefault="00CF7768" w:rsidP="00672326">
            <w:pPr>
              <w:autoSpaceDE w:val="0"/>
              <w:autoSpaceDN w:val="0"/>
              <w:adjustRightInd w:val="0"/>
              <w:rPr>
                <w:b/>
              </w:rPr>
            </w:pPr>
          </w:p>
          <w:p w14:paraId="22558834" w14:textId="77777777" w:rsidR="00CF7768" w:rsidRPr="00A30FB3" w:rsidRDefault="00CF7768" w:rsidP="00672326">
            <w:pPr>
              <w:autoSpaceDE w:val="0"/>
              <w:autoSpaceDN w:val="0"/>
              <w:adjustRightInd w:val="0"/>
            </w:pPr>
            <w:r w:rsidRPr="00A30FB3">
              <w:rPr>
                <w:u w:val="single"/>
              </w:rPr>
              <w:lastRenderedPageBreak/>
              <w:t>Alex Deacon</w:t>
            </w:r>
            <w:r w:rsidRPr="00A30FB3">
              <w:t>: I think this is a good approach (copying RAA)</w:t>
            </w:r>
          </w:p>
          <w:p w14:paraId="4656F5A7" w14:textId="77777777" w:rsidR="00CF7768" w:rsidRPr="00A30FB3" w:rsidRDefault="00CF7768" w:rsidP="00672326">
            <w:pPr>
              <w:autoSpaceDE w:val="0"/>
              <w:autoSpaceDN w:val="0"/>
              <w:adjustRightInd w:val="0"/>
            </w:pPr>
          </w:p>
          <w:p w14:paraId="111ADB71" w14:textId="77777777" w:rsidR="00CF7768" w:rsidRPr="00A30FB3" w:rsidRDefault="00CF7768" w:rsidP="00672326">
            <w:pPr>
              <w:autoSpaceDE w:val="0"/>
              <w:autoSpaceDN w:val="0"/>
              <w:adjustRightInd w:val="0"/>
            </w:pPr>
            <w:r w:rsidRPr="00A30FB3">
              <w:rPr>
                <w:u w:val="single"/>
              </w:rPr>
              <w:t xml:space="preserve">Theo </w:t>
            </w:r>
            <w:proofErr w:type="spellStart"/>
            <w:r w:rsidRPr="00A30FB3">
              <w:rPr>
                <w:u w:val="single"/>
              </w:rPr>
              <w:t>Geurts</w:t>
            </w:r>
            <w:proofErr w:type="spellEnd"/>
            <w:r w:rsidRPr="00A30FB3">
              <w:t>: I think for third-party providers, I don’t know how they would be able to comply with this specification. There’s a lot of stuff that requires the provider to do stuff, and non-affiliates likely don’t have an EPP connection to the Rr and I’m not sure how they would comply with those.</w:t>
            </w:r>
          </w:p>
          <w:p w14:paraId="4E613460" w14:textId="77777777" w:rsidR="00CF7768" w:rsidRPr="00A30FB3" w:rsidRDefault="00CF7768" w:rsidP="00672326">
            <w:pPr>
              <w:autoSpaceDE w:val="0"/>
              <w:autoSpaceDN w:val="0"/>
              <w:adjustRightInd w:val="0"/>
            </w:pPr>
          </w:p>
          <w:p w14:paraId="022314CE" w14:textId="77777777" w:rsidR="00CF7768" w:rsidRPr="00A30FB3" w:rsidRDefault="00CF7768" w:rsidP="00672326">
            <w:pPr>
              <w:autoSpaceDE w:val="0"/>
              <w:autoSpaceDN w:val="0"/>
              <w:adjustRightInd w:val="0"/>
            </w:pPr>
            <w:r w:rsidRPr="00A30FB3">
              <w:rPr>
                <w:u w:val="single"/>
              </w:rPr>
              <w:t xml:space="preserve">Vicky </w:t>
            </w:r>
            <w:proofErr w:type="spellStart"/>
            <w:r w:rsidRPr="00A30FB3">
              <w:rPr>
                <w:u w:val="single"/>
              </w:rPr>
              <w:t>Sheckler</w:t>
            </w:r>
            <w:proofErr w:type="spellEnd"/>
            <w:r w:rsidRPr="00A30FB3">
              <w:t>: Agree with Alex.</w:t>
            </w:r>
          </w:p>
          <w:p w14:paraId="16E1D2B8" w14:textId="77777777" w:rsidR="00CF7768" w:rsidRPr="00A30FB3" w:rsidRDefault="00CF7768" w:rsidP="00672326">
            <w:pPr>
              <w:autoSpaceDE w:val="0"/>
              <w:autoSpaceDN w:val="0"/>
              <w:adjustRightInd w:val="0"/>
            </w:pPr>
          </w:p>
          <w:p w14:paraId="705D92F1" w14:textId="77777777" w:rsidR="00CF7768" w:rsidRPr="00A30FB3" w:rsidRDefault="00CF7768" w:rsidP="00672326">
            <w:pPr>
              <w:autoSpaceDE w:val="0"/>
              <w:autoSpaceDN w:val="0"/>
              <w:adjustRightInd w:val="0"/>
            </w:pPr>
            <w:r w:rsidRPr="00A30FB3">
              <w:rPr>
                <w:u w:val="single"/>
              </w:rPr>
              <w:t>Lindsay Hamilton-Reed:</w:t>
            </w:r>
            <w:r w:rsidRPr="00A30FB3">
              <w:t xml:space="preserve"> Agree with Theo</w:t>
            </w:r>
          </w:p>
          <w:p w14:paraId="50DB1DF0" w14:textId="77777777" w:rsidR="00CF7768" w:rsidRPr="00A30FB3" w:rsidRDefault="00CF7768" w:rsidP="00672326">
            <w:pPr>
              <w:autoSpaceDE w:val="0"/>
              <w:autoSpaceDN w:val="0"/>
              <w:adjustRightInd w:val="0"/>
            </w:pPr>
          </w:p>
          <w:p w14:paraId="011859BB" w14:textId="77777777" w:rsidR="00CF7768" w:rsidRPr="00A30FB3" w:rsidRDefault="00CF7768" w:rsidP="00672326">
            <w:pPr>
              <w:autoSpaceDE w:val="0"/>
              <w:autoSpaceDN w:val="0"/>
              <w:adjustRightInd w:val="0"/>
            </w:pPr>
            <w:r w:rsidRPr="00A30FB3">
              <w:rPr>
                <w:u w:val="single"/>
              </w:rPr>
              <w:t xml:space="preserve">Vicky </w:t>
            </w:r>
            <w:proofErr w:type="spellStart"/>
            <w:r w:rsidRPr="00A30FB3">
              <w:rPr>
                <w:u w:val="single"/>
              </w:rPr>
              <w:t>Sheckler</w:t>
            </w:r>
            <w:proofErr w:type="spellEnd"/>
            <w:r w:rsidRPr="00A30FB3">
              <w:rPr>
                <w:u w:val="single"/>
              </w:rPr>
              <w:t>:</w:t>
            </w:r>
            <w:r w:rsidRPr="00A30FB3">
              <w:t xml:space="preserve"> We should move forward unless we hear from a TPP why they can’t comply with this.</w:t>
            </w:r>
          </w:p>
          <w:p w14:paraId="1E3710BC" w14:textId="77777777" w:rsidR="00CF7768" w:rsidRPr="00A30FB3" w:rsidRDefault="00CF7768" w:rsidP="00672326">
            <w:pPr>
              <w:autoSpaceDE w:val="0"/>
              <w:autoSpaceDN w:val="0"/>
              <w:adjustRightInd w:val="0"/>
            </w:pPr>
          </w:p>
          <w:p w14:paraId="4189BFCF" w14:textId="77777777" w:rsidR="00CF7768" w:rsidRPr="00A30FB3" w:rsidRDefault="00CF7768" w:rsidP="00672326">
            <w:pPr>
              <w:autoSpaceDE w:val="0"/>
              <w:autoSpaceDN w:val="0"/>
              <w:adjustRightInd w:val="0"/>
            </w:pPr>
            <w:r w:rsidRPr="00A30FB3">
              <w:t>IRT asked about whether we should keep the “review” provision of this specification.</w:t>
            </w:r>
          </w:p>
          <w:p w14:paraId="5C90406D" w14:textId="77777777" w:rsidR="00CF7768" w:rsidRPr="00A30FB3" w:rsidRDefault="00CF7768" w:rsidP="00672326">
            <w:pPr>
              <w:autoSpaceDE w:val="0"/>
              <w:autoSpaceDN w:val="0"/>
              <w:adjustRightInd w:val="0"/>
            </w:pPr>
          </w:p>
          <w:p w14:paraId="25047E0D" w14:textId="77777777" w:rsidR="00CF7768" w:rsidRPr="00A30FB3" w:rsidRDefault="00CF7768" w:rsidP="00672326">
            <w:pPr>
              <w:autoSpaceDE w:val="0"/>
              <w:autoSpaceDN w:val="0"/>
              <w:adjustRightInd w:val="0"/>
            </w:pPr>
            <w:r w:rsidRPr="00A30FB3">
              <w:rPr>
                <w:u w:val="single"/>
              </w:rPr>
              <w:t>Alex Deacon:</w:t>
            </w:r>
            <w:r w:rsidRPr="00A30FB3">
              <w:t xml:space="preserve"> I think that makes sense, given that this is a requirement on </w:t>
            </w:r>
            <w:proofErr w:type="spellStart"/>
            <w:r w:rsidRPr="00A30FB3">
              <w:t>icann</w:t>
            </w:r>
            <w:proofErr w:type="spellEnd"/>
            <w:r w:rsidRPr="00A30FB3">
              <w:t xml:space="preserve"> and not the provider</w:t>
            </w:r>
          </w:p>
          <w:p w14:paraId="38647424" w14:textId="77777777" w:rsidR="00CF7768" w:rsidRPr="00A30FB3" w:rsidRDefault="00CF7768" w:rsidP="00672326">
            <w:pPr>
              <w:autoSpaceDE w:val="0"/>
              <w:autoSpaceDN w:val="0"/>
              <w:adjustRightInd w:val="0"/>
            </w:pPr>
          </w:p>
          <w:p w14:paraId="00C8647F" w14:textId="77777777" w:rsidR="00CF7768" w:rsidRPr="00A30FB3" w:rsidRDefault="00CF7768" w:rsidP="00672326">
            <w:pPr>
              <w:autoSpaceDE w:val="0"/>
              <w:autoSpaceDN w:val="0"/>
              <w:adjustRightInd w:val="0"/>
              <w:rPr>
                <w:b/>
              </w:rPr>
            </w:pPr>
            <w:r w:rsidRPr="00A30FB3">
              <w:rPr>
                <w:b/>
              </w:rPr>
              <w:t>Feedback 15 August IRT call:</w:t>
            </w:r>
          </w:p>
          <w:p w14:paraId="22C40054" w14:textId="77777777" w:rsidR="00CF7768" w:rsidRPr="00A30FB3" w:rsidRDefault="00CF7768" w:rsidP="00672326">
            <w:pPr>
              <w:autoSpaceDE w:val="0"/>
              <w:autoSpaceDN w:val="0"/>
              <w:adjustRightInd w:val="0"/>
              <w:rPr>
                <w:b/>
              </w:rPr>
            </w:pPr>
          </w:p>
          <w:p w14:paraId="544D6617" w14:textId="77777777" w:rsidR="00CF7768" w:rsidRPr="00A30FB3" w:rsidRDefault="00CF7768" w:rsidP="00672326">
            <w:pPr>
              <w:autoSpaceDE w:val="0"/>
              <w:autoSpaceDN w:val="0"/>
              <w:adjustRightInd w:val="0"/>
            </w:pPr>
            <w:r w:rsidRPr="00A30FB3">
              <w:lastRenderedPageBreak/>
              <w:t xml:space="preserve">Steve Metalitz (following up on message to list): The specification covers some of the same requirements as 3.5.4.1, but the requirements of the specification and 3.5.4.1 are not identical. 3.5.4.1 references suspension of PP, one references cancelation/the other termination, etc. It seems providers would want to know which one to follow. That discrepancy should be addressed—likely should include that </w:t>
            </w:r>
            <w:proofErr w:type="spellStart"/>
            <w:r w:rsidRPr="00A30FB3">
              <w:t>ToS</w:t>
            </w:r>
            <w:proofErr w:type="spellEnd"/>
            <w:r w:rsidRPr="00A30FB3">
              <w:t xml:space="preserve"> are going to include provision of accurate contact data and you don’t want to foreclose possibility that service might enforce that against the customer.</w:t>
            </w:r>
          </w:p>
          <w:p w14:paraId="385261F3" w14:textId="77777777" w:rsidR="00CF7768" w:rsidRPr="00A30FB3" w:rsidRDefault="00CF7768" w:rsidP="00672326">
            <w:pPr>
              <w:autoSpaceDE w:val="0"/>
              <w:autoSpaceDN w:val="0"/>
              <w:adjustRightInd w:val="0"/>
            </w:pPr>
          </w:p>
          <w:p w14:paraId="4B84847D"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Theo </w:t>
            </w:r>
            <w:proofErr w:type="spellStart"/>
            <w:r w:rsidRPr="00A30FB3">
              <w:rPr>
                <w:rFonts w:ascii="Times New Roman" w:hAnsi="Times New Roman" w:cs="Times New Roman"/>
              </w:rPr>
              <w:t>Geurts</w:t>
            </w:r>
            <w:proofErr w:type="spellEnd"/>
            <w:r w:rsidRPr="00A30FB3">
              <w:rPr>
                <w:rFonts w:ascii="Times New Roman" w:hAnsi="Times New Roman" w:cs="Times New Roman"/>
              </w:rPr>
              <w:t xml:space="preserve"> (on list): How does a Registrar verify a request to suspend/delete a domain name from a provider that is not affiliated? </w:t>
            </w:r>
          </w:p>
          <w:p w14:paraId="35DB87C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Based on the current requirements if I would get such a request, the not affiliated privacy provider has to make sure that I will not be liable for any suspension or deletion. Till then I would ignore such requests as a Registrar as I have no contract with them.</w:t>
            </w:r>
          </w:p>
          <w:p w14:paraId="41F3B082" w14:textId="77777777" w:rsidR="00CF7768" w:rsidRPr="00A30FB3" w:rsidRDefault="00CF7768" w:rsidP="00672326">
            <w:pPr>
              <w:pStyle w:val="PlainText"/>
              <w:rPr>
                <w:rFonts w:ascii="Times New Roman" w:hAnsi="Times New Roman" w:cs="Times New Roman"/>
              </w:rPr>
            </w:pPr>
          </w:p>
          <w:p w14:paraId="3CC74A50" w14:textId="77777777" w:rsidR="00CF7768" w:rsidRPr="00A30FB3" w:rsidRDefault="00CF7768" w:rsidP="00CF7768">
            <w:pPr>
              <w:numPr>
                <w:ilvl w:val="0"/>
                <w:numId w:val="5"/>
              </w:numPr>
              <w:ind w:left="1080"/>
              <w:rPr>
                <w:b/>
                <w:bCs/>
                <w:i/>
                <w:iCs/>
              </w:rPr>
            </w:pPr>
            <w:r w:rsidRPr="00A30FB3">
              <w:t xml:space="preserve">Feedback on list (22 August): </w:t>
            </w:r>
            <w:r w:rsidRPr="00A30FB3">
              <w:rPr>
                <w:i/>
                <w:iCs/>
                <w:color w:val="1F497D"/>
              </w:rPr>
              <w:t xml:space="preserve">Metalitz comment:  Here is the </w:t>
            </w:r>
            <w:r w:rsidRPr="00A30FB3">
              <w:rPr>
                <w:i/>
                <w:iCs/>
                <w:color w:val="1F497D"/>
              </w:rPr>
              <w:lastRenderedPageBreak/>
              <w:t>drafting suggestion I mentioned on previous call (in addition to scrubbing for inconsistencies):  Change second sentence of Spec 2 to read:</w:t>
            </w:r>
            <w:proofErr w:type="gramStart"/>
            <w:r w:rsidRPr="00A30FB3">
              <w:rPr>
                <w:i/>
                <w:iCs/>
                <w:color w:val="1F497D"/>
              </w:rPr>
              <w:t>   “</w:t>
            </w:r>
            <w:proofErr w:type="gramEnd"/>
            <w:r w:rsidRPr="00A30FB3">
              <w:rPr>
                <w:i/>
                <w:iCs/>
                <w:color w:val="1F497D"/>
              </w:rPr>
              <w:t xml:space="preserve">If any provision in the Whois Accuracy Program of the 2013 RAA is revised pursuant to section 6 of the 2013 RAA,  then any analogous provision of this Specification shall be deemed amended to conform to such revision…..[specifying the procedure for synchronization].”  In other words, it is the RAA provision that is amended pursuant to RAA, not the PPAA spec provision “in analogous form.”  </w:t>
            </w:r>
          </w:p>
          <w:p w14:paraId="447AA5CB" w14:textId="77777777" w:rsidR="00CF7768" w:rsidRPr="00A30FB3" w:rsidRDefault="00CF7768" w:rsidP="00672326">
            <w:pPr>
              <w:pStyle w:val="PlainText"/>
              <w:rPr>
                <w:rFonts w:ascii="Times New Roman" w:hAnsi="Times New Roman" w:cs="Times New Roman"/>
              </w:rPr>
            </w:pPr>
          </w:p>
        </w:tc>
        <w:tc>
          <w:tcPr>
            <w:tcW w:w="3923" w:type="dxa"/>
            <w:shd w:val="clear" w:color="auto" w:fill="auto"/>
          </w:tcPr>
          <w:p w14:paraId="30374892" w14:textId="77777777" w:rsidR="00CF7768" w:rsidRPr="00A30FB3" w:rsidRDefault="00CF7768" w:rsidP="00672326">
            <w:pPr>
              <w:autoSpaceDE w:val="0"/>
              <w:autoSpaceDN w:val="0"/>
              <w:adjustRightInd w:val="0"/>
            </w:pPr>
            <w:r w:rsidRPr="00A30FB3">
              <w:lastRenderedPageBreak/>
              <w:t xml:space="preserve">Discussed at 8 August IRT meeting. </w:t>
            </w:r>
          </w:p>
          <w:p w14:paraId="53E7CB20" w14:textId="77777777" w:rsidR="00CF7768" w:rsidRPr="00A30FB3" w:rsidRDefault="00CF7768" w:rsidP="00672326">
            <w:pPr>
              <w:autoSpaceDE w:val="0"/>
              <w:autoSpaceDN w:val="0"/>
              <w:adjustRightInd w:val="0"/>
            </w:pPr>
          </w:p>
          <w:p w14:paraId="7E686C67" w14:textId="77777777" w:rsidR="00CF7768" w:rsidRPr="00A30FB3" w:rsidRDefault="00CF7768" w:rsidP="00672326">
            <w:pPr>
              <w:autoSpaceDE w:val="0"/>
              <w:autoSpaceDN w:val="0"/>
              <w:adjustRightInd w:val="0"/>
              <w:rPr>
                <w:b/>
              </w:rPr>
            </w:pPr>
            <w:r w:rsidRPr="00A30FB3">
              <w:rPr>
                <w:b/>
              </w:rPr>
              <w:lastRenderedPageBreak/>
              <w:t>Additional IRT feedback requested on list by 21 August.</w:t>
            </w:r>
          </w:p>
          <w:p w14:paraId="0713AD33" w14:textId="77777777" w:rsidR="00CF7768" w:rsidRPr="00A30FB3" w:rsidRDefault="00CF7768" w:rsidP="00672326">
            <w:pPr>
              <w:autoSpaceDE w:val="0"/>
              <w:autoSpaceDN w:val="0"/>
              <w:adjustRightInd w:val="0"/>
              <w:rPr>
                <w:b/>
              </w:rPr>
            </w:pPr>
          </w:p>
          <w:p w14:paraId="18E821B8" w14:textId="77777777" w:rsidR="00CF7768" w:rsidRPr="00A30FB3" w:rsidRDefault="00CF7768" w:rsidP="00672326">
            <w:pPr>
              <w:autoSpaceDE w:val="0"/>
              <w:autoSpaceDN w:val="0"/>
              <w:adjustRightInd w:val="0"/>
            </w:pPr>
            <w:r w:rsidRPr="00A30FB3">
              <w:t>Absent contrary feedback from the IRT, the “Review” provision will be deleted from this specification in the next draft.</w:t>
            </w:r>
          </w:p>
          <w:p w14:paraId="1C625F6C" w14:textId="77777777" w:rsidR="00CF7768" w:rsidRPr="00A30FB3" w:rsidRDefault="00CF7768" w:rsidP="00672326">
            <w:pPr>
              <w:autoSpaceDE w:val="0"/>
              <w:autoSpaceDN w:val="0"/>
              <w:adjustRightInd w:val="0"/>
            </w:pPr>
          </w:p>
          <w:p w14:paraId="04F361F8" w14:textId="77777777" w:rsidR="00CF7768" w:rsidRPr="00A30FB3" w:rsidRDefault="00CF7768" w:rsidP="00672326">
            <w:pPr>
              <w:autoSpaceDE w:val="0"/>
              <w:autoSpaceDN w:val="0"/>
              <w:adjustRightInd w:val="0"/>
              <w:rPr>
                <w:b/>
              </w:rPr>
            </w:pPr>
            <w:r w:rsidRPr="00A30FB3">
              <w:rPr>
                <w:b/>
              </w:rPr>
              <w:t>ICANN is analyzing IRT feedback and will provide updated text for discussion at a subsequent meeting.</w:t>
            </w:r>
          </w:p>
        </w:tc>
      </w:tr>
      <w:tr w:rsidR="00CF7768" w:rsidRPr="00A30FB3" w14:paraId="701AAF34" w14:textId="77777777" w:rsidTr="001B4462">
        <w:tc>
          <w:tcPr>
            <w:tcW w:w="1241" w:type="dxa"/>
            <w:shd w:val="clear" w:color="auto" w:fill="auto"/>
          </w:tcPr>
          <w:p w14:paraId="5210183D" w14:textId="4BB9F29C" w:rsidR="00CF7768" w:rsidRPr="00A30FB3" w:rsidRDefault="001B4462" w:rsidP="00672326">
            <w:r>
              <w:lastRenderedPageBreak/>
              <w:t>7</w:t>
            </w:r>
          </w:p>
        </w:tc>
        <w:tc>
          <w:tcPr>
            <w:tcW w:w="1790" w:type="dxa"/>
            <w:shd w:val="clear" w:color="auto" w:fill="auto"/>
          </w:tcPr>
          <w:p w14:paraId="4E7EBE04" w14:textId="77777777" w:rsidR="00CF7768" w:rsidRPr="00A30FB3" w:rsidRDefault="00CF7768" w:rsidP="00672326">
            <w:r w:rsidRPr="00A30FB3">
              <w:t>Registration Data Directory Service Labeling Specification</w:t>
            </w:r>
          </w:p>
        </w:tc>
        <w:tc>
          <w:tcPr>
            <w:tcW w:w="1912" w:type="dxa"/>
            <w:shd w:val="clear" w:color="auto" w:fill="auto"/>
          </w:tcPr>
          <w:p w14:paraId="6F4C81D5" w14:textId="77777777" w:rsidR="00CF7768" w:rsidRPr="00A30FB3" w:rsidRDefault="00CF7768" w:rsidP="00672326">
            <w:r w:rsidRPr="00A30FB3">
              <w:t>Data Fields</w:t>
            </w:r>
          </w:p>
        </w:tc>
        <w:tc>
          <w:tcPr>
            <w:tcW w:w="4084" w:type="dxa"/>
            <w:shd w:val="clear" w:color="auto" w:fill="auto"/>
          </w:tcPr>
          <w:p w14:paraId="651DB52C" w14:textId="77777777" w:rsidR="00CF7768" w:rsidRPr="00A30FB3" w:rsidRDefault="00CF7768" w:rsidP="00672326">
            <w:r w:rsidRPr="00A30FB3">
              <w:t xml:space="preserve">Please review and provide feedback regarding which fields you believe are applicable.  This is appropriated from the RAA, but certain fields may not be applicable (including Registry Admin/Tech IDs).  Should Customers </w:t>
            </w:r>
            <w:r w:rsidRPr="00A30FB3">
              <w:lastRenderedPageBreak/>
              <w:t>be required to designate admin and tech contacts?</w:t>
            </w:r>
          </w:p>
        </w:tc>
        <w:tc>
          <w:tcPr>
            <w:tcW w:w="3923" w:type="dxa"/>
            <w:shd w:val="clear" w:color="auto" w:fill="auto"/>
          </w:tcPr>
          <w:p w14:paraId="3FBC4F4C" w14:textId="77777777" w:rsidR="00CF7768" w:rsidRPr="00A30FB3" w:rsidRDefault="00CF7768" w:rsidP="00672326">
            <w:pPr>
              <w:rPr>
                <w:b/>
              </w:rPr>
            </w:pPr>
            <w:r w:rsidRPr="00A30FB3">
              <w:rPr>
                <w:b/>
              </w:rPr>
              <w:lastRenderedPageBreak/>
              <w:t>IRT feedback received on 29 August IRT meeting:</w:t>
            </w:r>
          </w:p>
          <w:p w14:paraId="363AE92E" w14:textId="77777777" w:rsidR="00CF7768" w:rsidRPr="00A30FB3" w:rsidRDefault="00CF7768" w:rsidP="00672326">
            <w:pPr>
              <w:rPr>
                <w:b/>
              </w:rPr>
            </w:pPr>
          </w:p>
          <w:p w14:paraId="0D1069FF" w14:textId="77777777" w:rsidR="00CF7768" w:rsidRPr="00A30FB3" w:rsidRDefault="00CF7768" w:rsidP="00672326">
            <w:r w:rsidRPr="00A30FB3">
              <w:rPr>
                <w:b/>
              </w:rPr>
              <w:t xml:space="preserve">Alex Deacon: </w:t>
            </w:r>
            <w:r w:rsidRPr="00A30FB3">
              <w:t>because users are going to be looking at WHOIS record, the name is needed, as the user may not be familiar with the org ID</w:t>
            </w:r>
          </w:p>
          <w:p w14:paraId="49BF1EC6" w14:textId="77777777" w:rsidR="00CF7768" w:rsidRPr="00A30FB3" w:rsidRDefault="00CF7768" w:rsidP="00672326"/>
          <w:p w14:paraId="440C622E" w14:textId="77777777" w:rsidR="00CF7768" w:rsidRPr="00A30FB3" w:rsidRDefault="00CF7768" w:rsidP="00672326">
            <w:r w:rsidRPr="00A30FB3">
              <w:rPr>
                <w:b/>
              </w:rPr>
              <w:t xml:space="preserve">Theo </w:t>
            </w:r>
            <w:proofErr w:type="spellStart"/>
            <w:r w:rsidRPr="00A30FB3">
              <w:rPr>
                <w:b/>
              </w:rPr>
              <w:t>Geurts</w:t>
            </w:r>
            <w:proofErr w:type="spellEnd"/>
            <w:r w:rsidRPr="00A30FB3">
              <w:rPr>
                <w:b/>
              </w:rPr>
              <w:t xml:space="preserve">: </w:t>
            </w:r>
            <w:r w:rsidRPr="00A30FB3">
              <w:t>Agree with Alex. And URL could be dependent on the provider ID—</w:t>
            </w:r>
          </w:p>
          <w:p w14:paraId="2A1F46CB" w14:textId="77777777" w:rsidR="00CF7768" w:rsidRPr="00A30FB3" w:rsidRDefault="00CF7768" w:rsidP="00672326"/>
          <w:p w14:paraId="0CEBA98C" w14:textId="77777777" w:rsidR="00CF7768" w:rsidRPr="00A30FB3" w:rsidRDefault="00CF7768" w:rsidP="00672326">
            <w:pPr>
              <w:rPr>
                <w:b/>
              </w:rPr>
            </w:pPr>
            <w:r w:rsidRPr="00A30FB3">
              <w:rPr>
                <w:b/>
              </w:rPr>
              <w:t>Q to IRT re: order of name, ID, URL in label</w:t>
            </w:r>
          </w:p>
          <w:p w14:paraId="47D4247E" w14:textId="77777777" w:rsidR="00CF7768" w:rsidRPr="00A30FB3" w:rsidRDefault="00CF7768" w:rsidP="00672326">
            <w:pPr>
              <w:rPr>
                <w:b/>
              </w:rPr>
            </w:pPr>
          </w:p>
          <w:p w14:paraId="3088DE4D" w14:textId="77777777" w:rsidR="00CF7768" w:rsidRPr="00A30FB3" w:rsidRDefault="00CF7768" w:rsidP="00672326">
            <w:r w:rsidRPr="00A30FB3">
              <w:rPr>
                <w:b/>
              </w:rPr>
              <w:t xml:space="preserve">Alex Deacon: </w:t>
            </w:r>
            <w:r w:rsidRPr="00A30FB3">
              <w:t>It seems logical to have the name first, then ID in brackets or parentheses, and then URL</w:t>
            </w:r>
          </w:p>
          <w:p w14:paraId="0DC4F25D" w14:textId="77777777" w:rsidR="00CF7768" w:rsidRPr="00A30FB3" w:rsidRDefault="00CF7768" w:rsidP="00672326"/>
          <w:p w14:paraId="57928AB6" w14:textId="77777777" w:rsidR="00CF7768" w:rsidRPr="00A30FB3" w:rsidRDefault="00CF7768" w:rsidP="00672326">
            <w:r w:rsidRPr="00A30FB3">
              <w:rPr>
                <w:b/>
              </w:rPr>
              <w:t xml:space="preserve">Greg </w:t>
            </w:r>
            <w:proofErr w:type="spellStart"/>
            <w:r w:rsidRPr="00A30FB3">
              <w:rPr>
                <w:b/>
              </w:rPr>
              <w:t>DiBiase</w:t>
            </w:r>
            <w:proofErr w:type="spellEnd"/>
            <w:r w:rsidRPr="00A30FB3">
              <w:rPr>
                <w:b/>
              </w:rPr>
              <w:t xml:space="preserve">: </w:t>
            </w:r>
            <w:r w:rsidRPr="00A30FB3">
              <w:t>I’m ok with that name being added and it makes sense to have the name first</w:t>
            </w:r>
          </w:p>
          <w:p w14:paraId="2BE05969" w14:textId="77777777" w:rsidR="00CF7768" w:rsidRPr="00A30FB3" w:rsidRDefault="00CF7768" w:rsidP="00672326"/>
          <w:p w14:paraId="58D2DD32" w14:textId="77777777" w:rsidR="00CF7768" w:rsidRPr="00A30FB3" w:rsidRDefault="00CF7768" w:rsidP="00672326">
            <w:r w:rsidRPr="00A30FB3">
              <w:rPr>
                <w:b/>
              </w:rPr>
              <w:t xml:space="preserve">Margie Milam: </w:t>
            </w:r>
            <w:r w:rsidRPr="00A30FB3">
              <w:t>Name should appear in the record.</w:t>
            </w:r>
          </w:p>
          <w:p w14:paraId="2C7CAF04" w14:textId="77777777" w:rsidR="00CF7768" w:rsidRPr="00A30FB3" w:rsidRDefault="00CF7768" w:rsidP="00672326"/>
          <w:p w14:paraId="4652FCDA" w14:textId="77777777" w:rsidR="00CF7768" w:rsidRPr="00A30FB3" w:rsidRDefault="00CF7768" w:rsidP="00672326">
            <w:r w:rsidRPr="00A30FB3">
              <w:rPr>
                <w:b/>
              </w:rPr>
              <w:t xml:space="preserve">Steve Metalitz: </w:t>
            </w:r>
            <w:r w:rsidRPr="00A30FB3">
              <w:t>Agree w/Alex re: Provider name</w:t>
            </w:r>
          </w:p>
          <w:p w14:paraId="78BB0D36" w14:textId="77777777" w:rsidR="00CF7768" w:rsidRPr="00A30FB3" w:rsidRDefault="00CF7768" w:rsidP="00672326"/>
          <w:p w14:paraId="3AF6BE8A" w14:textId="77777777" w:rsidR="00CF7768" w:rsidRPr="00A30FB3" w:rsidRDefault="00CF7768" w:rsidP="00672326">
            <w:pPr>
              <w:rPr>
                <w:b/>
              </w:rPr>
            </w:pPr>
            <w:r w:rsidRPr="00A30FB3">
              <w:rPr>
                <w:b/>
              </w:rPr>
              <w:t>Q—could we include a URL to the Provider’s contact info page on the ICANN site instead of the ICANN listing (so one page down from the list of all providers)</w:t>
            </w:r>
          </w:p>
          <w:p w14:paraId="26F87998" w14:textId="77777777" w:rsidR="00CF7768" w:rsidRPr="00A30FB3" w:rsidRDefault="00CF7768" w:rsidP="00672326">
            <w:pPr>
              <w:rPr>
                <w:b/>
              </w:rPr>
            </w:pPr>
          </w:p>
          <w:p w14:paraId="255D7E4F" w14:textId="77777777" w:rsidR="00CF7768" w:rsidRPr="00A30FB3" w:rsidRDefault="00CF7768" w:rsidP="00672326">
            <w:r w:rsidRPr="00A30FB3">
              <w:rPr>
                <w:b/>
              </w:rPr>
              <w:t xml:space="preserve">Alex Deacon: </w:t>
            </w:r>
            <w:r w:rsidRPr="00A30FB3">
              <w:t xml:space="preserve">It would be better to have the link straight to the specific provider’s contact details instead of </w:t>
            </w:r>
            <w:r w:rsidRPr="00A30FB3">
              <w:lastRenderedPageBreak/>
              <w:t>forcing to click on a link and then search</w:t>
            </w:r>
          </w:p>
          <w:p w14:paraId="0EC3581F" w14:textId="77777777" w:rsidR="00CF7768" w:rsidRPr="00A30FB3" w:rsidRDefault="00CF7768" w:rsidP="00672326"/>
          <w:p w14:paraId="7718524F" w14:textId="77777777" w:rsidR="00CF7768" w:rsidRPr="00A30FB3" w:rsidRDefault="00CF7768" w:rsidP="00672326">
            <w:r w:rsidRPr="00A30FB3">
              <w:rPr>
                <w:b/>
              </w:rPr>
              <w:t>Margie Milam:</w:t>
            </w:r>
            <w:r w:rsidRPr="00A30FB3">
              <w:t xml:space="preserve"> Would abuse point of contact be listed?</w:t>
            </w:r>
          </w:p>
          <w:p w14:paraId="7B1A919D" w14:textId="77777777" w:rsidR="00CF7768" w:rsidRPr="00A30FB3" w:rsidRDefault="00CF7768" w:rsidP="00672326"/>
          <w:p w14:paraId="45512A0C" w14:textId="77777777" w:rsidR="00CF7768" w:rsidRPr="00A30FB3" w:rsidRDefault="00CF7768" w:rsidP="00672326">
            <w:r w:rsidRPr="00A30FB3">
              <w:rPr>
                <w:b/>
              </w:rPr>
              <w:t xml:space="preserve">Greg </w:t>
            </w:r>
            <w:proofErr w:type="spellStart"/>
            <w:r w:rsidRPr="00A30FB3">
              <w:rPr>
                <w:b/>
              </w:rPr>
              <w:t>DiBiase</w:t>
            </w:r>
            <w:proofErr w:type="spellEnd"/>
            <w:r w:rsidRPr="00A30FB3">
              <w:rPr>
                <w:b/>
              </w:rPr>
              <w:t xml:space="preserve">: </w:t>
            </w:r>
            <w:r w:rsidRPr="00A30FB3">
              <w:t>Agree that the link going straight to the provider’s info makes sense</w:t>
            </w:r>
          </w:p>
          <w:p w14:paraId="55C6EB7F" w14:textId="77777777" w:rsidR="00CF7768" w:rsidRPr="00A30FB3" w:rsidRDefault="00CF7768" w:rsidP="00672326"/>
          <w:p w14:paraId="4B453882" w14:textId="77777777" w:rsidR="00CF7768" w:rsidRPr="00A30FB3" w:rsidRDefault="00CF7768" w:rsidP="00672326">
            <w:r w:rsidRPr="00A30FB3">
              <w:rPr>
                <w:b/>
              </w:rPr>
              <w:t xml:space="preserve">Steve Metalitz: </w:t>
            </w:r>
            <w:r w:rsidRPr="00A30FB3">
              <w:t>Presumably the link to the provider’s page would include the abuse contact</w:t>
            </w:r>
          </w:p>
        </w:tc>
        <w:tc>
          <w:tcPr>
            <w:tcW w:w="3923" w:type="dxa"/>
            <w:shd w:val="clear" w:color="auto" w:fill="auto"/>
          </w:tcPr>
          <w:p w14:paraId="3995B71B" w14:textId="77777777" w:rsidR="00CF7768" w:rsidRPr="00A30FB3" w:rsidRDefault="00CF7768" w:rsidP="00672326">
            <w:pPr>
              <w:rPr>
                <w:b/>
              </w:rPr>
            </w:pPr>
            <w:r w:rsidRPr="00A30FB3">
              <w:lastRenderedPageBreak/>
              <w:t xml:space="preserve">To be discussed at 29 August IRT meeting. </w:t>
            </w:r>
            <w:r w:rsidRPr="00A30FB3">
              <w:rPr>
                <w:b/>
              </w:rPr>
              <w:t>Any additional feedback requested on-list by 1 Sept.</w:t>
            </w:r>
          </w:p>
          <w:p w14:paraId="3F9E6585" w14:textId="77777777" w:rsidR="00CF7768" w:rsidRPr="00A30FB3" w:rsidRDefault="00CF7768" w:rsidP="00672326">
            <w:pPr>
              <w:rPr>
                <w:b/>
              </w:rPr>
            </w:pPr>
          </w:p>
          <w:p w14:paraId="3AA96992" w14:textId="77777777" w:rsidR="00CF7768" w:rsidRPr="00A30FB3" w:rsidRDefault="00CF7768" w:rsidP="00672326">
            <w:r w:rsidRPr="00A30FB3">
              <w:t>ICANN is reviewing IRT feedback and will propose next steps shortly.</w:t>
            </w:r>
          </w:p>
          <w:p w14:paraId="1043E01B" w14:textId="77777777" w:rsidR="00CF7768" w:rsidRPr="00A30FB3" w:rsidRDefault="00CF7768" w:rsidP="00672326"/>
          <w:p w14:paraId="16F92C06" w14:textId="77777777" w:rsidR="00CF7768" w:rsidRPr="00A30FB3" w:rsidRDefault="00CF7768" w:rsidP="00672326">
            <w:r w:rsidRPr="00A30FB3">
              <w:lastRenderedPageBreak/>
              <w:t>Format of label to be kept as-is. ICANN will incorporate format of provider-specific link requirement after functionality is confirmed.</w:t>
            </w:r>
          </w:p>
        </w:tc>
      </w:tr>
      <w:tr w:rsidR="00CF7768" w:rsidRPr="00A30FB3" w14:paraId="3FA7C003" w14:textId="77777777" w:rsidTr="001B4462">
        <w:tc>
          <w:tcPr>
            <w:tcW w:w="1241" w:type="dxa"/>
            <w:shd w:val="clear" w:color="auto" w:fill="auto"/>
          </w:tcPr>
          <w:p w14:paraId="0CF05A04" w14:textId="221E6C4F" w:rsidR="00CF7768" w:rsidRPr="00A30FB3" w:rsidRDefault="001B4462" w:rsidP="00672326">
            <w:r>
              <w:lastRenderedPageBreak/>
              <w:t>8</w:t>
            </w:r>
          </w:p>
        </w:tc>
        <w:tc>
          <w:tcPr>
            <w:tcW w:w="1790" w:type="dxa"/>
            <w:shd w:val="clear" w:color="auto" w:fill="auto"/>
          </w:tcPr>
          <w:p w14:paraId="7BBA0718" w14:textId="77777777" w:rsidR="00CF7768" w:rsidRPr="00A30FB3" w:rsidRDefault="00CF7768" w:rsidP="00672326">
            <w:r w:rsidRPr="00A30FB3">
              <w:t>Law Enforcement Authority Disclosure Framework Specification</w:t>
            </w:r>
          </w:p>
        </w:tc>
        <w:tc>
          <w:tcPr>
            <w:tcW w:w="1912" w:type="dxa"/>
            <w:shd w:val="clear" w:color="auto" w:fill="auto"/>
          </w:tcPr>
          <w:p w14:paraId="2AAF140A" w14:textId="77777777" w:rsidR="00CF7768" w:rsidRPr="00A30FB3" w:rsidRDefault="00CF7768" w:rsidP="00672326">
            <w:r w:rsidRPr="00A30FB3">
              <w:t>Receipt Process (Section 3.2.1)</w:t>
            </w:r>
          </w:p>
        </w:tc>
        <w:tc>
          <w:tcPr>
            <w:tcW w:w="4084" w:type="dxa"/>
            <w:shd w:val="clear" w:color="auto" w:fill="auto"/>
          </w:tcPr>
          <w:p w14:paraId="19A081E7" w14:textId="77777777" w:rsidR="00CF7768" w:rsidRPr="00A30FB3" w:rsidRDefault="00CF7768" w:rsidP="00672326">
            <w:r w:rsidRPr="00A30FB3">
              <w:t>Proposed edit from PSWG: I'd like to propose the following revision to the first paragraph in section 3.2.1:</w:t>
            </w:r>
          </w:p>
          <w:p w14:paraId="3DA42C39" w14:textId="77777777" w:rsidR="00CF7768" w:rsidRPr="00A30FB3" w:rsidRDefault="00CF7768" w:rsidP="00672326"/>
          <w:p w14:paraId="5E414E1D" w14:textId="77777777" w:rsidR="00CF7768" w:rsidRPr="00A30FB3" w:rsidRDefault="00CF7768" w:rsidP="00672326">
            <w:r w:rsidRPr="00A30FB3">
              <w:rPr>
                <w:i/>
                <w:iCs/>
              </w:rPr>
              <w:t>"Within 24 hours of the disclosure request being submitted, the Provider will review the request to ensure it contains the relevant information required to meet the minimum standard for acceptance."</w:t>
            </w:r>
          </w:p>
          <w:p w14:paraId="0A5E8C59" w14:textId="77777777" w:rsidR="00CF7768" w:rsidRPr="00A30FB3" w:rsidRDefault="00CF7768" w:rsidP="00672326"/>
        </w:tc>
        <w:tc>
          <w:tcPr>
            <w:tcW w:w="3923" w:type="dxa"/>
            <w:shd w:val="clear" w:color="auto" w:fill="auto"/>
          </w:tcPr>
          <w:p w14:paraId="683AF5B1" w14:textId="77777777" w:rsidR="00CF7768" w:rsidRPr="00A30FB3" w:rsidRDefault="00CF7768" w:rsidP="00672326">
            <w:pPr>
              <w:rPr>
                <w:b/>
              </w:rPr>
            </w:pPr>
            <w:r w:rsidRPr="00A30FB3">
              <w:rPr>
                <w:b/>
              </w:rPr>
              <w:t>IRT feedback on 8 Aug IRT call:</w:t>
            </w:r>
          </w:p>
          <w:p w14:paraId="38F06C74" w14:textId="77777777" w:rsidR="00CF7768" w:rsidRPr="00A30FB3" w:rsidRDefault="00CF7768" w:rsidP="00672326">
            <w:r w:rsidRPr="00A30FB3">
              <w:rPr>
                <w:u w:val="single"/>
              </w:rPr>
              <w:t xml:space="preserve">Sara </w:t>
            </w:r>
            <w:proofErr w:type="spellStart"/>
            <w:r w:rsidRPr="00A30FB3">
              <w:rPr>
                <w:u w:val="single"/>
              </w:rPr>
              <w:t>Bockey</w:t>
            </w:r>
            <w:proofErr w:type="spellEnd"/>
            <w:r w:rsidRPr="00A30FB3">
              <w:rPr>
                <w:u w:val="single"/>
              </w:rPr>
              <w:t>:</w:t>
            </w:r>
            <w:r w:rsidRPr="00A30FB3">
              <w:t xml:space="preserve"> The problem with this timeframe is it doesn't take into consideration weekends or holiday.  Not all PP services are 24/7. </w:t>
            </w:r>
          </w:p>
          <w:p w14:paraId="7A7D8038" w14:textId="77777777" w:rsidR="00CF7768" w:rsidRPr="00A30FB3" w:rsidRDefault="00CF7768" w:rsidP="00672326"/>
          <w:p w14:paraId="3BACDBA1" w14:textId="77777777" w:rsidR="00CF7768" w:rsidRPr="00A30FB3" w:rsidRDefault="00CF7768" w:rsidP="00672326">
            <w:r w:rsidRPr="00A30FB3">
              <w:t xml:space="preserve">Nick </w:t>
            </w:r>
            <w:proofErr w:type="spellStart"/>
            <w:r w:rsidRPr="00A30FB3">
              <w:t>Shorey</w:t>
            </w:r>
            <w:proofErr w:type="spellEnd"/>
            <w:r w:rsidRPr="00A30FB3">
              <w:t>:</w:t>
            </w:r>
            <w:r w:rsidRPr="00A30FB3">
              <w:rPr>
                <w:b/>
              </w:rPr>
              <w:t xml:space="preserve"> </w:t>
            </w:r>
            <w:r w:rsidRPr="00A30FB3">
              <w:t xml:space="preserve">Crime also doesn’t take into account weekends and holidays and that is the nature of the challenges we face. </w:t>
            </w:r>
          </w:p>
          <w:p w14:paraId="71728FEB" w14:textId="77777777" w:rsidR="00CF7768" w:rsidRPr="00A30FB3" w:rsidRDefault="00CF7768" w:rsidP="00672326"/>
          <w:p w14:paraId="530821CE" w14:textId="77777777" w:rsidR="00CF7768" w:rsidRPr="00A30FB3" w:rsidRDefault="00CF7768" w:rsidP="00672326">
            <w:r w:rsidRPr="00A30FB3">
              <w:rPr>
                <w:u w:val="single"/>
              </w:rPr>
              <w:t>Lindsay Hamilton-Reed</w:t>
            </w:r>
            <w:r w:rsidRPr="00A30FB3">
              <w:t>: I agree with Sara.  We should not have this written in stone if we can't respond in time.</w:t>
            </w:r>
          </w:p>
          <w:p w14:paraId="7A05CA5A" w14:textId="77777777" w:rsidR="00CF7768" w:rsidRPr="00A30FB3" w:rsidRDefault="00CF7768" w:rsidP="00672326"/>
          <w:p w14:paraId="4B30DBD3" w14:textId="77777777" w:rsidR="00CF7768" w:rsidRPr="00A30FB3" w:rsidRDefault="00CF7768" w:rsidP="00672326">
            <w:r w:rsidRPr="00A30FB3">
              <w:rPr>
                <w:u w:val="single"/>
              </w:rPr>
              <w:t xml:space="preserve">Nick </w:t>
            </w:r>
            <w:proofErr w:type="spellStart"/>
            <w:r w:rsidRPr="00A30FB3">
              <w:rPr>
                <w:u w:val="single"/>
              </w:rPr>
              <w:t>Shorey</w:t>
            </w:r>
            <w:proofErr w:type="spellEnd"/>
            <w:r w:rsidRPr="00A30FB3">
              <w:rPr>
                <w:u w:val="single"/>
              </w:rPr>
              <w:t xml:space="preserve">: </w:t>
            </w:r>
            <w:r w:rsidRPr="00A30FB3">
              <w:t xml:space="preserve">We are trying to be consistent with the RAA. I think one of the original concerns was that we </w:t>
            </w:r>
            <w:r w:rsidRPr="00A30FB3">
              <w:lastRenderedPageBreak/>
              <w:t>might be shifting from the RAA and hopefully this is more consistent.</w:t>
            </w:r>
          </w:p>
          <w:p w14:paraId="2C6E14AE" w14:textId="77777777" w:rsidR="00CF7768" w:rsidRPr="00A30FB3" w:rsidRDefault="00CF7768" w:rsidP="00672326"/>
          <w:p w14:paraId="161C27B0" w14:textId="77777777" w:rsidR="00CF7768" w:rsidRPr="00A30FB3" w:rsidRDefault="00CF7768" w:rsidP="00672326">
            <w:r w:rsidRPr="00A30FB3">
              <w:rPr>
                <w:u w:val="single"/>
              </w:rPr>
              <w:t xml:space="preserve">Sara </w:t>
            </w:r>
            <w:proofErr w:type="spellStart"/>
            <w:r w:rsidRPr="00A30FB3">
              <w:rPr>
                <w:u w:val="single"/>
              </w:rPr>
              <w:t>Bockey</w:t>
            </w:r>
            <w:proofErr w:type="spellEnd"/>
            <w:r w:rsidRPr="00A30FB3">
              <w:rPr>
                <w:u w:val="single"/>
              </w:rPr>
              <w:t xml:space="preserve">: </w:t>
            </w:r>
            <w:r w:rsidRPr="00A30FB3">
              <w:t>No, not the RAA.  I mean with PP services.  I don't believe they currently respond within 24 hours</w:t>
            </w:r>
          </w:p>
          <w:p w14:paraId="512B418F" w14:textId="77777777" w:rsidR="00CF7768" w:rsidRPr="00A30FB3" w:rsidRDefault="00CF7768" w:rsidP="00672326"/>
          <w:p w14:paraId="037EF4C1" w14:textId="77777777" w:rsidR="00CF7768" w:rsidRPr="00A30FB3" w:rsidRDefault="00CF7768" w:rsidP="00672326">
            <w:r w:rsidRPr="00A30FB3">
              <w:rPr>
                <w:u w:val="single"/>
              </w:rPr>
              <w:t xml:space="preserve">Nick </w:t>
            </w:r>
            <w:proofErr w:type="spellStart"/>
            <w:r w:rsidRPr="00A30FB3">
              <w:rPr>
                <w:u w:val="single"/>
              </w:rPr>
              <w:t>Shorey</w:t>
            </w:r>
            <w:proofErr w:type="spellEnd"/>
            <w:r w:rsidRPr="00A30FB3">
              <w:rPr>
                <w:u w:val="single"/>
              </w:rPr>
              <w:t xml:space="preserve">: </w:t>
            </w:r>
            <w:r w:rsidRPr="00A30FB3">
              <w:t xml:space="preserve">Hopefully, this will provide the facility—if the provider is unable to action a request in time, the provider at least has to alert the requester that the request has been received and is being processed. This is important on the LEA side when we are factoring in risk. </w:t>
            </w:r>
          </w:p>
          <w:p w14:paraId="38802F82" w14:textId="77777777" w:rsidR="00CF7768" w:rsidRPr="00A30FB3" w:rsidRDefault="00CF7768" w:rsidP="00672326"/>
          <w:p w14:paraId="28AB6C30" w14:textId="77777777" w:rsidR="00CF7768" w:rsidRPr="00A30FB3" w:rsidRDefault="00CF7768" w:rsidP="00672326">
            <w:r w:rsidRPr="00A30FB3">
              <w:rPr>
                <w:u w:val="single"/>
              </w:rPr>
              <w:t xml:space="preserve">Theo </w:t>
            </w:r>
            <w:proofErr w:type="spellStart"/>
            <w:r w:rsidRPr="00A30FB3">
              <w:rPr>
                <w:u w:val="single"/>
              </w:rPr>
              <w:t>Geurts</w:t>
            </w:r>
            <w:proofErr w:type="spellEnd"/>
            <w:r w:rsidRPr="00A30FB3">
              <w:rPr>
                <w:u w:val="single"/>
              </w:rPr>
              <w:t xml:space="preserve">: </w:t>
            </w:r>
            <w:r w:rsidRPr="00A30FB3">
              <w:t xml:space="preserve">Privacy Providers are not in all cases Registrars, is it realistic we impose RAA 2013 obligations on them? </w:t>
            </w:r>
          </w:p>
          <w:p w14:paraId="53623EBC" w14:textId="77777777" w:rsidR="00CF7768" w:rsidRPr="00A30FB3" w:rsidRDefault="00CF7768" w:rsidP="00672326">
            <w:r w:rsidRPr="00A30FB3">
              <w:rPr>
                <w:u w:val="single"/>
              </w:rPr>
              <w:t xml:space="preserve">Sara </w:t>
            </w:r>
            <w:proofErr w:type="spellStart"/>
            <w:r w:rsidRPr="00A30FB3">
              <w:rPr>
                <w:u w:val="single"/>
              </w:rPr>
              <w:t>Bockey</w:t>
            </w:r>
            <w:proofErr w:type="spellEnd"/>
            <w:r w:rsidRPr="00A30FB3">
              <w:t>: What if we change this to within 1 business day? Not 24 hours</w:t>
            </w:r>
          </w:p>
          <w:p w14:paraId="7B0D8F34" w14:textId="77777777" w:rsidR="00CF7768" w:rsidRPr="00A30FB3" w:rsidRDefault="00CF7768" w:rsidP="00672326"/>
          <w:p w14:paraId="523BC715" w14:textId="77777777" w:rsidR="00CF7768" w:rsidRPr="00A30FB3" w:rsidRDefault="00CF7768" w:rsidP="00672326">
            <w:r w:rsidRPr="00A30FB3">
              <w:rPr>
                <w:u w:val="single"/>
              </w:rPr>
              <w:t xml:space="preserve">Theo </w:t>
            </w:r>
            <w:proofErr w:type="spellStart"/>
            <w:r w:rsidRPr="00A30FB3">
              <w:rPr>
                <w:u w:val="single"/>
              </w:rPr>
              <w:t>Geurts</w:t>
            </w:r>
            <w:proofErr w:type="spellEnd"/>
            <w:r w:rsidRPr="00A30FB3">
              <w:rPr>
                <w:u w:val="single"/>
              </w:rPr>
              <w:t xml:space="preserve">: </w:t>
            </w:r>
            <w:r w:rsidRPr="00A30FB3">
              <w:t>This will exclude third-party providers—requiring them to perform as a registrar more or less. This could be called out in the public comment period.</w:t>
            </w:r>
          </w:p>
          <w:p w14:paraId="5A5160F2" w14:textId="77777777" w:rsidR="00CF7768" w:rsidRPr="00A30FB3" w:rsidRDefault="00CF7768" w:rsidP="00672326"/>
          <w:p w14:paraId="7F010877" w14:textId="77777777" w:rsidR="00CF7768" w:rsidRPr="00A30FB3" w:rsidRDefault="00CF7768" w:rsidP="00672326">
            <w:r w:rsidRPr="00A30FB3">
              <w:rPr>
                <w:u w:val="single"/>
              </w:rPr>
              <w:lastRenderedPageBreak/>
              <w:t xml:space="preserve">Ashley </w:t>
            </w:r>
            <w:proofErr w:type="spellStart"/>
            <w:r w:rsidRPr="00A30FB3">
              <w:rPr>
                <w:u w:val="single"/>
              </w:rPr>
              <w:t>Heineman</w:t>
            </w:r>
            <w:proofErr w:type="spellEnd"/>
            <w:r w:rsidRPr="00A30FB3">
              <w:rPr>
                <w:u w:val="single"/>
              </w:rPr>
              <w:t>: I</w:t>
            </w:r>
            <w:r w:rsidRPr="00A30FB3">
              <w:t>s there a reason to hold PP providers to a lower standard when it comes to law enforcement needs? Particularly if they are being accredited by ICANN?</w:t>
            </w:r>
          </w:p>
          <w:p w14:paraId="65AEB44A" w14:textId="77777777" w:rsidR="00CF7768" w:rsidRPr="00A30FB3" w:rsidRDefault="00CF7768" w:rsidP="00672326"/>
          <w:p w14:paraId="7A476CD8" w14:textId="77777777" w:rsidR="00CF7768" w:rsidRPr="00A30FB3" w:rsidRDefault="00CF7768" w:rsidP="00672326">
            <w:r w:rsidRPr="00A30FB3">
              <w:rPr>
                <w:u w:val="single"/>
              </w:rPr>
              <w:t xml:space="preserve">Nick </w:t>
            </w:r>
            <w:proofErr w:type="spellStart"/>
            <w:r w:rsidRPr="00A30FB3">
              <w:rPr>
                <w:u w:val="single"/>
              </w:rPr>
              <w:t>Shorey</w:t>
            </w:r>
            <w:proofErr w:type="spellEnd"/>
            <w:r w:rsidRPr="00A30FB3">
              <w:rPr>
                <w:u w:val="single"/>
              </w:rPr>
              <w:t>:</w:t>
            </w:r>
            <w:r w:rsidRPr="00A30FB3">
              <w:t xml:space="preserve"> (re proposal for 1 business day) we proposed 24 hours because, similar to the point you made, crime does not always work on business hours and you have to maintain the ability to react and respond. What we have done is remove the obligation to respond at the end of the </w:t>
            </w:r>
            <w:proofErr w:type="gramStart"/>
            <w:r w:rsidRPr="00A30FB3">
              <w:t>24 hour</w:t>
            </w:r>
            <w:proofErr w:type="gramEnd"/>
            <w:r w:rsidRPr="00A30FB3">
              <w:t xml:space="preserve"> deadline which should remove the concern expressed by operators previously and bring it more in line with the 2013 RAA.</w:t>
            </w:r>
          </w:p>
          <w:p w14:paraId="2127A53D" w14:textId="77777777" w:rsidR="00CF7768" w:rsidRPr="00A30FB3" w:rsidRDefault="00CF7768" w:rsidP="00672326"/>
          <w:p w14:paraId="08FAD7ED" w14:textId="77777777" w:rsidR="00CF7768" w:rsidRPr="00A30FB3" w:rsidRDefault="00CF7768" w:rsidP="00672326">
            <w:r w:rsidRPr="00A30FB3">
              <w:rPr>
                <w:u w:val="single"/>
              </w:rPr>
              <w:t>Lindsay Hamilton Reed</w:t>
            </w:r>
            <w:r w:rsidRPr="00A30FB3">
              <w:t>: One business day works better.</w:t>
            </w:r>
          </w:p>
          <w:p w14:paraId="1A3A4C82" w14:textId="77777777" w:rsidR="00CF7768" w:rsidRPr="00A30FB3" w:rsidRDefault="00CF7768" w:rsidP="00672326"/>
          <w:p w14:paraId="4995CD8D" w14:textId="77777777" w:rsidR="00CF7768" w:rsidRPr="00A30FB3" w:rsidRDefault="00CF7768" w:rsidP="00672326">
            <w:r w:rsidRPr="00A30FB3">
              <w:rPr>
                <w:u w:val="single"/>
              </w:rPr>
              <w:t>Susan Kawaguchi</w:t>
            </w:r>
            <w:r w:rsidRPr="00A30FB3">
              <w:t xml:space="preserve"> (echoing Ashley’s comment)—why would you hold PP to a lower standard than </w:t>
            </w:r>
            <w:proofErr w:type="spellStart"/>
            <w:r w:rsidRPr="00A30FB3">
              <w:t>Rrs</w:t>
            </w:r>
            <w:proofErr w:type="spellEnd"/>
            <w:r w:rsidRPr="00A30FB3">
              <w:t>? If provider can sell services 24/7, they should have a mechanism to review LEA requests within 24 hours. I think this is a good compromise—they are not asking for anything except a review and a simple response of we need more information.</w:t>
            </w:r>
          </w:p>
          <w:p w14:paraId="12FB6827" w14:textId="77777777" w:rsidR="00CF7768" w:rsidRPr="00A30FB3" w:rsidRDefault="00CF7768" w:rsidP="00672326"/>
          <w:p w14:paraId="51D7500C" w14:textId="77777777" w:rsidR="00CF7768" w:rsidRPr="00A30FB3" w:rsidRDefault="00CF7768" w:rsidP="00672326">
            <w:r w:rsidRPr="00A30FB3">
              <w:rPr>
                <w:u w:val="single"/>
              </w:rPr>
              <w:t xml:space="preserve">Alex Deacon: </w:t>
            </w:r>
            <w:r w:rsidRPr="00A30FB3">
              <w:t xml:space="preserve">Would an automated response to a request (e.g. "thanks we have received your response and will respond to your request soon....") meet this obligation?  </w:t>
            </w:r>
          </w:p>
          <w:p w14:paraId="4C26B8D2" w14:textId="77777777" w:rsidR="00CF7768" w:rsidRPr="00A30FB3" w:rsidRDefault="00CF7768" w:rsidP="00672326"/>
          <w:p w14:paraId="048D2FAD" w14:textId="77777777" w:rsidR="00CF7768" w:rsidRPr="00A30FB3" w:rsidRDefault="00CF7768" w:rsidP="00672326">
            <w:r w:rsidRPr="00A30FB3">
              <w:rPr>
                <w:u w:val="single"/>
              </w:rPr>
              <w:t xml:space="preserve">Carlton Samuels: </w:t>
            </w:r>
            <w:r w:rsidRPr="00A30FB3">
              <w:t xml:space="preserve">Should not be the case. </w:t>
            </w:r>
            <w:proofErr w:type="spellStart"/>
            <w:r w:rsidRPr="00A30FB3">
              <w:t>Its</w:t>
            </w:r>
            <w:proofErr w:type="spellEnd"/>
            <w:r w:rsidRPr="00A30FB3">
              <w:t xml:space="preserve"> the service we must focus on. Simplify the rules as best as possible but same rules for everybody who wants to provide the service. Equal protection for all</w:t>
            </w:r>
          </w:p>
          <w:p w14:paraId="376ABC17" w14:textId="77777777" w:rsidR="00CF7768" w:rsidRPr="00A30FB3" w:rsidRDefault="00CF7768" w:rsidP="00672326"/>
          <w:p w14:paraId="14BE99B2" w14:textId="77777777" w:rsidR="00CF7768" w:rsidRPr="00A30FB3" w:rsidRDefault="00CF7768" w:rsidP="00672326">
            <w:r w:rsidRPr="00A30FB3">
              <w:rPr>
                <w:u w:val="single"/>
              </w:rPr>
              <w:t xml:space="preserve">Vicky </w:t>
            </w:r>
            <w:proofErr w:type="spellStart"/>
            <w:r w:rsidRPr="00A30FB3">
              <w:rPr>
                <w:u w:val="single"/>
              </w:rPr>
              <w:t>Sheckler</w:t>
            </w:r>
            <w:proofErr w:type="spellEnd"/>
            <w:r w:rsidRPr="00A30FB3">
              <w:t xml:space="preserve">: agree w/ </w:t>
            </w:r>
            <w:proofErr w:type="spellStart"/>
            <w:r w:rsidRPr="00A30FB3">
              <w:t>ashley</w:t>
            </w:r>
            <w:proofErr w:type="spellEnd"/>
            <w:r w:rsidRPr="00A30FB3">
              <w:t xml:space="preserve"> and </w:t>
            </w:r>
            <w:proofErr w:type="spellStart"/>
            <w:r w:rsidRPr="00A30FB3">
              <w:t>susan</w:t>
            </w:r>
            <w:proofErr w:type="spellEnd"/>
            <w:r w:rsidRPr="00A30FB3">
              <w:t>.  pp should not be held to a lower std.</w:t>
            </w:r>
          </w:p>
          <w:p w14:paraId="6F1B053F" w14:textId="77777777" w:rsidR="00CF7768" w:rsidRPr="00A30FB3" w:rsidRDefault="00CF7768" w:rsidP="00672326"/>
          <w:p w14:paraId="7AA53BF1" w14:textId="77777777" w:rsidR="00CF7768" w:rsidRPr="00A30FB3" w:rsidRDefault="00CF7768" w:rsidP="00672326"/>
          <w:p w14:paraId="2FF988B5" w14:textId="77777777" w:rsidR="00CF7768" w:rsidRPr="00A30FB3" w:rsidRDefault="00CF7768" w:rsidP="00672326"/>
          <w:p w14:paraId="12FE60D9" w14:textId="77777777" w:rsidR="00CF7768" w:rsidRPr="00A30FB3" w:rsidRDefault="00CF7768" w:rsidP="00672326"/>
        </w:tc>
        <w:tc>
          <w:tcPr>
            <w:tcW w:w="3923" w:type="dxa"/>
            <w:shd w:val="clear" w:color="auto" w:fill="auto"/>
          </w:tcPr>
          <w:p w14:paraId="43D6172F" w14:textId="77777777" w:rsidR="00CF7768" w:rsidRPr="00A30FB3" w:rsidRDefault="00CF7768" w:rsidP="00672326">
            <w:r w:rsidRPr="00A30FB3">
              <w:lastRenderedPageBreak/>
              <w:t xml:space="preserve">Discussed at 8 August meeting. </w:t>
            </w:r>
          </w:p>
          <w:p w14:paraId="07444251" w14:textId="77777777" w:rsidR="00CF7768" w:rsidRPr="00A30FB3" w:rsidRDefault="00CF7768" w:rsidP="00672326"/>
          <w:p w14:paraId="60B0C18A" w14:textId="77777777" w:rsidR="00CF7768" w:rsidRPr="00A30FB3" w:rsidRDefault="00CF7768" w:rsidP="00672326">
            <w:pPr>
              <w:rPr>
                <w:b/>
              </w:rPr>
            </w:pPr>
            <w:r w:rsidRPr="00A30FB3">
              <w:rPr>
                <w:b/>
              </w:rPr>
              <w:t>Additional IRT feedback requested on list by 14 August.</w:t>
            </w:r>
          </w:p>
          <w:p w14:paraId="77FDBA19" w14:textId="77777777" w:rsidR="00CF7768" w:rsidRPr="00A30FB3" w:rsidRDefault="00CF7768" w:rsidP="00672326">
            <w:pPr>
              <w:rPr>
                <w:b/>
              </w:rPr>
            </w:pPr>
          </w:p>
          <w:p w14:paraId="5BD951A8" w14:textId="77777777" w:rsidR="00CF7768" w:rsidRPr="00A30FB3" w:rsidRDefault="00CF7768" w:rsidP="00672326">
            <w:pPr>
              <w:rPr>
                <w:b/>
              </w:rPr>
            </w:pPr>
            <w:r w:rsidRPr="00A30FB3">
              <w:rPr>
                <w:b/>
              </w:rPr>
              <w:t>Topic has been added to agenda for 22 August IRT meeting for follow-up discussion based on IRT discussion on-list.</w:t>
            </w:r>
          </w:p>
          <w:p w14:paraId="3B1E8E8C" w14:textId="77777777" w:rsidR="00CF7768" w:rsidRPr="00A30FB3" w:rsidRDefault="00CF7768" w:rsidP="00672326">
            <w:pPr>
              <w:rPr>
                <w:b/>
              </w:rPr>
            </w:pPr>
          </w:p>
          <w:p w14:paraId="1E4F55A5" w14:textId="77777777" w:rsidR="00CF7768" w:rsidRPr="00A30FB3" w:rsidRDefault="00CF7768" w:rsidP="00672326">
            <w:pPr>
              <w:rPr>
                <w:b/>
              </w:rPr>
            </w:pPr>
            <w:r w:rsidRPr="00A30FB3">
              <w:rPr>
                <w:b/>
              </w:rPr>
              <w:t>IRT poll distributed 23 August to ensure a complete record of IRT feedback is compiled.</w:t>
            </w:r>
          </w:p>
          <w:p w14:paraId="64956B0A" w14:textId="77777777" w:rsidR="00CF7768" w:rsidRPr="00A30FB3" w:rsidRDefault="00CF7768" w:rsidP="00672326">
            <w:pPr>
              <w:rPr>
                <w:b/>
              </w:rPr>
            </w:pPr>
          </w:p>
          <w:p w14:paraId="53383F24" w14:textId="77777777" w:rsidR="00CF7768" w:rsidRPr="00A30FB3" w:rsidRDefault="00CF7768" w:rsidP="00672326">
            <w:pPr>
              <w:rPr>
                <w:b/>
              </w:rPr>
            </w:pPr>
            <w:r w:rsidRPr="00A30FB3">
              <w:rPr>
                <w:b/>
              </w:rPr>
              <w:t xml:space="preserve">Poll results reflected views raised on 23 August IRT call. Results sent to PSWG liaison for feedback. If PSWG is open to discussing a </w:t>
            </w:r>
            <w:r w:rsidRPr="00A30FB3">
              <w:rPr>
                <w:b/>
              </w:rPr>
              <w:lastRenderedPageBreak/>
              <w:t xml:space="preserve">compromise then this will be raised on a future IRT call. </w:t>
            </w:r>
          </w:p>
          <w:p w14:paraId="2FDB201F" w14:textId="77777777" w:rsidR="00CF7768" w:rsidRPr="00A30FB3" w:rsidRDefault="00CF7768" w:rsidP="00672326">
            <w:pPr>
              <w:rPr>
                <w:b/>
              </w:rPr>
            </w:pPr>
          </w:p>
          <w:p w14:paraId="046C0927" w14:textId="77777777" w:rsidR="00CF7768" w:rsidRPr="00A30FB3" w:rsidRDefault="00CF7768" w:rsidP="00672326">
            <w:pPr>
              <w:rPr>
                <w:b/>
              </w:rPr>
            </w:pPr>
            <w:r w:rsidRPr="00A30FB3">
              <w:rPr>
                <w:b/>
              </w:rPr>
              <w:t>If not, options for next steps will be explored by ICANN and discussed with IRT on a future call.</w:t>
            </w:r>
          </w:p>
        </w:tc>
      </w:tr>
      <w:tr w:rsidR="00CF7768" w:rsidRPr="00A30FB3" w14:paraId="75CA9030" w14:textId="77777777" w:rsidTr="001B4462">
        <w:tc>
          <w:tcPr>
            <w:tcW w:w="1241" w:type="dxa"/>
            <w:shd w:val="clear" w:color="auto" w:fill="auto"/>
          </w:tcPr>
          <w:p w14:paraId="217DF853" w14:textId="77777777" w:rsidR="00CF7768" w:rsidRPr="00A30FB3" w:rsidRDefault="00CF7768" w:rsidP="00672326"/>
        </w:tc>
        <w:tc>
          <w:tcPr>
            <w:tcW w:w="1790" w:type="dxa"/>
            <w:shd w:val="clear" w:color="auto" w:fill="auto"/>
          </w:tcPr>
          <w:p w14:paraId="78AC5BB2" w14:textId="77777777" w:rsidR="00CF7768" w:rsidRPr="00A30FB3" w:rsidRDefault="00CF7768" w:rsidP="00672326"/>
        </w:tc>
        <w:tc>
          <w:tcPr>
            <w:tcW w:w="1912" w:type="dxa"/>
            <w:shd w:val="clear" w:color="auto" w:fill="auto"/>
          </w:tcPr>
          <w:p w14:paraId="0746A9D0" w14:textId="77777777" w:rsidR="00CF7768" w:rsidRPr="00A30FB3" w:rsidRDefault="00CF7768" w:rsidP="00672326"/>
        </w:tc>
        <w:tc>
          <w:tcPr>
            <w:tcW w:w="4084" w:type="dxa"/>
            <w:shd w:val="clear" w:color="auto" w:fill="auto"/>
          </w:tcPr>
          <w:p w14:paraId="3CED44A3" w14:textId="77777777" w:rsidR="00CF7768" w:rsidRPr="00A30FB3" w:rsidRDefault="00CF7768" w:rsidP="00672326"/>
        </w:tc>
        <w:tc>
          <w:tcPr>
            <w:tcW w:w="3923" w:type="dxa"/>
            <w:shd w:val="clear" w:color="auto" w:fill="auto"/>
          </w:tcPr>
          <w:p w14:paraId="756F0444"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IRT Feedback on 22 August call:</w:t>
            </w:r>
          </w:p>
          <w:p w14:paraId="3F03A9DA" w14:textId="77777777" w:rsidR="00CF7768" w:rsidRPr="00A30FB3" w:rsidRDefault="00CF7768" w:rsidP="00672326">
            <w:pPr>
              <w:pStyle w:val="PlainText"/>
              <w:rPr>
                <w:rFonts w:ascii="Times New Roman" w:hAnsi="Times New Roman" w:cs="Times New Roman"/>
                <w:b/>
              </w:rPr>
            </w:pPr>
          </w:p>
          <w:p w14:paraId="0A97E17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rPr>
              <w:t xml:space="preserve"> - I do not accept moving from business days to calendar day</w:t>
            </w:r>
          </w:p>
          <w:p w14:paraId="7FB27BAE" w14:textId="77777777" w:rsidR="00CF7768" w:rsidRPr="00A30FB3" w:rsidRDefault="00CF7768" w:rsidP="00672326">
            <w:pPr>
              <w:pStyle w:val="PlainText"/>
              <w:rPr>
                <w:rFonts w:ascii="Times New Roman" w:hAnsi="Times New Roman" w:cs="Times New Roman"/>
              </w:rPr>
            </w:pPr>
          </w:p>
          <w:p w14:paraId="7D3FCB67"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Michele Neylon</w:t>
            </w:r>
            <w:r w:rsidRPr="00A30FB3">
              <w:rPr>
                <w:rFonts w:ascii="Times New Roman" w:hAnsi="Times New Roman" w:cs="Times New Roman"/>
              </w:rPr>
              <w:t xml:space="preserve">: The problem I have is that if I am being sent very legalistic documents to review and being given 24 hours, that’s a massive issue—going to outside counsel, it’s hard to get a response within 24 hours-basically </w:t>
            </w:r>
            <w:r w:rsidRPr="00A30FB3">
              <w:rPr>
                <w:rFonts w:ascii="Times New Roman" w:hAnsi="Times New Roman" w:cs="Times New Roman"/>
              </w:rPr>
              <w:lastRenderedPageBreak/>
              <w:t>impossible. And even if I could, the costs would be absolutely insane.</w:t>
            </w:r>
          </w:p>
          <w:p w14:paraId="136B1EBD" w14:textId="77777777" w:rsidR="00CF7768" w:rsidRPr="00A30FB3" w:rsidRDefault="00CF7768" w:rsidP="00672326">
            <w:pPr>
              <w:pStyle w:val="PlainText"/>
              <w:rPr>
                <w:rFonts w:ascii="Times New Roman" w:hAnsi="Times New Roman" w:cs="Times New Roman"/>
              </w:rPr>
            </w:pPr>
          </w:p>
          <w:p w14:paraId="0F86F6EE"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 xml:space="preserve">Lisa </w:t>
            </w:r>
            <w:proofErr w:type="spellStart"/>
            <w:r w:rsidRPr="00A30FB3">
              <w:rPr>
                <w:rFonts w:ascii="Times New Roman" w:hAnsi="Times New Roman" w:cs="Times New Roman"/>
                <w:b/>
              </w:rPr>
              <w:t>Villenueve</w:t>
            </w:r>
            <w:proofErr w:type="spellEnd"/>
            <w:r w:rsidRPr="00A30FB3">
              <w:rPr>
                <w:rFonts w:ascii="Times New Roman" w:hAnsi="Times New Roman" w:cs="Times New Roman"/>
                <w:b/>
              </w:rPr>
              <w:t>: +1</w:t>
            </w:r>
          </w:p>
          <w:p w14:paraId="47BBB9C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Darcy </w:t>
            </w:r>
            <w:proofErr w:type="spellStart"/>
            <w:r w:rsidRPr="00A30FB3">
              <w:rPr>
                <w:rFonts w:ascii="Times New Roman" w:hAnsi="Times New Roman" w:cs="Times New Roman"/>
                <w:b/>
              </w:rPr>
              <w:t>Southwell</w:t>
            </w:r>
            <w:proofErr w:type="spellEnd"/>
            <w:r w:rsidRPr="00A30FB3">
              <w:rPr>
                <w:rFonts w:ascii="Times New Roman" w:hAnsi="Times New Roman" w:cs="Times New Roman"/>
                <w:b/>
              </w:rPr>
              <w:t xml:space="preserve">: </w:t>
            </w:r>
            <w:r w:rsidRPr="00A30FB3">
              <w:rPr>
                <w:rFonts w:ascii="Times New Roman" w:hAnsi="Times New Roman" w:cs="Times New Roman"/>
              </w:rPr>
              <w:t>Agree with Michele and Volker—not feasible or necessary. 2 business days is appropriate for LEA inquiries related to PP.</w:t>
            </w:r>
          </w:p>
          <w:p w14:paraId="07D25B9D"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Alicia </w:t>
            </w:r>
            <w:proofErr w:type="spellStart"/>
            <w:r w:rsidRPr="00A30FB3">
              <w:rPr>
                <w:rFonts w:ascii="Times New Roman" w:hAnsi="Times New Roman" w:cs="Times New Roman"/>
                <w:b/>
              </w:rPr>
              <w:t>Kaelin</w:t>
            </w:r>
            <w:proofErr w:type="spellEnd"/>
            <w:r w:rsidRPr="00A30FB3">
              <w:rPr>
                <w:rFonts w:ascii="Times New Roman" w:hAnsi="Times New Roman" w:cs="Times New Roman"/>
                <w:b/>
              </w:rPr>
              <w:t xml:space="preserve">: </w:t>
            </w:r>
            <w:r w:rsidRPr="00A30FB3">
              <w:rPr>
                <w:rFonts w:ascii="Times New Roman" w:hAnsi="Times New Roman" w:cs="Times New Roman"/>
              </w:rPr>
              <w:t>+1 Darcy</w:t>
            </w:r>
          </w:p>
          <w:p w14:paraId="2C114D7C" w14:textId="77777777" w:rsidR="00CF7768" w:rsidRPr="00A30FB3" w:rsidRDefault="00CF7768" w:rsidP="00672326">
            <w:pPr>
              <w:pStyle w:val="PlainText"/>
              <w:rPr>
                <w:rFonts w:ascii="Times New Roman" w:hAnsi="Times New Roman" w:cs="Times New Roman"/>
              </w:rPr>
            </w:pPr>
          </w:p>
          <w:p w14:paraId="2ED6516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Q for registrars—PSWG argument seems to be that this is what the RAA requires. Has that proven to be a problem in the RAA?</w:t>
            </w:r>
          </w:p>
          <w:p w14:paraId="6EFDE7EF" w14:textId="77777777" w:rsidR="00CF7768" w:rsidRPr="00A30FB3" w:rsidRDefault="00CF7768" w:rsidP="00672326">
            <w:pPr>
              <w:pStyle w:val="PlainText"/>
              <w:rPr>
                <w:rFonts w:ascii="Times New Roman" w:hAnsi="Times New Roman" w:cs="Times New Roman"/>
              </w:rPr>
            </w:pPr>
          </w:p>
          <w:p w14:paraId="1DB79DE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(Multiple registrars note in chat that they do not receive these requests frequently or have not received such a request)</w:t>
            </w:r>
          </w:p>
          <w:p w14:paraId="28319E48" w14:textId="77777777" w:rsidR="00CF7768" w:rsidRPr="00A30FB3" w:rsidRDefault="00CF7768" w:rsidP="00672326">
            <w:pPr>
              <w:pStyle w:val="PlainText"/>
              <w:rPr>
                <w:rFonts w:ascii="Times New Roman" w:hAnsi="Times New Roman" w:cs="Times New Roman"/>
              </w:rPr>
            </w:pPr>
          </w:p>
          <w:p w14:paraId="1291F13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b/>
              </w:rPr>
              <w:t xml:space="preserve">: </w:t>
            </w:r>
            <w:r w:rsidRPr="00A30FB3">
              <w:rPr>
                <w:rFonts w:ascii="Times New Roman" w:hAnsi="Times New Roman" w:cs="Times New Roman"/>
              </w:rPr>
              <w:t xml:space="preserve">the difference is that privacy services may be one-man operations whereas most registrars have more information and ability to react than a </w:t>
            </w:r>
            <w:proofErr w:type="spellStart"/>
            <w:r w:rsidRPr="00A30FB3">
              <w:rPr>
                <w:rFonts w:ascii="Times New Roman" w:hAnsi="Times New Roman" w:cs="Times New Roman"/>
              </w:rPr>
              <w:t>whois</w:t>
            </w:r>
            <w:proofErr w:type="spellEnd"/>
            <w:r w:rsidRPr="00A30FB3">
              <w:rPr>
                <w:rFonts w:ascii="Times New Roman" w:hAnsi="Times New Roman" w:cs="Times New Roman"/>
              </w:rPr>
              <w:t xml:space="preserve"> privacy service, so urgency may be warranted; whereas a privacy service can only tell them the underlying data and that’s it. Certainly not the same urgency.</w:t>
            </w:r>
          </w:p>
          <w:p w14:paraId="03DED81F" w14:textId="77777777" w:rsidR="00CF7768" w:rsidRPr="00A30FB3" w:rsidRDefault="00CF7768" w:rsidP="00672326">
            <w:pPr>
              <w:pStyle w:val="PlainText"/>
              <w:rPr>
                <w:rFonts w:ascii="Times New Roman" w:hAnsi="Times New Roman" w:cs="Times New Roman"/>
              </w:rPr>
            </w:pPr>
          </w:p>
          <w:p w14:paraId="1715BF4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This is problematic under the RAA to get a response—with outside counsel and complex cases. And with privacy need to be even more careful.</w:t>
            </w:r>
          </w:p>
          <w:p w14:paraId="3857F277" w14:textId="77777777" w:rsidR="00CF7768" w:rsidRPr="00A30FB3" w:rsidRDefault="00CF7768" w:rsidP="00672326">
            <w:pPr>
              <w:pStyle w:val="PlainText"/>
              <w:rPr>
                <w:rFonts w:ascii="Times New Roman" w:hAnsi="Times New Roman" w:cs="Times New Roman"/>
              </w:rPr>
            </w:pPr>
          </w:p>
          <w:p w14:paraId="20FD99B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lastRenderedPageBreak/>
              <w:t xml:space="preserve">Michele Neylon: </w:t>
            </w:r>
            <w:r w:rsidRPr="00A30FB3">
              <w:rPr>
                <w:rFonts w:ascii="Times New Roman" w:hAnsi="Times New Roman" w:cs="Times New Roman"/>
              </w:rPr>
              <w:t>The RAA thing is quite different. DNS Abuse= pull the domain offline. Revealing PAA= legal headache.</w:t>
            </w:r>
          </w:p>
          <w:p w14:paraId="3BFFF80C" w14:textId="77777777" w:rsidR="00CF7768" w:rsidRPr="00A30FB3" w:rsidRDefault="00CF7768" w:rsidP="00672326">
            <w:pPr>
              <w:pStyle w:val="PlainText"/>
              <w:rPr>
                <w:rFonts w:ascii="Times New Roman" w:hAnsi="Times New Roman" w:cs="Times New Roman"/>
              </w:rPr>
            </w:pPr>
          </w:p>
          <w:p w14:paraId="65DBBF0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Greg </w:t>
            </w:r>
            <w:proofErr w:type="spellStart"/>
            <w:r w:rsidRPr="00A30FB3">
              <w:rPr>
                <w:rFonts w:ascii="Times New Roman" w:hAnsi="Times New Roman" w:cs="Times New Roman"/>
                <w:b/>
              </w:rPr>
              <w:t>DiBiase</w:t>
            </w:r>
            <w:proofErr w:type="spellEnd"/>
            <w:r w:rsidRPr="00A30FB3">
              <w:rPr>
                <w:rFonts w:ascii="Times New Roman" w:hAnsi="Times New Roman" w:cs="Times New Roman"/>
                <w:b/>
              </w:rPr>
              <w:t xml:space="preserve">: </w:t>
            </w:r>
            <w:r w:rsidRPr="00A30FB3">
              <w:rPr>
                <w:rFonts w:ascii="Times New Roman" w:hAnsi="Times New Roman" w:cs="Times New Roman"/>
              </w:rPr>
              <w:t>The difference is that we are responding to abuse as opposed to deciding whether to provide a customer’s private data</w:t>
            </w:r>
          </w:p>
          <w:p w14:paraId="3A3C1AC7" w14:textId="77777777" w:rsidR="00CF7768" w:rsidRPr="00A30FB3" w:rsidRDefault="00CF7768" w:rsidP="00672326">
            <w:pPr>
              <w:pStyle w:val="PlainText"/>
              <w:rPr>
                <w:rFonts w:ascii="Times New Roman" w:hAnsi="Times New Roman" w:cs="Times New Roman"/>
              </w:rPr>
            </w:pPr>
          </w:p>
          <w:p w14:paraId="2EDC16B7"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Darcy </w:t>
            </w:r>
            <w:proofErr w:type="spellStart"/>
            <w:r w:rsidRPr="00A30FB3">
              <w:rPr>
                <w:rFonts w:ascii="Times New Roman" w:hAnsi="Times New Roman" w:cs="Times New Roman"/>
                <w:b/>
              </w:rPr>
              <w:t>Southwell</w:t>
            </w:r>
            <w:proofErr w:type="spellEnd"/>
            <w:r w:rsidRPr="00A30FB3">
              <w:rPr>
                <w:rFonts w:ascii="Times New Roman" w:hAnsi="Times New Roman" w:cs="Times New Roman"/>
                <w:b/>
              </w:rPr>
              <w:t xml:space="preserve">: </w:t>
            </w:r>
            <w:r w:rsidRPr="00A30FB3">
              <w:rPr>
                <w:rFonts w:ascii="Times New Roman" w:hAnsi="Times New Roman" w:cs="Times New Roman"/>
              </w:rPr>
              <w:t>+1 Greg</w:t>
            </w:r>
          </w:p>
          <w:p w14:paraId="4C603CD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Eric </w:t>
            </w:r>
            <w:proofErr w:type="spellStart"/>
            <w:r w:rsidRPr="00A30FB3">
              <w:rPr>
                <w:rFonts w:ascii="Times New Roman" w:hAnsi="Times New Roman" w:cs="Times New Roman"/>
                <w:b/>
              </w:rPr>
              <w:t>Rokobauer</w:t>
            </w:r>
            <w:proofErr w:type="spellEnd"/>
            <w:r w:rsidRPr="00A30FB3">
              <w:rPr>
                <w:rFonts w:ascii="Times New Roman" w:hAnsi="Times New Roman" w:cs="Times New Roman"/>
                <w:b/>
              </w:rPr>
              <w:t xml:space="preserve">: </w:t>
            </w:r>
            <w:r w:rsidRPr="00A30FB3">
              <w:rPr>
                <w:rFonts w:ascii="Times New Roman" w:hAnsi="Times New Roman" w:cs="Times New Roman"/>
              </w:rPr>
              <w:t>+1 Greg</w:t>
            </w:r>
          </w:p>
          <w:p w14:paraId="230A5C6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Greg </w:t>
            </w:r>
            <w:proofErr w:type="spellStart"/>
            <w:r w:rsidRPr="00A30FB3">
              <w:rPr>
                <w:rFonts w:ascii="Times New Roman" w:hAnsi="Times New Roman" w:cs="Times New Roman"/>
                <w:b/>
              </w:rPr>
              <w:t>DiBiase</w:t>
            </w:r>
            <w:proofErr w:type="spellEnd"/>
            <w:r w:rsidRPr="00A30FB3">
              <w:rPr>
                <w:rFonts w:ascii="Times New Roman" w:hAnsi="Times New Roman" w:cs="Times New Roman"/>
                <w:b/>
              </w:rPr>
              <w:t xml:space="preserve">: </w:t>
            </w:r>
            <w:r w:rsidRPr="00A30FB3">
              <w:rPr>
                <w:rFonts w:ascii="Times New Roman" w:hAnsi="Times New Roman" w:cs="Times New Roman"/>
              </w:rPr>
              <w:t>+1 Michele, it’s two different things</w:t>
            </w:r>
          </w:p>
          <w:p w14:paraId="5F875E30" w14:textId="77777777" w:rsidR="00CF7768" w:rsidRPr="00A30FB3" w:rsidRDefault="00CF7768" w:rsidP="00672326">
            <w:pPr>
              <w:pStyle w:val="PlainText"/>
              <w:rPr>
                <w:rFonts w:ascii="Times New Roman" w:hAnsi="Times New Roman" w:cs="Times New Roman"/>
              </w:rPr>
            </w:pPr>
          </w:p>
          <w:p w14:paraId="67354CEC"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I can understand why LEA would look at RAA and try to draw parallels. However, these are not the same. In the case of privacy, we have to review the materials very carefully before disclosing private data; not just taking a domain offline</w:t>
            </w:r>
          </w:p>
          <w:p w14:paraId="02D4F2BF" w14:textId="77777777" w:rsidR="00CF7768" w:rsidRPr="00A30FB3" w:rsidRDefault="00CF7768" w:rsidP="00672326">
            <w:pPr>
              <w:pStyle w:val="PlainText"/>
              <w:rPr>
                <w:rFonts w:ascii="Times New Roman" w:hAnsi="Times New Roman" w:cs="Times New Roman"/>
              </w:rPr>
            </w:pPr>
          </w:p>
          <w:p w14:paraId="3E714A4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The RAA is pre-GDPR and it is not a domain name, but a service dealing with privacy and we can be very liable</w:t>
            </w:r>
          </w:p>
          <w:p w14:paraId="1B3B44D0" w14:textId="77777777" w:rsidR="00CF7768" w:rsidRPr="00A30FB3" w:rsidRDefault="00CF7768" w:rsidP="00672326">
            <w:pPr>
              <w:pStyle w:val="PlainText"/>
              <w:rPr>
                <w:rFonts w:ascii="Times New Roman" w:hAnsi="Times New Roman" w:cs="Times New Roman"/>
              </w:rPr>
            </w:pPr>
          </w:p>
          <w:p w14:paraId="4BCBA0D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Nick </w:t>
            </w:r>
            <w:proofErr w:type="spellStart"/>
            <w:r w:rsidRPr="00A30FB3">
              <w:rPr>
                <w:rFonts w:ascii="Times New Roman" w:hAnsi="Times New Roman" w:cs="Times New Roman"/>
                <w:b/>
              </w:rPr>
              <w:t>Shorey</w:t>
            </w:r>
            <w:proofErr w:type="spellEnd"/>
            <w:r w:rsidRPr="00A30FB3">
              <w:rPr>
                <w:rFonts w:ascii="Times New Roman" w:hAnsi="Times New Roman" w:cs="Times New Roman"/>
                <w:b/>
              </w:rPr>
              <w:t xml:space="preserve"> (PSWG): </w:t>
            </w:r>
            <w:r w:rsidRPr="00A30FB3">
              <w:rPr>
                <w:rFonts w:ascii="Times New Roman" w:hAnsi="Times New Roman" w:cs="Times New Roman"/>
              </w:rPr>
              <w:t xml:space="preserve">We looked again at the language in that section and recognized the discrepancy from the RAA in the text originally proposed in the requirement for a response within 24 hours, to make this consistent with the RAA. There is no response required in that period—if it’s a high priority case </w:t>
            </w:r>
            <w:r w:rsidRPr="00A30FB3">
              <w:rPr>
                <w:rFonts w:ascii="Times New Roman" w:hAnsi="Times New Roman" w:cs="Times New Roman"/>
              </w:rPr>
              <w:lastRenderedPageBreak/>
              <w:t>you have 24 hours to action request after that. Now we have it consistent with the RAA and we are maintaining standards.</w:t>
            </w:r>
          </w:p>
          <w:p w14:paraId="5DE5A082" w14:textId="77777777" w:rsidR="00CF7768" w:rsidRPr="00A30FB3" w:rsidRDefault="00CF7768" w:rsidP="00672326">
            <w:pPr>
              <w:pStyle w:val="PlainText"/>
              <w:rPr>
                <w:rFonts w:ascii="Times New Roman" w:hAnsi="Times New Roman" w:cs="Times New Roman"/>
              </w:rPr>
            </w:pPr>
          </w:p>
          <w:p w14:paraId="4D4B7D9B"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If it’s been problematic in the RAA context I wonder if ICANN has received any complaints about this from LEA to document that the </w:t>
            </w:r>
            <w:proofErr w:type="gramStart"/>
            <w:r w:rsidRPr="00A30FB3">
              <w:rPr>
                <w:rFonts w:ascii="Times New Roman" w:hAnsi="Times New Roman" w:cs="Times New Roman"/>
              </w:rPr>
              <w:t>24 hour</w:t>
            </w:r>
            <w:proofErr w:type="gramEnd"/>
            <w:r w:rsidRPr="00A30FB3">
              <w:rPr>
                <w:rFonts w:ascii="Times New Roman" w:hAnsi="Times New Roman" w:cs="Times New Roman"/>
              </w:rPr>
              <w:t xml:space="preserve"> period is unrealistic. I guess there’s a question of how this would be enforced—if there’s no notice within 24 hours, really, LEA just has to know that within 48 hours that some action has been taken or heard that action will not be taken. </w:t>
            </w:r>
            <w:r w:rsidRPr="00A30FB3">
              <w:rPr>
                <w:rFonts w:ascii="Times New Roman" w:hAnsi="Times New Roman" w:cs="Times New Roman"/>
                <w:b/>
              </w:rPr>
              <w:t xml:space="preserve">Is there any record of issues of this from a Compliance </w:t>
            </w:r>
            <w:proofErr w:type="spellStart"/>
            <w:r w:rsidRPr="00A30FB3">
              <w:rPr>
                <w:rFonts w:ascii="Times New Roman" w:hAnsi="Times New Roman" w:cs="Times New Roman"/>
                <w:b/>
              </w:rPr>
              <w:t>PoV</w:t>
            </w:r>
            <w:proofErr w:type="spellEnd"/>
            <w:r w:rsidRPr="00A30FB3">
              <w:rPr>
                <w:rFonts w:ascii="Times New Roman" w:hAnsi="Times New Roman" w:cs="Times New Roman"/>
                <w:b/>
              </w:rPr>
              <w:t xml:space="preserve"> under the RAA? </w:t>
            </w:r>
            <w:r w:rsidRPr="00A30FB3">
              <w:rPr>
                <w:rFonts w:ascii="Times New Roman" w:hAnsi="Times New Roman" w:cs="Times New Roman"/>
              </w:rPr>
              <w:t xml:space="preserve">Also, if LEA gets its response in 48 hours, the review period appears to be a very technical requirement. </w:t>
            </w:r>
          </w:p>
          <w:p w14:paraId="641E901A" w14:textId="77777777" w:rsidR="00CF7768" w:rsidRPr="00A30FB3" w:rsidRDefault="00CF7768" w:rsidP="00672326">
            <w:pPr>
              <w:pStyle w:val="PlainText"/>
              <w:rPr>
                <w:rFonts w:ascii="Times New Roman" w:hAnsi="Times New Roman" w:cs="Times New Roman"/>
              </w:rPr>
            </w:pPr>
          </w:p>
          <w:p w14:paraId="038B2BC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Margie Milam: </w:t>
            </w:r>
            <w:r w:rsidRPr="00A30FB3">
              <w:rPr>
                <w:rFonts w:ascii="Times New Roman" w:hAnsi="Times New Roman" w:cs="Times New Roman"/>
              </w:rPr>
              <w:t>24 hours is for a review, not necessarily a response. If the request does not meet the minimum standard, provider will notify requester. Is it in compliance if the notice says simply, doesn’t meet standards? Should there be a clarification about why the request didn’t meet the standard?</w:t>
            </w:r>
          </w:p>
          <w:p w14:paraId="0D1A840D" w14:textId="77777777" w:rsidR="00CF7768" w:rsidRPr="00A30FB3" w:rsidRDefault="00CF7768" w:rsidP="00672326">
            <w:pPr>
              <w:pStyle w:val="PlainText"/>
              <w:rPr>
                <w:rFonts w:ascii="Times New Roman" w:hAnsi="Times New Roman" w:cs="Times New Roman"/>
              </w:rPr>
            </w:pPr>
          </w:p>
          <w:p w14:paraId="4D48A0A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 xml:space="preserve">Q re: compliance is a very valid question and many have noted that they have never received a request under the RAA provision. But, regardless, whether it’s easy to prove or </w:t>
            </w:r>
            <w:r w:rsidRPr="00A30FB3">
              <w:rPr>
                <w:rFonts w:ascii="Times New Roman" w:hAnsi="Times New Roman" w:cs="Times New Roman"/>
              </w:rPr>
              <w:lastRenderedPageBreak/>
              <w:t>not I wouldn’t be comfortable to sign a contract knowing I would breach it.</w:t>
            </w:r>
          </w:p>
          <w:p w14:paraId="76479D13" w14:textId="77777777" w:rsidR="00CF7768" w:rsidRPr="00A30FB3" w:rsidRDefault="00CF7768" w:rsidP="00672326">
            <w:pPr>
              <w:pStyle w:val="PlainText"/>
              <w:rPr>
                <w:rFonts w:ascii="Times New Roman" w:hAnsi="Times New Roman" w:cs="Times New Roman"/>
              </w:rPr>
            </w:pPr>
          </w:p>
          <w:p w14:paraId="3461D884"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Q to group—could you suggest a compromise here that you would support?</w:t>
            </w:r>
          </w:p>
          <w:p w14:paraId="28BC081C" w14:textId="77777777" w:rsidR="00CF7768" w:rsidRPr="00A30FB3" w:rsidRDefault="00CF7768" w:rsidP="00672326">
            <w:pPr>
              <w:pStyle w:val="PlainText"/>
              <w:rPr>
                <w:rFonts w:ascii="Times New Roman" w:hAnsi="Times New Roman" w:cs="Times New Roman"/>
              </w:rPr>
            </w:pPr>
          </w:p>
          <w:p w14:paraId="508FF0F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Nick </w:t>
            </w:r>
            <w:proofErr w:type="spellStart"/>
            <w:r w:rsidRPr="00A30FB3">
              <w:rPr>
                <w:rFonts w:ascii="Times New Roman" w:hAnsi="Times New Roman" w:cs="Times New Roman"/>
                <w:b/>
              </w:rPr>
              <w:t>Shorey</w:t>
            </w:r>
            <w:proofErr w:type="spellEnd"/>
            <w:r w:rsidRPr="00A30FB3">
              <w:rPr>
                <w:rFonts w:ascii="Times New Roman" w:hAnsi="Times New Roman" w:cs="Times New Roman"/>
                <w:b/>
              </w:rPr>
              <w:t xml:space="preserve"> (PSWG): </w:t>
            </w:r>
            <w:r w:rsidRPr="00A30FB3">
              <w:rPr>
                <w:rFonts w:ascii="Times New Roman" w:hAnsi="Times New Roman" w:cs="Times New Roman"/>
              </w:rPr>
              <w:t>I cannot support the two business days</w:t>
            </w:r>
          </w:p>
          <w:p w14:paraId="3D1B0E11" w14:textId="77777777" w:rsidR="00CF7768" w:rsidRPr="00A30FB3" w:rsidRDefault="00CF7768" w:rsidP="00672326">
            <w:pPr>
              <w:pStyle w:val="PlainText"/>
              <w:rPr>
                <w:rFonts w:ascii="Times New Roman" w:hAnsi="Times New Roman" w:cs="Times New Roman"/>
              </w:rPr>
            </w:pPr>
          </w:p>
          <w:p w14:paraId="51F764B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rPr>
              <w:t>: the draft is the compromise</w:t>
            </w:r>
          </w:p>
          <w:p w14:paraId="1ADF7F5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what Volker said</w:t>
            </w:r>
          </w:p>
          <w:p w14:paraId="0B253C06" w14:textId="77777777" w:rsidR="00CF7768" w:rsidRPr="00A30FB3" w:rsidRDefault="00CF7768" w:rsidP="00672326">
            <w:pPr>
              <w:pStyle w:val="PlainText"/>
              <w:rPr>
                <w:rFonts w:ascii="Times New Roman" w:hAnsi="Times New Roman" w:cs="Times New Roman"/>
              </w:rPr>
            </w:pPr>
          </w:p>
          <w:p w14:paraId="2E7C589F"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Q to group—could you support 1 business day?</w:t>
            </w:r>
          </w:p>
          <w:p w14:paraId="73608634" w14:textId="77777777" w:rsidR="00CF7768" w:rsidRPr="00A30FB3" w:rsidRDefault="00CF7768" w:rsidP="00672326">
            <w:pPr>
              <w:pStyle w:val="PlainText"/>
              <w:rPr>
                <w:rFonts w:ascii="Times New Roman" w:hAnsi="Times New Roman" w:cs="Times New Roman"/>
                <w:b/>
              </w:rPr>
            </w:pPr>
          </w:p>
          <w:p w14:paraId="59096CC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Volker—</w:t>
            </w:r>
            <w:r w:rsidRPr="00A30FB3">
              <w:rPr>
                <w:rFonts w:ascii="Times New Roman" w:hAnsi="Times New Roman" w:cs="Times New Roman"/>
              </w:rPr>
              <w:t>2 days is the minimum turnaround time</w:t>
            </w:r>
          </w:p>
          <w:p w14:paraId="599FF4AC" w14:textId="77777777" w:rsidR="00CF7768" w:rsidRPr="00A30FB3" w:rsidRDefault="00CF7768" w:rsidP="00672326">
            <w:pPr>
              <w:pStyle w:val="PlainText"/>
              <w:rPr>
                <w:rFonts w:ascii="Times New Roman" w:hAnsi="Times New Roman" w:cs="Times New Roman"/>
              </w:rPr>
            </w:pPr>
          </w:p>
          <w:p w14:paraId="687A628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If we are looking at a provision that doesn’t require </w:t>
            </w:r>
            <w:proofErr w:type="gramStart"/>
            <w:r w:rsidRPr="00A30FB3">
              <w:rPr>
                <w:rFonts w:ascii="Times New Roman" w:hAnsi="Times New Roman" w:cs="Times New Roman"/>
              </w:rPr>
              <w:t>notice..</w:t>
            </w:r>
            <w:proofErr w:type="gramEnd"/>
            <w:r w:rsidRPr="00A30FB3">
              <w:rPr>
                <w:rFonts w:ascii="Times New Roman" w:hAnsi="Times New Roman" w:cs="Times New Roman"/>
              </w:rPr>
              <w:t xml:space="preserve"> just review, I’m wondering what that really adds from the LEA perspective. If you went to 1 business day, that might be longer than 48 hours, which would be longer than the time required for a response. My suggestion would be—do we even need this provision if we maintain the </w:t>
            </w:r>
            <w:proofErr w:type="gramStart"/>
            <w:r w:rsidRPr="00A30FB3">
              <w:rPr>
                <w:rFonts w:ascii="Times New Roman" w:hAnsi="Times New Roman" w:cs="Times New Roman"/>
              </w:rPr>
              <w:t>48 hour</w:t>
            </w:r>
            <w:proofErr w:type="gramEnd"/>
            <w:r w:rsidRPr="00A30FB3">
              <w:rPr>
                <w:rFonts w:ascii="Times New Roman" w:hAnsi="Times New Roman" w:cs="Times New Roman"/>
              </w:rPr>
              <w:t xml:space="preserve"> deadline for high-priority cases for a substantive response?</w:t>
            </w:r>
          </w:p>
          <w:p w14:paraId="3A2261B5" w14:textId="77777777" w:rsidR="00CF7768" w:rsidRPr="00A30FB3" w:rsidRDefault="00CF7768" w:rsidP="00672326">
            <w:pPr>
              <w:pStyle w:val="PlainText"/>
              <w:rPr>
                <w:rFonts w:ascii="Times New Roman" w:hAnsi="Times New Roman" w:cs="Times New Roman"/>
              </w:rPr>
            </w:pPr>
          </w:p>
          <w:p w14:paraId="540B2AFA"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b/>
              </w:rPr>
              <w:t xml:space="preserve">: </w:t>
            </w:r>
            <w:r w:rsidRPr="00A30FB3">
              <w:rPr>
                <w:rFonts w:ascii="Times New Roman" w:hAnsi="Times New Roman" w:cs="Times New Roman"/>
              </w:rPr>
              <w:t>another compromise—valid responses include autoresponder messages</w:t>
            </w:r>
          </w:p>
          <w:p w14:paraId="4B7CAAF0" w14:textId="77777777" w:rsidR="00CF7768" w:rsidRPr="00A30FB3" w:rsidRDefault="00CF7768" w:rsidP="00672326">
            <w:pPr>
              <w:pStyle w:val="PlainText"/>
              <w:rPr>
                <w:rFonts w:ascii="Times New Roman" w:hAnsi="Times New Roman" w:cs="Times New Roman"/>
              </w:rPr>
            </w:pPr>
          </w:p>
          <w:p w14:paraId="08B6852B"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Nick </w:t>
            </w:r>
            <w:proofErr w:type="spellStart"/>
            <w:r w:rsidRPr="00A30FB3">
              <w:rPr>
                <w:rFonts w:ascii="Times New Roman" w:hAnsi="Times New Roman" w:cs="Times New Roman"/>
                <w:b/>
              </w:rPr>
              <w:t>Shorey</w:t>
            </w:r>
            <w:proofErr w:type="spellEnd"/>
            <w:r w:rsidRPr="00A30FB3">
              <w:rPr>
                <w:rFonts w:ascii="Times New Roman" w:hAnsi="Times New Roman" w:cs="Times New Roman"/>
                <w:b/>
              </w:rPr>
              <w:t xml:space="preserve">: </w:t>
            </w:r>
            <w:r w:rsidRPr="00A30FB3">
              <w:rPr>
                <w:rFonts w:ascii="Times New Roman" w:hAnsi="Times New Roman" w:cs="Times New Roman"/>
              </w:rPr>
              <w:t xml:space="preserve">With this amendment—trying to provide flexibility so that response isn’t required in the </w:t>
            </w:r>
            <w:proofErr w:type="gramStart"/>
            <w:r w:rsidRPr="00A30FB3">
              <w:rPr>
                <w:rFonts w:ascii="Times New Roman" w:hAnsi="Times New Roman" w:cs="Times New Roman"/>
              </w:rPr>
              <w:t>24 hour</w:t>
            </w:r>
            <w:proofErr w:type="gramEnd"/>
            <w:r w:rsidRPr="00A30FB3">
              <w:rPr>
                <w:rFonts w:ascii="Times New Roman" w:hAnsi="Times New Roman" w:cs="Times New Roman"/>
              </w:rPr>
              <w:t xml:space="preserve"> period, but review should occur</w:t>
            </w:r>
          </w:p>
          <w:p w14:paraId="5D1F7D23" w14:textId="77777777" w:rsidR="00CF7768" w:rsidRPr="00A30FB3" w:rsidRDefault="00CF7768" w:rsidP="00672326">
            <w:pPr>
              <w:pStyle w:val="PlainText"/>
              <w:rPr>
                <w:rFonts w:ascii="Times New Roman" w:hAnsi="Times New Roman" w:cs="Times New Roman"/>
              </w:rPr>
            </w:pPr>
          </w:p>
          <w:p w14:paraId="1C10A29A"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 xml:space="preserve">The problem is that the RAA and PP are two very different animals; going back to the business day concept works pretty well from our </w:t>
            </w:r>
            <w:proofErr w:type="spellStart"/>
            <w:r w:rsidRPr="00A30FB3">
              <w:rPr>
                <w:rFonts w:ascii="Times New Roman" w:hAnsi="Times New Roman" w:cs="Times New Roman"/>
              </w:rPr>
              <w:t>PoV</w:t>
            </w:r>
            <w:proofErr w:type="spellEnd"/>
            <w:r w:rsidRPr="00A30FB3">
              <w:rPr>
                <w:rFonts w:ascii="Times New Roman" w:hAnsi="Times New Roman" w:cs="Times New Roman"/>
              </w:rPr>
              <w:t>—the 24 hours really doesn’t</w:t>
            </w:r>
          </w:p>
          <w:p w14:paraId="453A9D3A" w14:textId="77777777" w:rsidR="00CF7768" w:rsidRPr="00A30FB3" w:rsidRDefault="00CF7768" w:rsidP="00672326">
            <w:pPr>
              <w:pStyle w:val="PlainText"/>
              <w:rPr>
                <w:rFonts w:ascii="Times New Roman" w:hAnsi="Times New Roman" w:cs="Times New Roman"/>
              </w:rPr>
            </w:pPr>
          </w:p>
          <w:p w14:paraId="74AE8525"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What about 1 business day?</w:t>
            </w:r>
          </w:p>
          <w:p w14:paraId="6636DCCB" w14:textId="77777777" w:rsidR="00CF7768" w:rsidRPr="00A30FB3" w:rsidRDefault="00CF7768" w:rsidP="00672326">
            <w:pPr>
              <w:pStyle w:val="PlainText"/>
              <w:rPr>
                <w:rFonts w:ascii="Times New Roman" w:hAnsi="Times New Roman" w:cs="Times New Roman"/>
                <w:b/>
              </w:rPr>
            </w:pPr>
          </w:p>
          <w:p w14:paraId="61C1376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 Neylon—1 business day is better than 24 hours—not ideal but moving in the right direction</w:t>
            </w:r>
          </w:p>
          <w:p w14:paraId="4C784F14" w14:textId="77777777" w:rsidR="00CF7768" w:rsidRPr="00A30FB3" w:rsidRDefault="00CF7768" w:rsidP="00672326">
            <w:pPr>
              <w:pStyle w:val="PlainText"/>
              <w:rPr>
                <w:rFonts w:ascii="Times New Roman" w:hAnsi="Times New Roman" w:cs="Times New Roman"/>
              </w:rPr>
            </w:pPr>
          </w:p>
          <w:p w14:paraId="3E7E7D1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Nick </w:t>
            </w:r>
            <w:proofErr w:type="spellStart"/>
            <w:r w:rsidRPr="00A30FB3">
              <w:rPr>
                <w:rFonts w:ascii="Times New Roman" w:hAnsi="Times New Roman" w:cs="Times New Roman"/>
                <w:b/>
              </w:rPr>
              <w:t>Shorey</w:t>
            </w:r>
            <w:proofErr w:type="spellEnd"/>
            <w:r w:rsidRPr="00A30FB3">
              <w:rPr>
                <w:rFonts w:ascii="Times New Roman" w:hAnsi="Times New Roman" w:cs="Times New Roman"/>
                <w:b/>
              </w:rPr>
              <w:t xml:space="preserve">: </w:t>
            </w:r>
            <w:r w:rsidRPr="00A30FB3">
              <w:rPr>
                <w:rFonts w:ascii="Times New Roman" w:hAnsi="Times New Roman" w:cs="Times New Roman"/>
              </w:rPr>
              <w:t>We’ve been clear on the 24 hours</w:t>
            </w:r>
          </w:p>
          <w:p w14:paraId="1592D359" w14:textId="77777777" w:rsidR="00CF7768" w:rsidRPr="00A30FB3" w:rsidRDefault="00CF7768" w:rsidP="00672326">
            <w:pPr>
              <w:pStyle w:val="PlainText"/>
              <w:rPr>
                <w:rFonts w:ascii="Times New Roman" w:hAnsi="Times New Roman" w:cs="Times New Roman"/>
              </w:rPr>
            </w:pPr>
          </w:p>
          <w:p w14:paraId="3CC2C2F1"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Darcy </w:t>
            </w:r>
            <w:proofErr w:type="spellStart"/>
            <w:r w:rsidRPr="00A30FB3">
              <w:rPr>
                <w:rFonts w:ascii="Times New Roman" w:hAnsi="Times New Roman" w:cs="Times New Roman"/>
                <w:b/>
              </w:rPr>
              <w:t>Southwell</w:t>
            </w:r>
            <w:proofErr w:type="spellEnd"/>
            <w:r w:rsidRPr="00A30FB3">
              <w:rPr>
                <w:rFonts w:ascii="Times New Roman" w:hAnsi="Times New Roman" w:cs="Times New Roman"/>
                <w:b/>
              </w:rPr>
              <w:t xml:space="preserve">: </w:t>
            </w:r>
            <w:r w:rsidRPr="00A30FB3">
              <w:rPr>
                <w:rFonts w:ascii="Times New Roman" w:hAnsi="Times New Roman" w:cs="Times New Roman"/>
              </w:rPr>
              <w:t>What if we clarify this language to high priority issues only and 1 business day in the Provider’s jurisdiction</w:t>
            </w:r>
          </w:p>
          <w:p w14:paraId="16BD6794" w14:textId="77777777" w:rsidR="00CF7768" w:rsidRPr="00A30FB3" w:rsidRDefault="00CF7768" w:rsidP="00672326">
            <w:pPr>
              <w:pStyle w:val="PlainText"/>
              <w:rPr>
                <w:rFonts w:ascii="Times New Roman" w:hAnsi="Times New Roman" w:cs="Times New Roman"/>
              </w:rPr>
            </w:pPr>
          </w:p>
          <w:p w14:paraId="7B3B4BF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I think we are at an impasse. Business days are feasible. 24 hours is not. RAA and PPAA are different—can’t always draw parallels</w:t>
            </w:r>
          </w:p>
          <w:p w14:paraId="2CDD38B7"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Is GAC advice only looking from LEA view? What about privacy?</w:t>
            </w:r>
          </w:p>
          <w:p w14:paraId="3DD58824" w14:textId="77777777" w:rsidR="00CF7768" w:rsidRPr="00A30FB3" w:rsidRDefault="00CF7768" w:rsidP="00672326">
            <w:pPr>
              <w:pStyle w:val="PlainText"/>
              <w:rPr>
                <w:rFonts w:ascii="Times New Roman" w:hAnsi="Times New Roman" w:cs="Times New Roman"/>
              </w:rPr>
            </w:pPr>
          </w:p>
          <w:p w14:paraId="43D4A7B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lastRenderedPageBreak/>
              <w:t xml:space="preserve">Nick </w:t>
            </w:r>
            <w:proofErr w:type="spellStart"/>
            <w:r w:rsidRPr="00A30FB3">
              <w:rPr>
                <w:rFonts w:ascii="Times New Roman" w:hAnsi="Times New Roman" w:cs="Times New Roman"/>
                <w:b/>
              </w:rPr>
              <w:t>Shorey</w:t>
            </w:r>
            <w:proofErr w:type="spellEnd"/>
            <w:r w:rsidRPr="00A30FB3">
              <w:rPr>
                <w:rFonts w:ascii="Times New Roman" w:hAnsi="Times New Roman" w:cs="Times New Roman"/>
                <w:b/>
              </w:rPr>
              <w:t xml:space="preserve">: </w:t>
            </w:r>
            <w:r w:rsidRPr="00A30FB3">
              <w:rPr>
                <w:rFonts w:ascii="Times New Roman" w:hAnsi="Times New Roman" w:cs="Times New Roman"/>
              </w:rPr>
              <w:t>In terms of reviewing a request the question of privacy of customer data doesn’t necessarily apply. We are considering the privacy element but for this particular point—24 hours to review the request, I can’t see any privacy implications in the reviewing of the request that has been received.</w:t>
            </w:r>
          </w:p>
          <w:p w14:paraId="5033F59F" w14:textId="77777777" w:rsidR="00CF7768" w:rsidRPr="00A30FB3" w:rsidRDefault="00CF7768" w:rsidP="00672326">
            <w:pPr>
              <w:pStyle w:val="PlainText"/>
              <w:rPr>
                <w:rFonts w:ascii="Times New Roman" w:hAnsi="Times New Roman" w:cs="Times New Roman"/>
              </w:rPr>
            </w:pPr>
          </w:p>
          <w:p w14:paraId="7462A72E"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 xml:space="preserve">Steve Metalitz: </w:t>
            </w:r>
            <w:r w:rsidRPr="00A30FB3">
              <w:rPr>
                <w:rFonts w:ascii="Times New Roman" w:hAnsi="Times New Roman" w:cs="Times New Roman"/>
              </w:rPr>
              <w:t>+1 Nick, under PSWG proposal the decision whether to disclose does not have to be made within 24 hours.</w:t>
            </w:r>
          </w:p>
          <w:p w14:paraId="07B4886D" w14:textId="77777777" w:rsidR="00CF7768" w:rsidRPr="00A30FB3" w:rsidRDefault="00CF7768" w:rsidP="00672326">
            <w:pPr>
              <w:pStyle w:val="PlainText"/>
              <w:rPr>
                <w:rFonts w:ascii="Times New Roman" w:hAnsi="Times New Roman" w:cs="Times New Roman"/>
                <w:b/>
              </w:rPr>
            </w:pPr>
          </w:p>
          <w:p w14:paraId="33E262B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The text seems not very flexible. Maybe we should revise altogether. I’m missing the balance here.</w:t>
            </w:r>
          </w:p>
          <w:p w14:paraId="0EF0D068" w14:textId="77777777" w:rsidR="00CF7768" w:rsidRPr="00A30FB3" w:rsidRDefault="00CF7768" w:rsidP="00672326">
            <w:pPr>
              <w:pStyle w:val="PlainText"/>
              <w:rPr>
                <w:rFonts w:ascii="Times New Roman" w:hAnsi="Times New Roman" w:cs="Times New Roman"/>
              </w:rPr>
            </w:pPr>
          </w:p>
          <w:p w14:paraId="4777F0C9"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 xml:space="preserve">Re: suggestion from Darcy </w:t>
            </w:r>
            <w:proofErr w:type="spellStart"/>
            <w:r w:rsidRPr="00A30FB3">
              <w:rPr>
                <w:rFonts w:ascii="Times New Roman" w:hAnsi="Times New Roman" w:cs="Times New Roman"/>
                <w:b/>
              </w:rPr>
              <w:t>Southwell</w:t>
            </w:r>
            <w:proofErr w:type="spellEnd"/>
            <w:r w:rsidRPr="00A30FB3">
              <w:rPr>
                <w:rFonts w:ascii="Times New Roman" w:hAnsi="Times New Roman" w:cs="Times New Roman"/>
                <w:b/>
              </w:rPr>
              <w:t>:</w:t>
            </w:r>
          </w:p>
          <w:p w14:paraId="5F5D220A"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Michele—I don’t fully agree but this is a question of having staff available who are qualified to review 24hours a day</w:t>
            </w:r>
          </w:p>
          <w:p w14:paraId="12EFBD5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Volker </w:t>
            </w:r>
            <w:proofErr w:type="spellStart"/>
            <w:r w:rsidRPr="00A30FB3">
              <w:rPr>
                <w:rFonts w:ascii="Times New Roman" w:hAnsi="Times New Roman" w:cs="Times New Roman"/>
              </w:rPr>
              <w:t>Greimann</w:t>
            </w:r>
            <w:proofErr w:type="spellEnd"/>
            <w:r w:rsidRPr="00A30FB3">
              <w:rPr>
                <w:rFonts w:ascii="Times New Roman" w:hAnsi="Times New Roman" w:cs="Times New Roman"/>
              </w:rPr>
              <w:t>—won’t work</w:t>
            </w:r>
          </w:p>
          <w:p w14:paraId="12406990" w14:textId="77777777" w:rsidR="00CF7768" w:rsidRPr="00A30FB3" w:rsidRDefault="00CF7768" w:rsidP="00672326">
            <w:pPr>
              <w:pStyle w:val="PlainText"/>
              <w:rPr>
                <w:rFonts w:ascii="Times New Roman" w:hAnsi="Times New Roman" w:cs="Times New Roman"/>
              </w:rPr>
            </w:pPr>
          </w:p>
          <w:p w14:paraId="4C1E657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To repeat, one business day will be longer than 48 hours if it is a </w:t>
            </w:r>
            <w:proofErr w:type="gramStart"/>
            <w:r w:rsidRPr="00A30FB3">
              <w:rPr>
                <w:rFonts w:ascii="Times New Roman" w:hAnsi="Times New Roman" w:cs="Times New Roman"/>
              </w:rPr>
              <w:t>3 day</w:t>
            </w:r>
            <w:proofErr w:type="gramEnd"/>
            <w:r w:rsidRPr="00A30FB3">
              <w:rPr>
                <w:rFonts w:ascii="Times New Roman" w:hAnsi="Times New Roman" w:cs="Times New Roman"/>
              </w:rPr>
              <w:t xml:space="preserve"> weekend so would have to respond substantively before your review obligation is completed. Suggest thinking about whether we need a review period at all if we are in agreement re: the deadline for </w:t>
            </w:r>
            <w:proofErr w:type="spellStart"/>
            <w:r w:rsidRPr="00A30FB3">
              <w:rPr>
                <w:rFonts w:ascii="Times New Roman" w:hAnsi="Times New Roman" w:cs="Times New Roman"/>
              </w:rPr>
              <w:t>actioning</w:t>
            </w:r>
            <w:proofErr w:type="spellEnd"/>
            <w:r w:rsidRPr="00A30FB3">
              <w:rPr>
                <w:rFonts w:ascii="Times New Roman" w:hAnsi="Times New Roman" w:cs="Times New Roman"/>
              </w:rPr>
              <w:t xml:space="preserve"> the request.</w:t>
            </w:r>
          </w:p>
        </w:tc>
        <w:tc>
          <w:tcPr>
            <w:tcW w:w="3923" w:type="dxa"/>
            <w:shd w:val="clear" w:color="auto" w:fill="auto"/>
          </w:tcPr>
          <w:p w14:paraId="45269FBB" w14:textId="77777777" w:rsidR="00CF7768" w:rsidRPr="00A30FB3" w:rsidRDefault="00CF7768" w:rsidP="00672326"/>
        </w:tc>
      </w:tr>
      <w:tr w:rsidR="00CF7768" w:rsidRPr="00A30FB3" w14:paraId="050879E7" w14:textId="77777777" w:rsidTr="001B4462">
        <w:tc>
          <w:tcPr>
            <w:tcW w:w="1241" w:type="dxa"/>
            <w:shd w:val="clear" w:color="auto" w:fill="auto"/>
          </w:tcPr>
          <w:p w14:paraId="770A77AC" w14:textId="77777777" w:rsidR="00CF7768" w:rsidRPr="00A30FB3" w:rsidRDefault="00CF7768" w:rsidP="00672326"/>
        </w:tc>
        <w:tc>
          <w:tcPr>
            <w:tcW w:w="1790" w:type="dxa"/>
            <w:shd w:val="clear" w:color="auto" w:fill="auto"/>
          </w:tcPr>
          <w:p w14:paraId="679DF399" w14:textId="77777777" w:rsidR="00CF7768" w:rsidRPr="00A30FB3" w:rsidRDefault="00CF7768" w:rsidP="00672326"/>
        </w:tc>
        <w:tc>
          <w:tcPr>
            <w:tcW w:w="1912" w:type="dxa"/>
            <w:shd w:val="clear" w:color="auto" w:fill="auto"/>
          </w:tcPr>
          <w:p w14:paraId="31972700" w14:textId="77777777" w:rsidR="00CF7768" w:rsidRPr="00A30FB3" w:rsidRDefault="00CF7768" w:rsidP="00672326">
            <w:r w:rsidRPr="00A30FB3">
              <w:t>LEA framework (continued)</w:t>
            </w:r>
          </w:p>
        </w:tc>
        <w:tc>
          <w:tcPr>
            <w:tcW w:w="4084" w:type="dxa"/>
            <w:shd w:val="clear" w:color="auto" w:fill="auto"/>
          </w:tcPr>
          <w:p w14:paraId="0EBFEC7E" w14:textId="77777777" w:rsidR="00CF7768" w:rsidRPr="00A30FB3" w:rsidRDefault="00CF7768" w:rsidP="00672326"/>
        </w:tc>
        <w:tc>
          <w:tcPr>
            <w:tcW w:w="3923" w:type="dxa"/>
            <w:shd w:val="clear" w:color="auto" w:fill="auto"/>
          </w:tcPr>
          <w:p w14:paraId="73E047CE" w14:textId="77777777" w:rsidR="00CF7768" w:rsidRPr="00A30FB3" w:rsidRDefault="00CF7768" w:rsidP="00672326">
            <w:pPr>
              <w:pStyle w:val="PlainText"/>
              <w:rPr>
                <w:rFonts w:ascii="Times New Roman" w:hAnsi="Times New Roman" w:cs="Times New Roman"/>
                <w:b/>
              </w:rPr>
            </w:pPr>
          </w:p>
        </w:tc>
        <w:tc>
          <w:tcPr>
            <w:tcW w:w="3923" w:type="dxa"/>
            <w:shd w:val="clear" w:color="auto" w:fill="auto"/>
          </w:tcPr>
          <w:p w14:paraId="7E2FA637" w14:textId="77777777" w:rsidR="00CF7768" w:rsidRPr="00A30FB3" w:rsidRDefault="00CF7768" w:rsidP="00672326">
            <w:pPr>
              <w:rPr>
                <w:b/>
              </w:rPr>
            </w:pPr>
            <w:r w:rsidRPr="00A30FB3">
              <w:rPr>
                <w:b/>
              </w:rPr>
              <w:t xml:space="preserve">IRT feedback requested on proposed edits to LEA framework in PPAAv2 proposed for </w:t>
            </w:r>
            <w:r w:rsidRPr="00A30FB3">
              <w:rPr>
                <w:b/>
              </w:rPr>
              <w:lastRenderedPageBreak/>
              <w:t>consistency of terms and to combine/eliminate duplication.</w:t>
            </w:r>
          </w:p>
        </w:tc>
      </w:tr>
      <w:tr w:rsidR="00CF7768" w:rsidRPr="00A30FB3" w14:paraId="51892FF3" w14:textId="77777777" w:rsidTr="001B4462">
        <w:tc>
          <w:tcPr>
            <w:tcW w:w="1241" w:type="dxa"/>
            <w:shd w:val="clear" w:color="auto" w:fill="auto"/>
          </w:tcPr>
          <w:p w14:paraId="31395861" w14:textId="363890EC" w:rsidR="00CF7768" w:rsidRPr="00A30FB3" w:rsidRDefault="001B4462" w:rsidP="00672326">
            <w:r>
              <w:lastRenderedPageBreak/>
              <w:t>9</w:t>
            </w:r>
          </w:p>
        </w:tc>
        <w:tc>
          <w:tcPr>
            <w:tcW w:w="1790" w:type="dxa"/>
            <w:shd w:val="clear" w:color="auto" w:fill="auto"/>
          </w:tcPr>
          <w:p w14:paraId="00004354" w14:textId="77777777" w:rsidR="00CF7768" w:rsidRPr="00A30FB3" w:rsidRDefault="00CF7768" w:rsidP="00672326">
            <w:r w:rsidRPr="00A30FB3">
              <w:t>Intellectual Property Disclosure Framework Specification</w:t>
            </w:r>
          </w:p>
        </w:tc>
        <w:tc>
          <w:tcPr>
            <w:tcW w:w="1912" w:type="dxa"/>
            <w:shd w:val="clear" w:color="auto" w:fill="auto"/>
          </w:tcPr>
          <w:p w14:paraId="2523A8F0" w14:textId="77777777" w:rsidR="00CF7768" w:rsidRPr="00A30FB3" w:rsidRDefault="00CF7768" w:rsidP="00672326">
            <w:r w:rsidRPr="00A30FB3">
              <w:t>Conformance</w:t>
            </w:r>
          </w:p>
        </w:tc>
        <w:tc>
          <w:tcPr>
            <w:tcW w:w="4084" w:type="dxa"/>
            <w:shd w:val="clear" w:color="auto" w:fill="auto"/>
          </w:tcPr>
          <w:p w14:paraId="6414B43C" w14:textId="77777777" w:rsidR="00CF7768" w:rsidRPr="00A30FB3" w:rsidRDefault="00CF7768" w:rsidP="00672326">
            <w:r w:rsidRPr="00A30FB3">
              <w:t>This Specification will need to be evaluated in relation to the entire PPAA.</w:t>
            </w:r>
          </w:p>
        </w:tc>
        <w:tc>
          <w:tcPr>
            <w:tcW w:w="3923" w:type="dxa"/>
            <w:shd w:val="clear" w:color="auto" w:fill="auto"/>
          </w:tcPr>
          <w:p w14:paraId="09536081"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IRT Feedback on 22 August call:</w:t>
            </w:r>
          </w:p>
          <w:p w14:paraId="5EA9EE42" w14:textId="77777777" w:rsidR="00CF7768" w:rsidRPr="00A30FB3" w:rsidRDefault="00CF7768" w:rsidP="00672326">
            <w:pPr>
              <w:pStyle w:val="PlainText"/>
              <w:rPr>
                <w:rFonts w:ascii="Times New Roman" w:hAnsi="Times New Roman" w:cs="Times New Roman"/>
                <w:b/>
              </w:rPr>
            </w:pPr>
          </w:p>
          <w:p w14:paraId="3826391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Margie Milam: </w:t>
            </w:r>
            <w:r w:rsidRPr="00A30FB3">
              <w:rPr>
                <w:rFonts w:ascii="Times New Roman" w:hAnsi="Times New Roman" w:cs="Times New Roman"/>
              </w:rPr>
              <w:t>Following up on message to the list, it struck me that framework is missing the intro language from the final report about manual review of these requests and that there is a rebuttable presumption of noncompliance if there is not a human review. I would like to propose to add that.</w:t>
            </w:r>
          </w:p>
          <w:p w14:paraId="2D67E18C" w14:textId="77777777" w:rsidR="00CF7768" w:rsidRPr="00A30FB3" w:rsidRDefault="00CF7768" w:rsidP="00672326">
            <w:pPr>
              <w:pStyle w:val="PlainText"/>
              <w:rPr>
                <w:rFonts w:ascii="Times New Roman" w:hAnsi="Times New Roman" w:cs="Times New Roman"/>
              </w:rPr>
            </w:pPr>
          </w:p>
          <w:p w14:paraId="05447D5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I don’t like forcing human review. If provider is processing a large number of requests, not taking request via email (probably API or some automated process). The way one would normally handle data going through that type of system is more automated (if a request requires 5 elements and request only has 4, API could automatically reject it). When it comes to initial review under any of the frameworks I don’t see why it has to be done by a human—if they haven’t provided enough information for a request to be valid we should be able to handle that automatically.</w:t>
            </w:r>
          </w:p>
          <w:p w14:paraId="2F8874E1" w14:textId="77777777" w:rsidR="00CF7768" w:rsidRPr="00A30FB3" w:rsidRDefault="00CF7768" w:rsidP="00672326">
            <w:pPr>
              <w:pStyle w:val="PlainText"/>
              <w:rPr>
                <w:rFonts w:ascii="Times New Roman" w:hAnsi="Times New Roman" w:cs="Times New Roman"/>
              </w:rPr>
            </w:pPr>
          </w:p>
          <w:p w14:paraId="20F8972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Margie Milam: </w:t>
            </w:r>
            <w:r w:rsidRPr="00A30FB3">
              <w:rPr>
                <w:rFonts w:ascii="Times New Roman" w:hAnsi="Times New Roman" w:cs="Times New Roman"/>
              </w:rPr>
              <w:t xml:space="preserve">I understand that where would be some API but the policy does talk about that. I’d like to hear from others who were involved in the PDP as </w:t>
            </w:r>
            <w:r w:rsidRPr="00A30FB3">
              <w:rPr>
                <w:rFonts w:ascii="Times New Roman" w:hAnsi="Times New Roman" w:cs="Times New Roman"/>
              </w:rPr>
              <w:lastRenderedPageBreak/>
              <w:t>to why this was in the report and how we might accommodate that.</w:t>
            </w:r>
          </w:p>
          <w:p w14:paraId="7BCBB4F1" w14:textId="77777777" w:rsidR="00CF7768" w:rsidRPr="00A30FB3" w:rsidRDefault="00CF7768" w:rsidP="00672326">
            <w:pPr>
              <w:pStyle w:val="PlainText"/>
              <w:rPr>
                <w:rFonts w:ascii="Times New Roman" w:hAnsi="Times New Roman" w:cs="Times New Roman"/>
              </w:rPr>
            </w:pPr>
          </w:p>
          <w:p w14:paraId="50E9727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One of the reasons this was in here was concerns about high-volume requests we all receive around certain types of alleged abuse where it is 100% automated (e.g. DMCA requests)—the concern people expressed was that without some level of human review someone could send hundreds/thousands of automated requests in there</w:t>
            </w:r>
          </w:p>
          <w:p w14:paraId="26D9353F" w14:textId="77777777" w:rsidR="00CF7768" w:rsidRPr="00A30FB3" w:rsidRDefault="00CF7768" w:rsidP="00672326">
            <w:pPr>
              <w:pStyle w:val="PlainText"/>
              <w:rPr>
                <w:rFonts w:ascii="Times New Roman" w:hAnsi="Times New Roman" w:cs="Times New Roman"/>
              </w:rPr>
            </w:pPr>
          </w:p>
          <w:p w14:paraId="75DC689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Mary Wong:</w:t>
            </w:r>
            <w:r w:rsidRPr="00A30FB3">
              <w:rPr>
                <w:rFonts w:ascii="Times New Roman" w:hAnsi="Times New Roman" w:cs="Times New Roman"/>
              </w:rPr>
              <w:t xml:space="preserve"> For background from PDP, from what I recall, there was some concern on requester and provider side about high volume requests. Not sure the intention was to create an obligation for providers to have human review when they received a request—don’t think recommendations went that far</w:t>
            </w:r>
          </w:p>
          <w:p w14:paraId="23A50CE6" w14:textId="77777777" w:rsidR="00CF7768" w:rsidRPr="00A30FB3" w:rsidRDefault="00CF7768" w:rsidP="00672326">
            <w:pPr>
              <w:pStyle w:val="PlainText"/>
              <w:rPr>
                <w:rFonts w:ascii="Times New Roman" w:hAnsi="Times New Roman" w:cs="Times New Roman"/>
              </w:rPr>
            </w:pPr>
          </w:p>
          <w:p w14:paraId="0DEC9545"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Michele Neylon: +1 Mary</w:t>
            </w:r>
          </w:p>
          <w:p w14:paraId="4827370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My recollection is that the concern Michele raised is the source of this. The expectation was there probably would not be a high volume of these requests (unlike Relay, that made clear that providers could use automated processes for those). The expectation was that because of the detail that has to be provided in a disclosure request, seems likely that it wouldn’t be feasible to do these in an automated fashion. </w:t>
            </w:r>
          </w:p>
          <w:p w14:paraId="23761162" w14:textId="77777777" w:rsidR="00CF7768" w:rsidRPr="00A30FB3" w:rsidRDefault="00CF7768" w:rsidP="00672326">
            <w:pPr>
              <w:pStyle w:val="PlainText"/>
              <w:rPr>
                <w:rFonts w:ascii="Times New Roman" w:hAnsi="Times New Roman" w:cs="Times New Roman"/>
              </w:rPr>
            </w:pPr>
          </w:p>
          <w:p w14:paraId="0385A54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I would like to point out that the # of reports that could come in could go up depending on several processes within ICANN itself—usage of PP could increase drastically so we need to think about the future</w:t>
            </w:r>
          </w:p>
          <w:p w14:paraId="39229C57" w14:textId="77777777" w:rsidR="00CF7768" w:rsidRPr="00A30FB3" w:rsidRDefault="00CF7768" w:rsidP="00672326">
            <w:pPr>
              <w:pStyle w:val="PlainText"/>
              <w:rPr>
                <w:rFonts w:ascii="Times New Roman" w:hAnsi="Times New Roman" w:cs="Times New Roman"/>
              </w:rPr>
            </w:pPr>
          </w:p>
          <w:p w14:paraId="7FD47FA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+1 Theo</w:t>
            </w:r>
          </w:p>
          <w:p w14:paraId="16315560" w14:textId="77777777" w:rsidR="00CF7768" w:rsidRPr="00A30FB3" w:rsidRDefault="00CF7768" w:rsidP="00672326">
            <w:pPr>
              <w:pStyle w:val="PlainText"/>
              <w:rPr>
                <w:rFonts w:ascii="Times New Roman" w:hAnsi="Times New Roman" w:cs="Times New Roman"/>
              </w:rPr>
            </w:pPr>
          </w:p>
          <w:p w14:paraId="7DA51086" w14:textId="77777777" w:rsidR="00CF7768" w:rsidRPr="00A30FB3" w:rsidRDefault="00CF7768" w:rsidP="00672326">
            <w:pPr>
              <w:pStyle w:val="PlainText"/>
              <w:rPr>
                <w:rFonts w:ascii="Times New Roman" w:hAnsi="Times New Roman" w:cs="Times New Roman"/>
                <w:vertAlign w:val="subscript"/>
              </w:rPr>
            </w:pPr>
            <w:r w:rsidRPr="00A30FB3">
              <w:rPr>
                <w:rFonts w:ascii="Times New Roman" w:hAnsi="Times New Roman" w:cs="Times New Roman"/>
                <w:b/>
              </w:rPr>
              <w:t xml:space="preserve">Steve Metalitz: </w:t>
            </w:r>
            <w:r w:rsidRPr="00A30FB3">
              <w:rPr>
                <w:rFonts w:ascii="Times New Roman" w:hAnsi="Times New Roman" w:cs="Times New Roman"/>
              </w:rPr>
              <w:t>let’s keep this in perspective. This is where we ended up. There are obviously provisions that I would like to see improved and others would, too, but after a very protracted negotiation we ended up here and we should think carefully about whether we want to change anything in here.</w:t>
            </w:r>
          </w:p>
        </w:tc>
        <w:tc>
          <w:tcPr>
            <w:tcW w:w="3923" w:type="dxa"/>
            <w:shd w:val="clear" w:color="auto" w:fill="auto"/>
          </w:tcPr>
          <w:p w14:paraId="4077DDEA" w14:textId="77777777" w:rsidR="00CF7768" w:rsidRPr="00A30FB3" w:rsidRDefault="00CF7768" w:rsidP="00672326">
            <w:pPr>
              <w:rPr>
                <w:b/>
              </w:rPr>
            </w:pPr>
            <w:r w:rsidRPr="00A30FB3">
              <w:rPr>
                <w:b/>
              </w:rPr>
              <w:lastRenderedPageBreak/>
              <w:t>IRT feedback requested on proposed edits in PPAAv2, Section 3.15, and IP framework. ICANN org is proposing non-substantive edits to framework for consistency of terms and as noted in the document comments.</w:t>
            </w:r>
            <w:bookmarkStart w:id="0" w:name="_GoBack"/>
            <w:bookmarkEnd w:id="0"/>
          </w:p>
        </w:tc>
      </w:tr>
      <w:tr w:rsidR="00CF7768" w:rsidRPr="00A30FB3" w14:paraId="1B2FE224" w14:textId="77777777" w:rsidTr="001B4462">
        <w:tc>
          <w:tcPr>
            <w:tcW w:w="1241" w:type="dxa"/>
            <w:shd w:val="clear" w:color="auto" w:fill="auto"/>
          </w:tcPr>
          <w:p w14:paraId="1701643B" w14:textId="77777777" w:rsidR="00CF7768" w:rsidRPr="00A30FB3" w:rsidRDefault="00CF7768" w:rsidP="00672326"/>
        </w:tc>
        <w:tc>
          <w:tcPr>
            <w:tcW w:w="1790" w:type="dxa"/>
            <w:shd w:val="clear" w:color="auto" w:fill="auto"/>
          </w:tcPr>
          <w:p w14:paraId="2B6EF4F1" w14:textId="77777777" w:rsidR="00CF7768" w:rsidRPr="00A30FB3" w:rsidRDefault="00CF7768" w:rsidP="00672326"/>
        </w:tc>
        <w:tc>
          <w:tcPr>
            <w:tcW w:w="1912" w:type="dxa"/>
            <w:shd w:val="clear" w:color="auto" w:fill="auto"/>
          </w:tcPr>
          <w:p w14:paraId="5AB77C4B" w14:textId="77777777" w:rsidR="00CF7768" w:rsidRPr="00A30FB3" w:rsidRDefault="00CF7768" w:rsidP="00672326"/>
        </w:tc>
        <w:tc>
          <w:tcPr>
            <w:tcW w:w="4084" w:type="dxa"/>
            <w:shd w:val="clear" w:color="auto" w:fill="auto"/>
          </w:tcPr>
          <w:p w14:paraId="4C2832AB" w14:textId="77777777" w:rsidR="00CF7768" w:rsidRPr="00A30FB3" w:rsidRDefault="00CF7768" w:rsidP="00672326"/>
        </w:tc>
        <w:tc>
          <w:tcPr>
            <w:tcW w:w="3923" w:type="dxa"/>
            <w:shd w:val="clear" w:color="auto" w:fill="auto"/>
          </w:tcPr>
          <w:p w14:paraId="3D2CB9C4"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Additional comments/questions received on-list:</w:t>
            </w:r>
          </w:p>
          <w:p w14:paraId="77DF6067" w14:textId="77777777" w:rsidR="00CF7768" w:rsidRPr="00A30FB3" w:rsidRDefault="00CF7768" w:rsidP="00672326">
            <w:pPr>
              <w:pStyle w:val="PlainText"/>
              <w:rPr>
                <w:rFonts w:ascii="Times New Roman" w:hAnsi="Times New Roman" w:cs="Times New Roman"/>
                <w:b/>
              </w:rPr>
            </w:pPr>
          </w:p>
          <w:p w14:paraId="4F824534" w14:textId="77777777" w:rsidR="00CF7768" w:rsidRPr="00A30FB3" w:rsidRDefault="00CF7768" w:rsidP="00CF7768">
            <w:pPr>
              <w:numPr>
                <w:ilvl w:val="0"/>
                <w:numId w:val="6"/>
              </w:numPr>
              <w:rPr>
                <w:rFonts w:eastAsia="Times New Roman"/>
              </w:rPr>
            </w:pPr>
            <w:r w:rsidRPr="00A30FB3">
              <w:rPr>
                <w:b/>
              </w:rPr>
              <w:t xml:space="preserve">Margie Milam: </w:t>
            </w:r>
            <w:r w:rsidRPr="00A30FB3">
              <w:rPr>
                <w:rFonts w:eastAsia="Times New Roman"/>
              </w:rPr>
              <w:t xml:space="preserve">What is the justification for charging? (see: </w:t>
            </w:r>
            <w:r w:rsidRPr="00A30FB3">
              <w:rPr>
                <w:rFonts w:eastAsia="Times New Roman"/>
                <w:b/>
                <w:bCs/>
              </w:rPr>
              <w:t>Section 1.2.3</w:t>
            </w:r>
            <w:r w:rsidRPr="00A30FB3">
              <w:rPr>
                <w:rFonts w:eastAsia="Times New Roman"/>
              </w:rPr>
              <w:t xml:space="preserve">. Assessing a nominal cost-recovery fee for processing complaint submissions, or to maintain Requester account so long as this does not serve as an unreasonable barrier to access to the process).  Since there was no support on the IRT for requiring manual review of requests, perhaps there is no </w:t>
            </w:r>
            <w:r w:rsidRPr="00A30FB3">
              <w:rPr>
                <w:rFonts w:eastAsia="Times New Roman"/>
              </w:rPr>
              <w:lastRenderedPageBreak/>
              <w:t>longer a need to charge a fee for submitting requests.</w:t>
            </w:r>
          </w:p>
          <w:p w14:paraId="53A5CA69" w14:textId="77777777" w:rsidR="00CF7768" w:rsidRPr="00A30FB3" w:rsidRDefault="00CF7768" w:rsidP="00CF7768">
            <w:pPr>
              <w:numPr>
                <w:ilvl w:val="0"/>
                <w:numId w:val="6"/>
              </w:numPr>
              <w:rPr>
                <w:rFonts w:eastAsia="Times New Roman"/>
              </w:rPr>
            </w:pPr>
            <w:r w:rsidRPr="00A30FB3">
              <w:rPr>
                <w:rFonts w:eastAsia="Times New Roman"/>
                <w:b/>
                <w:bCs/>
              </w:rPr>
              <w:t xml:space="preserve">Section 1.2 - </w:t>
            </w:r>
            <w:r w:rsidRPr="00A30FB3">
              <w:rPr>
                <w:rFonts w:eastAsia="Times New Roman"/>
              </w:rPr>
              <w:t xml:space="preserve">There should be an appeal process built in (just like registrars are afforded when “adversely affected”) – especially where the Provider can revoke or block Requester access to the submission tool … </w:t>
            </w:r>
          </w:p>
          <w:p w14:paraId="1A52F4EA" w14:textId="77777777" w:rsidR="00CF7768" w:rsidRPr="00A30FB3" w:rsidRDefault="00CF7768" w:rsidP="00CF7768">
            <w:pPr>
              <w:numPr>
                <w:ilvl w:val="0"/>
                <w:numId w:val="6"/>
              </w:numPr>
              <w:rPr>
                <w:rFonts w:eastAsia="Times New Roman"/>
              </w:rPr>
            </w:pPr>
            <w:r w:rsidRPr="00A30FB3">
              <w:rPr>
                <w:rFonts w:eastAsia="Times New Roman"/>
                <w:b/>
                <w:bCs/>
              </w:rPr>
              <w:t>Section 2.1.6.1</w:t>
            </w:r>
            <w:r w:rsidRPr="00A30FB3">
              <w:rPr>
                <w:rFonts w:eastAsia="Times New Roman"/>
              </w:rPr>
              <w:t xml:space="preserve"> and </w:t>
            </w:r>
            <w:r w:rsidRPr="00A30FB3">
              <w:rPr>
                <w:rFonts w:eastAsia="Times New Roman"/>
                <w:b/>
                <w:bCs/>
              </w:rPr>
              <w:t>2.2.7.1</w:t>
            </w:r>
            <w:r w:rsidRPr="00A30FB3">
              <w:rPr>
                <w:rFonts w:eastAsia="Times New Roman"/>
              </w:rPr>
              <w:t>-  Requiring the rights holder to state that “is not defensible: is an improper standard because anyone can “claim a defense”</w:t>
            </w:r>
          </w:p>
          <w:p w14:paraId="7B8A7585" w14:textId="77777777" w:rsidR="00CF7768" w:rsidRPr="00A30FB3" w:rsidRDefault="00CF7768" w:rsidP="00CF7768">
            <w:pPr>
              <w:numPr>
                <w:ilvl w:val="0"/>
                <w:numId w:val="6"/>
              </w:numPr>
              <w:rPr>
                <w:rFonts w:eastAsia="Times New Roman"/>
                <w:b/>
                <w:bCs/>
              </w:rPr>
            </w:pPr>
            <w:r w:rsidRPr="00A30FB3">
              <w:rPr>
                <w:rFonts w:eastAsia="Times New Roman"/>
                <w:b/>
                <w:bCs/>
              </w:rPr>
              <w:t xml:space="preserve">Section 3.3.4 – </w:t>
            </w:r>
            <w:r w:rsidRPr="00A30FB3">
              <w:rPr>
                <w:rFonts w:eastAsia="Times New Roman"/>
              </w:rPr>
              <w:t>if the disclosure is refused, and the customer has surrendered the name, how does the rights holder identify who and where to sue for past infringement?  Are the providers to be sued in lieu of the customer?</w:t>
            </w:r>
          </w:p>
          <w:p w14:paraId="09CB5838" w14:textId="77777777" w:rsidR="00CF7768" w:rsidRPr="00A30FB3" w:rsidRDefault="00CF7768" w:rsidP="00CF7768">
            <w:pPr>
              <w:numPr>
                <w:ilvl w:val="0"/>
                <w:numId w:val="6"/>
              </w:numPr>
              <w:rPr>
                <w:rFonts w:eastAsia="Times New Roman"/>
              </w:rPr>
            </w:pPr>
          </w:p>
          <w:p w14:paraId="59041B35" w14:textId="77777777" w:rsidR="00CF7768" w:rsidRPr="00A30FB3" w:rsidRDefault="00CF7768" w:rsidP="00672326">
            <w:pPr>
              <w:pStyle w:val="PlainText"/>
              <w:rPr>
                <w:rFonts w:ascii="Times New Roman" w:hAnsi="Times New Roman" w:cs="Times New Roman"/>
                <w:b/>
              </w:rPr>
            </w:pPr>
          </w:p>
        </w:tc>
        <w:tc>
          <w:tcPr>
            <w:tcW w:w="3923" w:type="dxa"/>
            <w:shd w:val="clear" w:color="auto" w:fill="auto"/>
          </w:tcPr>
          <w:p w14:paraId="0D94A94F" w14:textId="77777777" w:rsidR="00CF7768" w:rsidRPr="00A30FB3" w:rsidRDefault="00CF7768" w:rsidP="00672326"/>
        </w:tc>
      </w:tr>
      <w:tr w:rsidR="00CF7768" w:rsidRPr="00A30FB3" w14:paraId="3B45AC34" w14:textId="77777777" w:rsidTr="006E2A6C">
        <w:tc>
          <w:tcPr>
            <w:tcW w:w="1241" w:type="dxa"/>
            <w:shd w:val="clear" w:color="auto" w:fill="auto"/>
          </w:tcPr>
          <w:p w14:paraId="17033986" w14:textId="684D86CA" w:rsidR="00CF7768" w:rsidRPr="00A30FB3" w:rsidRDefault="001B4462" w:rsidP="00672326">
            <w:r>
              <w:lastRenderedPageBreak/>
              <w:t>10</w:t>
            </w:r>
          </w:p>
        </w:tc>
        <w:tc>
          <w:tcPr>
            <w:tcW w:w="1790" w:type="dxa"/>
            <w:shd w:val="clear" w:color="auto" w:fill="auto"/>
          </w:tcPr>
          <w:p w14:paraId="71C2973A" w14:textId="77777777" w:rsidR="00CF7768" w:rsidRPr="00A30FB3" w:rsidRDefault="00CF7768" w:rsidP="00672326">
            <w:r w:rsidRPr="00A30FB3">
              <w:t xml:space="preserve">RAA Synchronization </w:t>
            </w:r>
          </w:p>
        </w:tc>
        <w:tc>
          <w:tcPr>
            <w:tcW w:w="1912" w:type="dxa"/>
            <w:shd w:val="clear" w:color="auto" w:fill="auto"/>
          </w:tcPr>
          <w:p w14:paraId="51308C32" w14:textId="77777777" w:rsidR="00CF7768" w:rsidRPr="00A30FB3" w:rsidRDefault="00CF7768" w:rsidP="00672326">
            <w:r w:rsidRPr="00A30FB3">
              <w:t>Updates to the RAA</w:t>
            </w:r>
          </w:p>
        </w:tc>
        <w:tc>
          <w:tcPr>
            <w:tcW w:w="4084" w:type="dxa"/>
            <w:shd w:val="clear" w:color="auto" w:fill="auto"/>
          </w:tcPr>
          <w:p w14:paraId="4E7F4B61" w14:textId="77777777" w:rsidR="00CF7768" w:rsidRPr="00A30FB3" w:rsidRDefault="00CF7768" w:rsidP="00672326">
            <w:r w:rsidRPr="00A30FB3">
              <w:t xml:space="preserve">The introductory paragraph of Specification 2 contains a provision contemplating automatic updates if an analogous provision is updated in the RAA.  Please advise if this is workable </w:t>
            </w:r>
            <w:r w:rsidRPr="00A30FB3">
              <w:lastRenderedPageBreak/>
              <w:t xml:space="preserve">and confirm whether other RAA-modeled provisions should receive similar treatment.  This seems advisable to avoid inconsistencies across the agreements. Some of the definitions that have their origins in the RAA are inherently going to be differently phrased in the PPAA due to different defined terms, etc. so if this concept is kept than there will need to be some form of implementation to harmonize them. </w:t>
            </w:r>
          </w:p>
        </w:tc>
        <w:tc>
          <w:tcPr>
            <w:tcW w:w="3923" w:type="dxa"/>
            <w:shd w:val="clear" w:color="auto" w:fill="auto"/>
          </w:tcPr>
          <w:p w14:paraId="047BB3B0" w14:textId="77777777" w:rsidR="00CF7768" w:rsidRPr="00A30FB3" w:rsidRDefault="00CF7768" w:rsidP="00672326">
            <w:pPr>
              <w:rPr>
                <w:b/>
              </w:rPr>
            </w:pPr>
            <w:r w:rsidRPr="00A30FB3">
              <w:rPr>
                <w:b/>
              </w:rPr>
              <w:lastRenderedPageBreak/>
              <w:t>Input received on 15 August IRT call:</w:t>
            </w:r>
          </w:p>
          <w:p w14:paraId="18A92C8C" w14:textId="77777777" w:rsidR="00CF7768" w:rsidRPr="00A30FB3" w:rsidRDefault="00CF7768" w:rsidP="00672326">
            <w:pPr>
              <w:rPr>
                <w:b/>
              </w:rPr>
            </w:pPr>
          </w:p>
          <w:p w14:paraId="2D1EC6E2" w14:textId="77777777" w:rsidR="00CF7768" w:rsidRPr="00A30FB3" w:rsidRDefault="00CF7768" w:rsidP="00672326">
            <w:r w:rsidRPr="00A30FB3">
              <w:t xml:space="preserve">&gt;Theo </w:t>
            </w:r>
            <w:proofErr w:type="spellStart"/>
            <w:r w:rsidRPr="00A30FB3">
              <w:t>Geurts</w:t>
            </w:r>
            <w:proofErr w:type="spellEnd"/>
            <w:r w:rsidRPr="00A30FB3">
              <w:t xml:space="preserve">: Not sure about this. The RAA is about registrars. The </w:t>
            </w:r>
            <w:r w:rsidRPr="00A30FB3">
              <w:lastRenderedPageBreak/>
              <w:t>PPAA is about Privacy Providers. These aren’t the same, so perhaps we should not automatically synchronize. That needs some thinking before we just apply one obligation from one contract over to another.</w:t>
            </w:r>
          </w:p>
          <w:p w14:paraId="10C0A5A5" w14:textId="77777777" w:rsidR="00CF7768" w:rsidRPr="00A30FB3" w:rsidRDefault="00CF7768" w:rsidP="00672326"/>
          <w:p w14:paraId="499F60BD" w14:textId="77777777" w:rsidR="00CF7768" w:rsidRPr="00A30FB3" w:rsidRDefault="00CF7768" w:rsidP="00672326">
            <w:r w:rsidRPr="00A30FB3">
              <w:t>&gt;Steve Metalitz: I think in principle this makes sense, and do to this more globally, not just in Spec 2. Two suggestions: (1) if we have this WG/reconvened IRT, it might make sense for ICANN to present the changes to the group for a look (the non-substantive modifications); (2) drafting issue—first phrase about provision being automatically amended, I can send text edits on that.</w:t>
            </w:r>
          </w:p>
          <w:p w14:paraId="024F1C8A" w14:textId="77777777" w:rsidR="00CF7768" w:rsidRPr="00A30FB3" w:rsidRDefault="00CF7768" w:rsidP="00672326"/>
          <w:p w14:paraId="3006807F" w14:textId="77777777" w:rsidR="00CF7768" w:rsidRPr="00A30FB3" w:rsidRDefault="00CF7768" w:rsidP="00672326">
            <w:r w:rsidRPr="00A30FB3">
              <w:t>&gt;Theo @Steve that sounds reasonable</w:t>
            </w:r>
          </w:p>
          <w:p w14:paraId="047C61FB" w14:textId="77777777" w:rsidR="00CF7768" w:rsidRPr="00A30FB3" w:rsidRDefault="00CF7768" w:rsidP="00672326">
            <w:r w:rsidRPr="00A30FB3">
              <w:t>&gt;Alex: agree with Steve</w:t>
            </w:r>
          </w:p>
          <w:p w14:paraId="32C79C7F" w14:textId="77777777" w:rsidR="00CF7768" w:rsidRPr="00A30FB3" w:rsidRDefault="00CF7768" w:rsidP="00672326">
            <w:r w:rsidRPr="00A30FB3">
              <w:t>&gt;Roger Carney: this is a good concept but same concern as Theo—not sure we can directly tie this. I like Steve’s idea of when these changes come up, pursue them and get them agreed-upon assuming it makes sense that the provision is changed. Some agreement before the change takes effect.</w:t>
            </w:r>
          </w:p>
          <w:p w14:paraId="2ECB8476" w14:textId="77777777" w:rsidR="00CF7768" w:rsidRPr="00A30FB3" w:rsidRDefault="00CF7768" w:rsidP="00672326"/>
          <w:p w14:paraId="50A571EA" w14:textId="77777777" w:rsidR="00CF7768" w:rsidRPr="00A30FB3" w:rsidRDefault="00CF7768" w:rsidP="00672326">
            <w:r w:rsidRPr="00A30FB3">
              <w:lastRenderedPageBreak/>
              <w:t xml:space="preserve">&gt;Carlton SAMUELS: If the RAA is substantially amended and the amendment flows thru to the PPAA, then at minimum the mandatory requirement is notice first then a timeline to respond. That response from the WG may trigger additional work or acceptance of the amendment in whole or part. </w:t>
            </w:r>
          </w:p>
          <w:p w14:paraId="7610100C" w14:textId="77777777" w:rsidR="00CF7768" w:rsidRPr="00A30FB3" w:rsidRDefault="00CF7768" w:rsidP="00672326"/>
          <w:p w14:paraId="614487BB" w14:textId="77777777" w:rsidR="00CF7768" w:rsidRPr="00A30FB3" w:rsidRDefault="00CF7768" w:rsidP="00672326">
            <w:r w:rsidRPr="00A30FB3">
              <w:t xml:space="preserve">Feedback on list 22 August: </w:t>
            </w:r>
            <w:r w:rsidRPr="00A30FB3">
              <w:rPr>
                <w:i/>
                <w:iCs/>
                <w:color w:val="1F497D"/>
              </w:rPr>
              <w:t xml:space="preserve">Perhaps synchronization changes proposed by ICANN would take effect unless objected </w:t>
            </w:r>
            <w:proofErr w:type="gramStart"/>
            <w:r w:rsidRPr="00A30FB3">
              <w:rPr>
                <w:i/>
                <w:iCs/>
                <w:color w:val="1F497D"/>
              </w:rPr>
              <w:t>to  by</w:t>
            </w:r>
            <w:proofErr w:type="gramEnd"/>
            <w:r w:rsidRPr="00A30FB3">
              <w:rPr>
                <w:i/>
                <w:iCs/>
                <w:color w:val="1F497D"/>
              </w:rPr>
              <w:t xml:space="preserve"> working group within 30 (?) days. </w:t>
            </w:r>
          </w:p>
        </w:tc>
        <w:tc>
          <w:tcPr>
            <w:tcW w:w="3923" w:type="dxa"/>
            <w:shd w:val="clear" w:color="auto" w:fill="auto"/>
          </w:tcPr>
          <w:p w14:paraId="1D17F604" w14:textId="77777777" w:rsidR="00CF7768" w:rsidRPr="00A30FB3" w:rsidRDefault="00CF7768" w:rsidP="00672326">
            <w:pPr>
              <w:rPr>
                <w:b/>
              </w:rPr>
            </w:pPr>
            <w:r w:rsidRPr="00A30FB3">
              <w:rPr>
                <w:b/>
              </w:rPr>
              <w:lastRenderedPageBreak/>
              <w:t>IRT feedback requested on new Section 7.5: Synchronization Amendment in PPAAv2</w:t>
            </w:r>
          </w:p>
        </w:tc>
      </w:tr>
      <w:tr w:rsidR="00CF7768" w:rsidRPr="00A30FB3" w14:paraId="7EA5CEA6" w14:textId="77777777" w:rsidTr="006E2A6C">
        <w:tc>
          <w:tcPr>
            <w:tcW w:w="1241" w:type="dxa"/>
            <w:shd w:val="clear" w:color="auto" w:fill="auto"/>
          </w:tcPr>
          <w:p w14:paraId="0D0F32D3" w14:textId="7C8D2536" w:rsidR="00CF7768" w:rsidRPr="00A30FB3" w:rsidRDefault="001B4462" w:rsidP="00672326">
            <w:r>
              <w:lastRenderedPageBreak/>
              <w:t>11</w:t>
            </w:r>
          </w:p>
        </w:tc>
        <w:tc>
          <w:tcPr>
            <w:tcW w:w="1790" w:type="dxa"/>
            <w:shd w:val="clear" w:color="auto" w:fill="auto"/>
          </w:tcPr>
          <w:p w14:paraId="1B1D826D" w14:textId="2ADBFA9A" w:rsidR="00CF7768" w:rsidRPr="00A30FB3" w:rsidRDefault="001B4462" w:rsidP="00672326">
            <w:r>
              <w:t>3.19.2</w:t>
            </w:r>
          </w:p>
        </w:tc>
        <w:tc>
          <w:tcPr>
            <w:tcW w:w="1912" w:type="dxa"/>
            <w:shd w:val="clear" w:color="auto" w:fill="auto"/>
          </w:tcPr>
          <w:p w14:paraId="562144CC" w14:textId="77777777" w:rsidR="00CF7768" w:rsidRPr="00A30FB3" w:rsidRDefault="00CF7768" w:rsidP="00672326">
            <w:r w:rsidRPr="00A30FB3">
              <w:t>Record Keeping</w:t>
            </w:r>
          </w:p>
        </w:tc>
        <w:tc>
          <w:tcPr>
            <w:tcW w:w="4084" w:type="dxa"/>
            <w:shd w:val="clear" w:color="auto" w:fill="auto"/>
          </w:tcPr>
          <w:p w14:paraId="55591E99" w14:textId="77777777" w:rsidR="00CF7768" w:rsidRPr="00A30FB3" w:rsidRDefault="00CF7768" w:rsidP="00672326">
            <w:pPr>
              <w:autoSpaceDE w:val="0"/>
              <w:autoSpaceDN w:val="0"/>
              <w:adjustRightInd w:val="0"/>
              <w:rPr>
                <w:sz w:val="22"/>
                <w:szCs w:val="22"/>
              </w:rPr>
            </w:pPr>
            <w:r w:rsidRPr="00A30FB3">
              <w:t xml:space="preserve">Final Report stated that </w:t>
            </w:r>
            <w:r w:rsidRPr="00A30FB3">
              <w:rPr>
                <w:sz w:val="22"/>
                <w:szCs w:val="22"/>
              </w:rPr>
              <w:t>providers should be required to maintain statistics on the number of Publication and Disclosure requests received and the number honored, and provide these statistics in</w:t>
            </w:r>
          </w:p>
          <w:p w14:paraId="56F7C147" w14:textId="77777777" w:rsidR="00CF7768" w:rsidRPr="00A30FB3" w:rsidRDefault="00CF7768" w:rsidP="00672326">
            <w:pPr>
              <w:autoSpaceDE w:val="0"/>
              <w:autoSpaceDN w:val="0"/>
              <w:adjustRightInd w:val="0"/>
              <w:rPr>
                <w:sz w:val="22"/>
                <w:szCs w:val="22"/>
              </w:rPr>
            </w:pPr>
            <w:r w:rsidRPr="00A30FB3">
              <w:rPr>
                <w:sz w:val="22"/>
                <w:szCs w:val="22"/>
              </w:rPr>
              <w:t>aggregate form to ICANN for periodic publication. The data should be aggregated so as not to create a</w:t>
            </w:r>
          </w:p>
          <w:p w14:paraId="79BE97A2" w14:textId="77777777" w:rsidR="00CF7768" w:rsidRPr="00A30FB3" w:rsidRDefault="00CF7768" w:rsidP="00672326">
            <w:pPr>
              <w:autoSpaceDE w:val="0"/>
              <w:autoSpaceDN w:val="0"/>
              <w:adjustRightInd w:val="0"/>
            </w:pPr>
            <w:r w:rsidRPr="00A30FB3">
              <w:rPr>
                <w:sz w:val="22"/>
                <w:szCs w:val="22"/>
              </w:rPr>
              <w:t>market where nefarious users of the domain name system are able to use the information to find the P/P service that is least likely to make Disclosures.</w:t>
            </w:r>
          </w:p>
          <w:p w14:paraId="1FCC0FB3" w14:textId="77777777" w:rsidR="00CF7768" w:rsidRPr="00A30FB3" w:rsidRDefault="00CF7768" w:rsidP="00672326"/>
          <w:p w14:paraId="72830497" w14:textId="77777777" w:rsidR="00CF7768" w:rsidRPr="00A30FB3" w:rsidRDefault="00CF7768" w:rsidP="00672326">
            <w:pPr>
              <w:pStyle w:val="ConmainL2"/>
              <w:numPr>
                <w:ilvl w:val="0"/>
                <w:numId w:val="0"/>
              </w:numPr>
              <w:rPr>
                <w:rFonts w:ascii="Times New Roman" w:hAnsi="Times New Roman"/>
              </w:rPr>
            </w:pPr>
            <w:r w:rsidRPr="00A30FB3">
              <w:rPr>
                <w:rFonts w:ascii="Times New Roman" w:hAnsi="Times New Roman"/>
              </w:rPr>
              <w:t xml:space="preserve">Proposed implementation: </w:t>
            </w:r>
          </w:p>
          <w:p w14:paraId="27540866" w14:textId="77777777" w:rsidR="00CF7768" w:rsidRPr="00A30FB3" w:rsidRDefault="00CF7768" w:rsidP="00CF7768">
            <w:pPr>
              <w:pStyle w:val="ConmainL2"/>
              <w:numPr>
                <w:ilvl w:val="1"/>
                <w:numId w:val="3"/>
              </w:numPr>
              <w:rPr>
                <w:rFonts w:ascii="Times New Roman" w:hAnsi="Times New Roman"/>
                <w:szCs w:val="24"/>
              </w:rPr>
            </w:pPr>
            <w:r w:rsidRPr="00A30FB3">
              <w:rPr>
                <w:rFonts w:ascii="Times New Roman" w:hAnsi="Times New Roman"/>
                <w:szCs w:val="24"/>
                <w:u w:val="single"/>
              </w:rPr>
              <w:t>Record Keeping</w:t>
            </w:r>
            <w:r w:rsidRPr="00A30FB3">
              <w:rPr>
                <w:rFonts w:ascii="Times New Roman" w:hAnsi="Times New Roman"/>
                <w:szCs w:val="24"/>
              </w:rPr>
              <w:t>.</w:t>
            </w:r>
          </w:p>
          <w:p w14:paraId="5DD2E820" w14:textId="77777777" w:rsidR="00CF7768" w:rsidRPr="00A30FB3" w:rsidRDefault="00CF7768" w:rsidP="00672326">
            <w:pPr>
              <w:pStyle w:val="ConmainL3"/>
              <w:numPr>
                <w:ilvl w:val="0"/>
                <w:numId w:val="0"/>
              </w:numPr>
              <w:ind w:left="720"/>
              <w:rPr>
                <w:rFonts w:ascii="Times New Roman" w:hAnsi="Times New Roman"/>
              </w:rPr>
            </w:pPr>
            <w:r w:rsidRPr="00A30FB3">
              <w:rPr>
                <w:rFonts w:ascii="Times New Roman" w:hAnsi="Times New Roman"/>
              </w:rPr>
              <w:lastRenderedPageBreak/>
              <w:t>3.2.1 Provider should maintain statistics on the number of Publication and Disclosure requests received from Requesters, and the number of actual Publications and Disclosure as a result of such requests.</w:t>
            </w:r>
          </w:p>
          <w:p w14:paraId="7F2000DE" w14:textId="77777777" w:rsidR="00CF7768" w:rsidRPr="00A30FB3" w:rsidRDefault="00CF7768" w:rsidP="00CF7768">
            <w:pPr>
              <w:pStyle w:val="ConmainL3"/>
              <w:numPr>
                <w:ilvl w:val="2"/>
                <w:numId w:val="4"/>
              </w:numPr>
              <w:rPr>
                <w:rFonts w:ascii="Times New Roman" w:hAnsi="Times New Roman"/>
              </w:rPr>
            </w:pPr>
            <w:r w:rsidRPr="00A30FB3">
              <w:rPr>
                <w:rFonts w:ascii="Times New Roman" w:hAnsi="Times New Roman"/>
              </w:rPr>
              <w:t>Providers should provide these statistics in aggregate form to ICANN for periodic publication, in the form specified by ICANN as may be amended or modified from time to time.</w:t>
            </w:r>
          </w:p>
          <w:p w14:paraId="09CE3E69" w14:textId="77777777" w:rsidR="00CF7768" w:rsidRPr="00A30FB3" w:rsidRDefault="00CF7768" w:rsidP="00672326"/>
        </w:tc>
        <w:tc>
          <w:tcPr>
            <w:tcW w:w="3923" w:type="dxa"/>
            <w:shd w:val="clear" w:color="auto" w:fill="auto"/>
          </w:tcPr>
          <w:p w14:paraId="483CFC10"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lastRenderedPageBreak/>
              <w:t xml:space="preserve">Feedback received on 22 August IRT call: </w:t>
            </w:r>
          </w:p>
          <w:p w14:paraId="669EDB4F" w14:textId="77777777" w:rsidR="00CF7768" w:rsidRPr="00A30FB3" w:rsidRDefault="00CF7768" w:rsidP="00672326">
            <w:pPr>
              <w:pStyle w:val="PlainText"/>
              <w:rPr>
                <w:rFonts w:ascii="Times New Roman" w:hAnsi="Times New Roman" w:cs="Times New Roman"/>
                <w:b/>
              </w:rPr>
            </w:pPr>
          </w:p>
          <w:p w14:paraId="77505C4F"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Section number cited is incorrect in slides.</w:t>
            </w:r>
          </w:p>
          <w:p w14:paraId="60F23124" w14:textId="77777777" w:rsidR="00CF7768" w:rsidRPr="00A30FB3" w:rsidRDefault="00CF7768" w:rsidP="00672326">
            <w:pPr>
              <w:pStyle w:val="PlainText"/>
              <w:rPr>
                <w:rFonts w:ascii="Times New Roman" w:hAnsi="Times New Roman" w:cs="Times New Roman"/>
                <w:b/>
              </w:rPr>
            </w:pPr>
          </w:p>
          <w:p w14:paraId="4654286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 Neylon: what is “format specified by ICANN”? This is problematic.</w:t>
            </w:r>
          </w:p>
          <w:p w14:paraId="259E56E7" w14:textId="77777777" w:rsidR="00CF7768" w:rsidRPr="00A30FB3" w:rsidRDefault="00CF7768" w:rsidP="00672326">
            <w:pPr>
              <w:pStyle w:val="PlainText"/>
              <w:rPr>
                <w:rFonts w:ascii="Times New Roman" w:hAnsi="Times New Roman" w:cs="Times New Roman"/>
              </w:rPr>
            </w:pPr>
          </w:p>
          <w:p w14:paraId="467895D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Volker </w:t>
            </w:r>
            <w:proofErr w:type="spellStart"/>
            <w:r w:rsidRPr="00A30FB3">
              <w:rPr>
                <w:rFonts w:ascii="Times New Roman" w:hAnsi="Times New Roman" w:cs="Times New Roman"/>
              </w:rPr>
              <w:t>Greimann</w:t>
            </w:r>
            <w:proofErr w:type="spellEnd"/>
            <w:r w:rsidRPr="00A30FB3">
              <w:rPr>
                <w:rFonts w:ascii="Times New Roman" w:hAnsi="Times New Roman" w:cs="Times New Roman"/>
              </w:rPr>
              <w:t>: This can be an issue—some providers may not have any technological skills available</w:t>
            </w:r>
          </w:p>
          <w:p w14:paraId="1B191C3E" w14:textId="77777777" w:rsidR="00CF7768" w:rsidRPr="00A30FB3" w:rsidRDefault="00CF7768" w:rsidP="00672326">
            <w:pPr>
              <w:pStyle w:val="PlainText"/>
              <w:rPr>
                <w:rFonts w:ascii="Times New Roman" w:hAnsi="Times New Roman" w:cs="Times New Roman"/>
              </w:rPr>
            </w:pPr>
          </w:p>
          <w:p w14:paraId="2D5D46C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Roger Carney:  or “as agreed by providers”</w:t>
            </w:r>
          </w:p>
          <w:p w14:paraId="6E70E202" w14:textId="77777777" w:rsidR="00CF7768" w:rsidRPr="00A30FB3" w:rsidRDefault="00CF7768" w:rsidP="00672326">
            <w:pPr>
              <w:pStyle w:val="PlainText"/>
              <w:rPr>
                <w:rFonts w:ascii="Times New Roman" w:hAnsi="Times New Roman" w:cs="Times New Roman"/>
              </w:rPr>
            </w:pPr>
          </w:p>
          <w:p w14:paraId="7B9B5CE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lastRenderedPageBreak/>
              <w:t>Michele Neylon: the idea of collecting metrics is a good idea—just take issue with the “format selected by ICANN”</w:t>
            </w:r>
          </w:p>
          <w:p w14:paraId="12475B8A" w14:textId="77777777" w:rsidR="00CF7768" w:rsidRPr="00A30FB3" w:rsidRDefault="00CF7768" w:rsidP="00672326">
            <w:pPr>
              <w:pStyle w:val="PlainText"/>
              <w:rPr>
                <w:rFonts w:ascii="Times New Roman" w:hAnsi="Times New Roman" w:cs="Times New Roman"/>
              </w:rPr>
            </w:pPr>
          </w:p>
          <w:p w14:paraId="568F865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Steve Metalitz: or perhaps “forms specified by ICANN after consultation with providers”</w:t>
            </w:r>
          </w:p>
          <w:p w14:paraId="5B217CD6" w14:textId="77777777" w:rsidR="00CF7768" w:rsidRPr="00A30FB3" w:rsidRDefault="00CF7768" w:rsidP="00672326">
            <w:pPr>
              <w:pStyle w:val="PlainText"/>
              <w:rPr>
                <w:rFonts w:ascii="Times New Roman" w:hAnsi="Times New Roman" w:cs="Times New Roman"/>
              </w:rPr>
            </w:pPr>
          </w:p>
          <w:p w14:paraId="2EBF17A7"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Theo </w:t>
            </w:r>
            <w:proofErr w:type="spellStart"/>
            <w:r w:rsidRPr="00A30FB3">
              <w:rPr>
                <w:rFonts w:ascii="Times New Roman" w:hAnsi="Times New Roman" w:cs="Times New Roman"/>
              </w:rPr>
              <w:t>Geurts</w:t>
            </w:r>
            <w:proofErr w:type="spellEnd"/>
            <w:r w:rsidRPr="00A30FB3">
              <w:rPr>
                <w:rFonts w:ascii="Times New Roman" w:hAnsi="Times New Roman" w:cs="Times New Roman"/>
              </w:rPr>
              <w:t xml:space="preserve">: </w:t>
            </w:r>
            <w:proofErr w:type="gramStart"/>
            <w:r w:rsidRPr="00A30FB3">
              <w:rPr>
                <w:rFonts w:ascii="Times New Roman" w:hAnsi="Times New Roman" w:cs="Times New Roman"/>
              </w:rPr>
              <w:t>also</w:t>
            </w:r>
            <w:proofErr w:type="gramEnd"/>
            <w:r w:rsidRPr="00A30FB3">
              <w:rPr>
                <w:rFonts w:ascii="Times New Roman" w:hAnsi="Times New Roman" w:cs="Times New Roman"/>
              </w:rPr>
              <w:t xml:space="preserve"> a good suggestion</w:t>
            </w:r>
          </w:p>
          <w:p w14:paraId="73FB2972" w14:textId="77777777" w:rsidR="00CF7768" w:rsidRPr="00A30FB3" w:rsidRDefault="00CF7768" w:rsidP="00672326">
            <w:pPr>
              <w:pStyle w:val="PlainText"/>
              <w:rPr>
                <w:rFonts w:ascii="Times New Roman" w:hAnsi="Times New Roman" w:cs="Times New Roman"/>
              </w:rPr>
            </w:pPr>
          </w:p>
          <w:p w14:paraId="0571FB1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 Neylon: I really like Steve’s suggestion because that covers the issue of getting something completely unworkable without being overly specific</w:t>
            </w:r>
          </w:p>
          <w:p w14:paraId="00B99060" w14:textId="77777777" w:rsidR="00CF7768" w:rsidRPr="00A30FB3" w:rsidRDefault="00CF7768" w:rsidP="00672326">
            <w:pPr>
              <w:pStyle w:val="PlainText"/>
              <w:rPr>
                <w:rFonts w:ascii="Times New Roman" w:hAnsi="Times New Roman" w:cs="Times New Roman"/>
              </w:rPr>
            </w:pPr>
          </w:p>
          <w:p w14:paraId="69E4542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Roger Carney +1 Michele and Steve</w:t>
            </w:r>
          </w:p>
          <w:p w14:paraId="777CDBCB"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Eric </w:t>
            </w:r>
            <w:proofErr w:type="spellStart"/>
            <w:r w:rsidRPr="00A30FB3">
              <w:rPr>
                <w:rFonts w:ascii="Times New Roman" w:hAnsi="Times New Roman" w:cs="Times New Roman"/>
              </w:rPr>
              <w:t>Rokobauer</w:t>
            </w:r>
            <w:proofErr w:type="spellEnd"/>
            <w:r w:rsidRPr="00A30FB3">
              <w:rPr>
                <w:rFonts w:ascii="Times New Roman" w:hAnsi="Times New Roman" w:cs="Times New Roman"/>
              </w:rPr>
              <w:t>: +1 Michele and Steve</w:t>
            </w:r>
          </w:p>
          <w:p w14:paraId="0C08E39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Chris </w:t>
            </w:r>
            <w:proofErr w:type="spellStart"/>
            <w:r w:rsidRPr="00A30FB3">
              <w:rPr>
                <w:rFonts w:ascii="Times New Roman" w:hAnsi="Times New Roman" w:cs="Times New Roman"/>
              </w:rPr>
              <w:t>Pelling</w:t>
            </w:r>
            <w:proofErr w:type="spellEnd"/>
            <w:r w:rsidRPr="00A30FB3">
              <w:rPr>
                <w:rFonts w:ascii="Times New Roman" w:hAnsi="Times New Roman" w:cs="Times New Roman"/>
              </w:rPr>
              <w:t>: Agree with Steve M and Michele</w:t>
            </w:r>
          </w:p>
        </w:tc>
        <w:tc>
          <w:tcPr>
            <w:tcW w:w="3923" w:type="dxa"/>
            <w:shd w:val="clear" w:color="auto" w:fill="auto"/>
          </w:tcPr>
          <w:p w14:paraId="4C0F3660" w14:textId="5BA8B333" w:rsidR="00CF7768" w:rsidRPr="00A30FB3" w:rsidRDefault="006E2A6C" w:rsidP="00672326">
            <w:pPr>
              <w:rPr>
                <w:b/>
              </w:rPr>
            </w:pPr>
            <w:r>
              <w:rPr>
                <w:b/>
              </w:rPr>
              <w:lastRenderedPageBreak/>
              <w:t>IRT to review updated 3.19.2, which allows P/P to use ICANN reporting interface.</w:t>
            </w:r>
          </w:p>
        </w:tc>
      </w:tr>
      <w:tr w:rsidR="00CF7768" w:rsidRPr="00A30FB3" w14:paraId="258F5777" w14:textId="77777777" w:rsidTr="006E2A6C">
        <w:tc>
          <w:tcPr>
            <w:tcW w:w="1241" w:type="dxa"/>
            <w:shd w:val="clear" w:color="auto" w:fill="auto"/>
          </w:tcPr>
          <w:p w14:paraId="271F578C" w14:textId="5BB02D3D" w:rsidR="00CF7768" w:rsidRPr="00A30FB3" w:rsidRDefault="001B4462" w:rsidP="00672326">
            <w:r>
              <w:lastRenderedPageBreak/>
              <w:t>12</w:t>
            </w:r>
          </w:p>
        </w:tc>
        <w:tc>
          <w:tcPr>
            <w:tcW w:w="1790" w:type="dxa"/>
            <w:shd w:val="clear" w:color="auto" w:fill="auto"/>
          </w:tcPr>
          <w:p w14:paraId="786E6F8C" w14:textId="5BD6984B" w:rsidR="00CF7768" w:rsidRPr="00A30FB3" w:rsidRDefault="001B4462" w:rsidP="00672326">
            <w:r>
              <w:t>3.12</w:t>
            </w:r>
          </w:p>
        </w:tc>
        <w:tc>
          <w:tcPr>
            <w:tcW w:w="1912" w:type="dxa"/>
            <w:shd w:val="clear" w:color="auto" w:fill="auto"/>
          </w:tcPr>
          <w:p w14:paraId="3FBA37F5" w14:textId="77777777" w:rsidR="00CF7768" w:rsidRPr="00A30FB3" w:rsidRDefault="00CF7768" w:rsidP="00672326">
            <w:r w:rsidRPr="00A30FB3">
              <w:t>Abuse Contact</w:t>
            </w:r>
          </w:p>
        </w:tc>
        <w:tc>
          <w:tcPr>
            <w:tcW w:w="4084" w:type="dxa"/>
            <w:shd w:val="clear" w:color="auto" w:fill="auto"/>
          </w:tcPr>
          <w:p w14:paraId="660193A2" w14:textId="77777777" w:rsidR="00CF7768" w:rsidRPr="00A30FB3" w:rsidRDefault="00CF7768" w:rsidP="00672326">
            <w:pPr>
              <w:autoSpaceDE w:val="0"/>
              <w:autoSpaceDN w:val="0"/>
              <w:adjustRightInd w:val="0"/>
            </w:pPr>
            <w:r w:rsidRPr="00A30FB3">
              <w:t xml:space="preserve">Comment received from Sara </w:t>
            </w:r>
            <w:proofErr w:type="spellStart"/>
            <w:r w:rsidRPr="00A30FB3">
              <w:t>Bockey</w:t>
            </w:r>
            <w:proofErr w:type="spellEnd"/>
            <w:r w:rsidRPr="00A30FB3">
              <w:t xml:space="preserve"> on-list:</w:t>
            </w:r>
          </w:p>
          <w:p w14:paraId="6589A1B0" w14:textId="77777777" w:rsidR="00CF7768" w:rsidRPr="00A30FB3" w:rsidRDefault="00CF7768" w:rsidP="00672326">
            <w:pPr>
              <w:autoSpaceDE w:val="0"/>
              <w:autoSpaceDN w:val="0"/>
              <w:adjustRightInd w:val="0"/>
            </w:pPr>
          </w:p>
          <w:p w14:paraId="6C0CD618" w14:textId="77777777" w:rsidR="00CF7768" w:rsidRPr="00A30FB3" w:rsidRDefault="00CF7768" w:rsidP="00672326">
            <w:r w:rsidRPr="00A30FB3">
              <w:t xml:space="preserve">The Final report says:  P/P service providers must maintain a point of contact for abuse reporting purposes. In this regard, a “designated” rather than a “dedicated” point of contact will be sufficient, since the primary concern is to have one contact point that third parties can go to and expect a response from. For clarification, the WG notes that as long as the requirement for a </w:t>
            </w:r>
            <w:r w:rsidRPr="00A30FB3">
              <w:lastRenderedPageBreak/>
              <w:t>single point of contact can be fulfilled operationally, it is not mandating that a provider designate a specific individual to handle such reports.</w:t>
            </w:r>
          </w:p>
          <w:p w14:paraId="437E4BE8" w14:textId="77777777" w:rsidR="00CF7768" w:rsidRPr="00A30FB3" w:rsidRDefault="00CF7768" w:rsidP="00672326"/>
          <w:p w14:paraId="5F32E06A" w14:textId="77777777" w:rsidR="00CF7768" w:rsidRPr="00A30FB3" w:rsidRDefault="00CF7768" w:rsidP="00672326">
            <w:r w:rsidRPr="00A30FB3">
              <w:t>But the PPAA says:  3.13.1 Provider shall establish and maintain a designated Abuse contact to receive reports of Abuse involving Registered Names for which Provider is providing the Services, including reports of Illegal Activity. Provider shall publish (</w:t>
            </w:r>
            <w:proofErr w:type="spellStart"/>
            <w:r w:rsidRPr="00A30FB3">
              <w:t>i</w:t>
            </w:r>
            <w:proofErr w:type="spellEnd"/>
            <w:r w:rsidRPr="00A30FB3">
              <w:t xml:space="preserve">) an email address to receive such reports on the home page of Provider’s website or (ii) other mechanisms, such as a telephone number or an electronic form, that are clearly visible on Provider’s website homepage (or, in each case, in another standardized place that may be designated by ICANN from time to time), </w:t>
            </w:r>
            <w:r w:rsidRPr="00A30FB3">
              <w:rPr>
                <w:u w:val="single"/>
              </w:rPr>
              <w:t>which shall be monitored 24 hours a day, seven days a week</w:t>
            </w:r>
            <w:r w:rsidRPr="00A30FB3">
              <w:t>.</w:t>
            </w:r>
          </w:p>
          <w:p w14:paraId="3DD83A3E" w14:textId="77777777" w:rsidR="00CF7768" w:rsidRPr="00A30FB3" w:rsidRDefault="00CF7768" w:rsidP="00672326"/>
          <w:p w14:paraId="2B3F4068" w14:textId="77777777" w:rsidR="00CF7768" w:rsidRPr="00A30FB3" w:rsidRDefault="00CF7768" w:rsidP="00672326">
            <w:r w:rsidRPr="00A30FB3">
              <w:t xml:space="preserve">Based on the recommendations of the Final report, </w:t>
            </w:r>
            <w:r w:rsidRPr="00A30FB3">
              <w:rPr>
                <w:u w:val="single"/>
              </w:rPr>
              <w:t>we need to have 3.13.1 of the PPAA revised to remove the 24/7 requirement</w:t>
            </w:r>
            <w:r w:rsidRPr="00A30FB3">
              <w:t>.</w:t>
            </w:r>
          </w:p>
          <w:p w14:paraId="34968E21" w14:textId="77777777" w:rsidR="00CF7768" w:rsidRPr="00A30FB3" w:rsidRDefault="00CF7768" w:rsidP="00672326">
            <w:pPr>
              <w:autoSpaceDE w:val="0"/>
              <w:autoSpaceDN w:val="0"/>
              <w:adjustRightInd w:val="0"/>
            </w:pPr>
          </w:p>
        </w:tc>
        <w:tc>
          <w:tcPr>
            <w:tcW w:w="3923" w:type="dxa"/>
            <w:shd w:val="clear" w:color="auto" w:fill="auto"/>
          </w:tcPr>
          <w:p w14:paraId="0ED7523F"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lastRenderedPageBreak/>
              <w:t xml:space="preserve">Feedback received on 5 Sept IRT call: </w:t>
            </w:r>
          </w:p>
          <w:p w14:paraId="757AEE96" w14:textId="77777777" w:rsidR="00CF7768" w:rsidRPr="00A30FB3" w:rsidRDefault="00CF7768" w:rsidP="00672326">
            <w:pPr>
              <w:pStyle w:val="PlainText"/>
              <w:rPr>
                <w:rFonts w:ascii="Times New Roman" w:hAnsi="Times New Roman" w:cs="Times New Roman"/>
                <w:b/>
              </w:rPr>
            </w:pPr>
          </w:p>
          <w:p w14:paraId="081FD713"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 Neylon: makes sense to delete this</w:t>
            </w:r>
          </w:p>
          <w:p w14:paraId="488A9AA4" w14:textId="77777777" w:rsidR="00CF7768" w:rsidRPr="00A30FB3" w:rsidRDefault="00CF7768" w:rsidP="00672326">
            <w:pPr>
              <w:pStyle w:val="PlainText"/>
              <w:rPr>
                <w:rFonts w:ascii="Times New Roman" w:hAnsi="Times New Roman" w:cs="Times New Roman"/>
              </w:rPr>
            </w:pPr>
          </w:p>
          <w:p w14:paraId="085B5BE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Steve Metalitz: I agree we shouldn’t just be copying RAA if not necessary, but the question this raises is—what is the expectation re how the abuse contact will be monitored?</w:t>
            </w:r>
          </w:p>
          <w:p w14:paraId="33E1439F" w14:textId="77777777" w:rsidR="00CF7768" w:rsidRPr="00A30FB3" w:rsidRDefault="00CF7768" w:rsidP="00672326">
            <w:pPr>
              <w:pStyle w:val="PlainText"/>
              <w:rPr>
                <w:rFonts w:ascii="Times New Roman" w:hAnsi="Times New Roman" w:cs="Times New Roman"/>
              </w:rPr>
            </w:pPr>
          </w:p>
          <w:p w14:paraId="63EC060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Michele Neylon: valid question. Generally speaking an abuse contact email will be set to go into some sort of </w:t>
            </w:r>
            <w:r w:rsidRPr="00A30FB3">
              <w:rPr>
                <w:rFonts w:ascii="Times New Roman" w:hAnsi="Times New Roman" w:cs="Times New Roman"/>
              </w:rPr>
              <w:lastRenderedPageBreak/>
              <w:t>abuse desk ticketing system. Most would probably reply within a day or two, not sure what everyone would be comfortable committing to.</w:t>
            </w:r>
          </w:p>
          <w:p w14:paraId="70AFF728" w14:textId="77777777" w:rsidR="00CF7768" w:rsidRPr="00A30FB3" w:rsidRDefault="00CF7768" w:rsidP="00672326">
            <w:pPr>
              <w:pStyle w:val="PlainText"/>
              <w:rPr>
                <w:rFonts w:ascii="Times New Roman" w:hAnsi="Times New Roman" w:cs="Times New Roman"/>
              </w:rPr>
            </w:pPr>
          </w:p>
          <w:p w14:paraId="29A9B7B6"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Theo </w:t>
            </w:r>
            <w:proofErr w:type="spellStart"/>
            <w:r w:rsidRPr="00A30FB3">
              <w:rPr>
                <w:rFonts w:ascii="Times New Roman" w:hAnsi="Times New Roman" w:cs="Times New Roman"/>
              </w:rPr>
              <w:t>Geurts</w:t>
            </w:r>
            <w:proofErr w:type="spellEnd"/>
            <w:r w:rsidRPr="00A30FB3">
              <w:rPr>
                <w:rFonts w:ascii="Times New Roman" w:hAnsi="Times New Roman" w:cs="Times New Roman"/>
              </w:rPr>
              <w:t xml:space="preserve">: We need to separate issues—if you look at abuse reporting—it should go to the registrar; for </w:t>
            </w:r>
            <w:proofErr w:type="gramStart"/>
            <w:r w:rsidRPr="00A30FB3">
              <w:rPr>
                <w:rFonts w:ascii="Times New Roman" w:hAnsi="Times New Roman" w:cs="Times New Roman"/>
              </w:rPr>
              <w:t>PP</w:t>
            </w:r>
            <w:proofErr w:type="gramEnd"/>
            <w:r w:rsidRPr="00A30FB3">
              <w:rPr>
                <w:rFonts w:ascii="Times New Roman" w:hAnsi="Times New Roman" w:cs="Times New Roman"/>
              </w:rPr>
              <w:t xml:space="preserve"> this could be a different topic that could require more time (usually for reveal or publication of underlying data)</w:t>
            </w:r>
          </w:p>
          <w:p w14:paraId="6EF99675" w14:textId="77777777" w:rsidR="00CF7768" w:rsidRPr="00A30FB3" w:rsidRDefault="00CF7768" w:rsidP="00672326">
            <w:pPr>
              <w:pStyle w:val="PlainText"/>
              <w:rPr>
                <w:rFonts w:ascii="Times New Roman" w:hAnsi="Times New Roman" w:cs="Times New Roman"/>
              </w:rPr>
            </w:pPr>
          </w:p>
          <w:p w14:paraId="780E026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Michele Neylon—I think abuse reports should go to hosting provider first, then Rr, then PP (reveal and relay only, not takedown)</w:t>
            </w:r>
          </w:p>
          <w:p w14:paraId="4C8046F2" w14:textId="77777777" w:rsidR="00CF7768" w:rsidRPr="00A30FB3" w:rsidRDefault="00CF7768" w:rsidP="00672326">
            <w:pPr>
              <w:pStyle w:val="PlainText"/>
              <w:rPr>
                <w:rFonts w:ascii="Times New Roman" w:hAnsi="Times New Roman" w:cs="Times New Roman"/>
              </w:rPr>
            </w:pPr>
          </w:p>
          <w:p w14:paraId="702E9E0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Margie Milam: agree that there would be some need for a standard; for abuse reports, may be for reveal/relay but also for abuse of T&amp;C</w:t>
            </w:r>
          </w:p>
          <w:p w14:paraId="47719D3B" w14:textId="77777777" w:rsidR="00CF7768" w:rsidRPr="00A30FB3" w:rsidRDefault="00CF7768" w:rsidP="00672326">
            <w:pPr>
              <w:pStyle w:val="PlainText"/>
              <w:rPr>
                <w:rFonts w:ascii="Times New Roman" w:hAnsi="Times New Roman" w:cs="Times New Roman"/>
              </w:rPr>
            </w:pPr>
          </w:p>
          <w:p w14:paraId="6CA9B1E1"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Steve Metalitz: Look at Section 3.13.2—providers shall take reasonable and prompt steps; well-founded reports of illegal activity must be reviewed within 24 hours. </w:t>
            </w:r>
            <w:proofErr w:type="gramStart"/>
            <w:r w:rsidRPr="00A30FB3">
              <w:rPr>
                <w:rFonts w:ascii="Times New Roman" w:hAnsi="Times New Roman" w:cs="Times New Roman"/>
              </w:rPr>
              <w:t>So</w:t>
            </w:r>
            <w:proofErr w:type="gramEnd"/>
            <w:r w:rsidRPr="00A30FB3">
              <w:rPr>
                <w:rFonts w:ascii="Times New Roman" w:hAnsi="Times New Roman" w:cs="Times New Roman"/>
              </w:rPr>
              <w:t xml:space="preserve"> this may take care of the timing concern and maybe we don’t need 24/7 monitoring</w:t>
            </w:r>
          </w:p>
          <w:p w14:paraId="4519EF96" w14:textId="77777777" w:rsidR="00CF7768" w:rsidRPr="00A30FB3" w:rsidRDefault="00CF7768" w:rsidP="00672326">
            <w:pPr>
              <w:pStyle w:val="PlainText"/>
              <w:rPr>
                <w:rFonts w:ascii="Times New Roman" w:hAnsi="Times New Roman" w:cs="Times New Roman"/>
              </w:rPr>
            </w:pPr>
          </w:p>
          <w:p w14:paraId="0F09283C"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Theo/Sara (chat)—will need to take another look at 3.13.2</w:t>
            </w:r>
          </w:p>
          <w:p w14:paraId="6D5937F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Margie Milam: section cited by Steve appears to be adequate so long as this section remains</w:t>
            </w:r>
          </w:p>
          <w:p w14:paraId="12C6264E" w14:textId="77777777" w:rsidR="00CF7768" w:rsidRPr="00A30FB3" w:rsidRDefault="00CF7768" w:rsidP="00672326">
            <w:pPr>
              <w:pStyle w:val="PlainText"/>
              <w:rPr>
                <w:rFonts w:ascii="Times New Roman" w:hAnsi="Times New Roman" w:cs="Times New Roman"/>
              </w:rPr>
            </w:pPr>
          </w:p>
          <w:p w14:paraId="56B82AC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Steve Metalitz: If 3.18.2 remains open, 3.18.1 should also remain open.</w:t>
            </w:r>
          </w:p>
        </w:tc>
        <w:tc>
          <w:tcPr>
            <w:tcW w:w="3923" w:type="dxa"/>
            <w:shd w:val="clear" w:color="auto" w:fill="auto"/>
          </w:tcPr>
          <w:p w14:paraId="724D9663" w14:textId="71340F8C" w:rsidR="00CF7768" w:rsidRPr="00A30FB3" w:rsidRDefault="006E2A6C" w:rsidP="006E2A6C">
            <w:pPr>
              <w:rPr>
                <w:b/>
              </w:rPr>
            </w:pPr>
            <w:r>
              <w:rPr>
                <w:b/>
              </w:rPr>
              <w:lastRenderedPageBreak/>
              <w:t xml:space="preserve">IRT to review updated sections 3.12.1 and 3.12.2.  </w:t>
            </w:r>
          </w:p>
        </w:tc>
      </w:tr>
      <w:tr w:rsidR="00CF7768" w:rsidRPr="00A30FB3" w14:paraId="538016C2" w14:textId="77777777" w:rsidTr="00821684">
        <w:tc>
          <w:tcPr>
            <w:tcW w:w="1241" w:type="dxa"/>
            <w:shd w:val="clear" w:color="auto" w:fill="auto"/>
          </w:tcPr>
          <w:p w14:paraId="071B41AE" w14:textId="7AB5D0B8" w:rsidR="00CF7768" w:rsidRPr="00A30FB3" w:rsidRDefault="001B4462" w:rsidP="00672326">
            <w:r>
              <w:lastRenderedPageBreak/>
              <w:t>13</w:t>
            </w:r>
          </w:p>
        </w:tc>
        <w:tc>
          <w:tcPr>
            <w:tcW w:w="1790" w:type="dxa"/>
            <w:shd w:val="clear" w:color="auto" w:fill="auto"/>
          </w:tcPr>
          <w:p w14:paraId="3BB374B2" w14:textId="77777777" w:rsidR="00CF7768" w:rsidRPr="00A30FB3" w:rsidRDefault="00CF7768" w:rsidP="00672326"/>
        </w:tc>
        <w:tc>
          <w:tcPr>
            <w:tcW w:w="1912" w:type="dxa"/>
            <w:shd w:val="clear" w:color="auto" w:fill="auto"/>
          </w:tcPr>
          <w:p w14:paraId="6E90AB40" w14:textId="77777777" w:rsidR="00CF7768" w:rsidRPr="00A30FB3" w:rsidRDefault="00CF7768" w:rsidP="00672326">
            <w:r w:rsidRPr="00A30FB3">
              <w:t>De-Accreditation Process</w:t>
            </w:r>
          </w:p>
        </w:tc>
        <w:tc>
          <w:tcPr>
            <w:tcW w:w="4084" w:type="dxa"/>
            <w:shd w:val="clear" w:color="auto" w:fill="auto"/>
          </w:tcPr>
          <w:p w14:paraId="3F06A73E" w14:textId="77777777" w:rsidR="00CF7768" w:rsidRPr="00A30FB3" w:rsidRDefault="00CF7768" w:rsidP="00672326">
            <w:pPr>
              <w:autoSpaceDE w:val="0"/>
              <w:autoSpaceDN w:val="0"/>
              <w:adjustRightInd w:val="0"/>
            </w:pPr>
          </w:p>
        </w:tc>
        <w:tc>
          <w:tcPr>
            <w:tcW w:w="3923" w:type="dxa"/>
            <w:shd w:val="clear" w:color="auto" w:fill="auto"/>
          </w:tcPr>
          <w:p w14:paraId="7D4ACC10" w14:textId="77777777" w:rsidR="00CF7768" w:rsidRPr="00A30FB3" w:rsidRDefault="00CF7768" w:rsidP="00672326">
            <w:pPr>
              <w:pStyle w:val="PlainText"/>
              <w:rPr>
                <w:rFonts w:ascii="Times New Roman" w:hAnsi="Times New Roman" w:cs="Times New Roman"/>
                <w:b/>
              </w:rPr>
            </w:pPr>
            <w:r w:rsidRPr="00A30FB3">
              <w:rPr>
                <w:rFonts w:ascii="Times New Roman" w:hAnsi="Times New Roman" w:cs="Times New Roman"/>
                <w:b/>
              </w:rPr>
              <w:t>On-list:</w:t>
            </w:r>
          </w:p>
          <w:p w14:paraId="39837A26" w14:textId="77777777" w:rsidR="00CF7768" w:rsidRPr="00A30FB3" w:rsidRDefault="00CF7768" w:rsidP="00672326">
            <w:pPr>
              <w:pStyle w:val="PlainText"/>
              <w:rPr>
                <w:rFonts w:ascii="Times New Roman" w:hAnsi="Times New Roman" w:cs="Times New Roman"/>
                <w:b/>
              </w:rPr>
            </w:pPr>
          </w:p>
          <w:p w14:paraId="03F1D2DC" w14:textId="77777777" w:rsidR="00CF7768" w:rsidRPr="00A30FB3" w:rsidRDefault="00CF7768" w:rsidP="00672326">
            <w:pPr>
              <w:pStyle w:val="PlainText"/>
              <w:rPr>
                <w:rStyle w:val="HTMLTypewriter"/>
                <w:rFonts w:ascii="Times New Roman" w:hAnsi="Times New Roman" w:cs="Times New Roman"/>
                <w:b/>
                <w:bCs/>
              </w:rPr>
            </w:pPr>
            <w:r w:rsidRPr="00A30FB3">
              <w:rPr>
                <w:rStyle w:val="HTMLTypewriter"/>
                <w:rFonts w:ascii="Times New Roman" w:hAnsi="Times New Roman" w:cs="Times New Roman"/>
                <w:b/>
                <w:bCs/>
              </w:rPr>
              <w:t xml:space="preserve">(Theo </w:t>
            </w:r>
            <w:proofErr w:type="spellStart"/>
            <w:r w:rsidRPr="00A30FB3">
              <w:rPr>
                <w:rStyle w:val="HTMLTypewriter"/>
                <w:rFonts w:ascii="Times New Roman" w:hAnsi="Times New Roman" w:cs="Times New Roman"/>
                <w:b/>
                <w:bCs/>
              </w:rPr>
              <w:t>Geurts</w:t>
            </w:r>
            <w:proofErr w:type="spellEnd"/>
            <w:r w:rsidRPr="00A30FB3">
              <w:rPr>
                <w:rStyle w:val="HTMLTypewriter"/>
                <w:rFonts w:ascii="Times New Roman" w:hAnsi="Times New Roman" w:cs="Times New Roman"/>
                <w:b/>
                <w:bCs/>
              </w:rPr>
              <w:t xml:space="preserve">) In general, I am not happy with this. This is a service and not a domain name. The PDF is not very clear on non-affiliated services. But parties whom I have no contract with, I am not going to suspend domain names, nor I am going expose the identity of registrants even if ICANN gives it to me. I have no legal basis here. </w:t>
            </w:r>
            <w:r w:rsidRPr="00A30FB3">
              <w:rPr>
                <w:rFonts w:ascii="Times New Roman" w:hAnsi="Times New Roman" w:cs="Times New Roman"/>
                <w:b/>
                <w:bCs/>
                <w:sz w:val="20"/>
                <w:szCs w:val="20"/>
              </w:rPr>
              <w:br/>
            </w:r>
            <w:r w:rsidRPr="00A30FB3">
              <w:rPr>
                <w:rFonts w:ascii="Times New Roman" w:hAnsi="Times New Roman" w:cs="Times New Roman"/>
                <w:b/>
                <w:bCs/>
                <w:sz w:val="20"/>
                <w:szCs w:val="20"/>
              </w:rPr>
              <w:br/>
            </w:r>
            <w:proofErr w:type="gramStart"/>
            <w:r w:rsidRPr="00A30FB3">
              <w:rPr>
                <w:rStyle w:val="HTMLTypewriter"/>
                <w:rFonts w:ascii="Times New Roman" w:hAnsi="Times New Roman" w:cs="Times New Roman"/>
                <w:b/>
                <w:bCs/>
              </w:rPr>
              <w:t>So</w:t>
            </w:r>
            <w:proofErr w:type="gramEnd"/>
            <w:r w:rsidRPr="00A30FB3">
              <w:rPr>
                <w:rStyle w:val="HTMLTypewriter"/>
                <w:rFonts w:ascii="Times New Roman" w:hAnsi="Times New Roman" w:cs="Times New Roman"/>
                <w:b/>
                <w:bCs/>
              </w:rPr>
              <w:t xml:space="preserve"> whatever we develop here, we better make sure that Registrars are not going to be liable for suspensions and make sure we are GDPR compliant.</w:t>
            </w:r>
          </w:p>
          <w:p w14:paraId="6F32E73C" w14:textId="77777777" w:rsidR="00CF7768" w:rsidRPr="00A30FB3" w:rsidRDefault="00CF7768" w:rsidP="00672326">
            <w:pPr>
              <w:pStyle w:val="PlainText"/>
              <w:rPr>
                <w:rStyle w:val="HTMLTypewriter"/>
                <w:rFonts w:ascii="Times New Roman" w:hAnsi="Times New Roman" w:cs="Times New Roman"/>
                <w:b/>
                <w:bCs/>
              </w:rPr>
            </w:pPr>
          </w:p>
          <w:p w14:paraId="0EDDD42C" w14:textId="77777777" w:rsidR="00CF7768" w:rsidRPr="00A30FB3" w:rsidRDefault="00CF7768" w:rsidP="00672326">
            <w:pPr>
              <w:pStyle w:val="PlainText"/>
              <w:rPr>
                <w:rStyle w:val="HTMLTypewriter"/>
                <w:rFonts w:ascii="Times New Roman" w:hAnsi="Times New Roman" w:cs="Times New Roman"/>
                <w:bCs/>
              </w:rPr>
            </w:pPr>
            <w:r w:rsidRPr="00A30FB3">
              <w:rPr>
                <w:rStyle w:val="HTMLTypewriter"/>
                <w:rFonts w:ascii="Times New Roman" w:hAnsi="Times New Roman" w:cs="Times New Roman"/>
                <w:bCs/>
              </w:rPr>
              <w:t>Feedback on 5 Sept IRT call:</w:t>
            </w:r>
          </w:p>
          <w:p w14:paraId="6F215AB2" w14:textId="77777777" w:rsidR="00CF7768" w:rsidRPr="00A30FB3" w:rsidRDefault="00CF7768" w:rsidP="00672326">
            <w:pPr>
              <w:pStyle w:val="PlainText"/>
              <w:rPr>
                <w:rStyle w:val="HTMLTypewriter"/>
                <w:rFonts w:ascii="Times New Roman" w:hAnsi="Times New Roman" w:cs="Times New Roman"/>
                <w:bCs/>
              </w:rPr>
            </w:pPr>
          </w:p>
          <w:p w14:paraId="6DA16023" w14:textId="77777777" w:rsidR="00CF7768" w:rsidRPr="00A30FB3" w:rsidRDefault="00CF7768" w:rsidP="00672326">
            <w:pPr>
              <w:pStyle w:val="PlainText"/>
              <w:rPr>
                <w:rStyle w:val="HTMLTypewriter"/>
                <w:rFonts w:ascii="Times New Roman" w:hAnsi="Times New Roman" w:cs="Times New Roman"/>
                <w:bCs/>
              </w:rPr>
            </w:pPr>
            <w:r w:rsidRPr="00A30FB3">
              <w:rPr>
                <w:rStyle w:val="HTMLTypewriter"/>
                <w:rFonts w:ascii="Times New Roman" w:hAnsi="Times New Roman" w:cs="Times New Roman"/>
                <w:b/>
                <w:bCs/>
              </w:rPr>
              <w:t>Margie Milam</w:t>
            </w:r>
            <w:r w:rsidRPr="00A30FB3">
              <w:rPr>
                <w:rStyle w:val="HTMLTypewriter"/>
                <w:rFonts w:ascii="Times New Roman" w:hAnsi="Times New Roman" w:cs="Times New Roman"/>
                <w:bCs/>
              </w:rPr>
              <w:t>: Is one of the grounds for termination that the affiliated registrar is terminated for compliance reasons?</w:t>
            </w:r>
          </w:p>
          <w:p w14:paraId="62F21A1F" w14:textId="77777777" w:rsidR="00CF7768" w:rsidRPr="00A30FB3" w:rsidRDefault="00CF7768" w:rsidP="00672326">
            <w:pPr>
              <w:pStyle w:val="PlainText"/>
              <w:rPr>
                <w:rStyle w:val="HTMLTypewriter"/>
                <w:rFonts w:ascii="Times New Roman" w:hAnsi="Times New Roman" w:cs="Times New Roman"/>
                <w:bCs/>
              </w:rPr>
            </w:pPr>
          </w:p>
          <w:p w14:paraId="7CE0F764" w14:textId="77777777" w:rsidR="00CF7768" w:rsidRPr="00A30FB3" w:rsidRDefault="00CF7768" w:rsidP="00672326">
            <w:pPr>
              <w:pStyle w:val="PlainText"/>
              <w:rPr>
                <w:rStyle w:val="HTMLTypewriter"/>
                <w:rFonts w:ascii="Times New Roman" w:hAnsi="Times New Roman" w:cs="Times New Roman"/>
                <w:bCs/>
              </w:rPr>
            </w:pPr>
            <w:r w:rsidRPr="00A30FB3">
              <w:rPr>
                <w:rStyle w:val="HTMLTypewriter"/>
                <w:rFonts w:ascii="Times New Roman" w:hAnsi="Times New Roman" w:cs="Times New Roman"/>
                <w:b/>
                <w:bCs/>
              </w:rPr>
              <w:t>Michele Neylon</w:t>
            </w:r>
            <w:r w:rsidRPr="00A30FB3">
              <w:rPr>
                <w:rStyle w:val="HTMLTypewriter"/>
                <w:rFonts w:ascii="Times New Roman" w:hAnsi="Times New Roman" w:cs="Times New Roman"/>
                <w:bCs/>
              </w:rPr>
              <w:t>: How could PP unbalance the security/stability of the DNS? This may not be relevant. Also, this entire thing about notification. I can’t imagine a reality in which a provider engaged in bad acts is going to send out notices to customers. Reliance on an entity that isn’t complying with anything to send notices to clients is flawed. Sending notices to registrars that service provider X is fine.</w:t>
            </w:r>
          </w:p>
          <w:p w14:paraId="5D7FB941" w14:textId="77777777" w:rsidR="00CF7768" w:rsidRPr="00A30FB3" w:rsidRDefault="00CF7768" w:rsidP="00672326">
            <w:pPr>
              <w:pStyle w:val="PlainText"/>
              <w:rPr>
                <w:rStyle w:val="HTMLTypewriter"/>
                <w:rFonts w:ascii="Times New Roman" w:hAnsi="Times New Roman" w:cs="Times New Roman"/>
                <w:bCs/>
              </w:rPr>
            </w:pPr>
          </w:p>
          <w:p w14:paraId="07F2CB42"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lastRenderedPageBreak/>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b/>
              </w:rPr>
              <w:t xml:space="preserve">: </w:t>
            </w:r>
            <w:r w:rsidRPr="00A30FB3">
              <w:rPr>
                <w:rFonts w:ascii="Times New Roman" w:hAnsi="Times New Roman" w:cs="Times New Roman"/>
              </w:rPr>
              <w:t>Agree re: stability of internet. If Rr is doing that, RAA would take care of it, so this should be struck from PP agreement—doesn’t make sense here.</w:t>
            </w:r>
          </w:p>
          <w:p w14:paraId="086C51E3" w14:textId="77777777" w:rsidR="00CF7768" w:rsidRPr="00A30FB3" w:rsidRDefault="00CF7768" w:rsidP="00672326">
            <w:pPr>
              <w:pStyle w:val="PlainText"/>
              <w:rPr>
                <w:rFonts w:ascii="Times New Roman" w:hAnsi="Times New Roman" w:cs="Times New Roman"/>
              </w:rPr>
            </w:pPr>
          </w:p>
          <w:p w14:paraId="3E8E19B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Notices in two circumstances – suspension and de-accreditation. De-accreditation is </w:t>
            </w:r>
            <w:proofErr w:type="spellStart"/>
            <w:r w:rsidRPr="00A30FB3">
              <w:rPr>
                <w:rFonts w:ascii="Times New Roman" w:hAnsi="Times New Roman" w:cs="Times New Roman"/>
              </w:rPr>
              <w:t>prob</w:t>
            </w:r>
            <w:proofErr w:type="spellEnd"/>
            <w:r w:rsidRPr="00A30FB3">
              <w:rPr>
                <w:rFonts w:ascii="Times New Roman" w:hAnsi="Times New Roman" w:cs="Times New Roman"/>
              </w:rPr>
              <w:t xml:space="preserve"> hopeless, but suspension might not be if Provider is trying to get back into compliance.</w:t>
            </w:r>
          </w:p>
          <w:p w14:paraId="6C7CD69E" w14:textId="77777777" w:rsidR="00CF7768" w:rsidRPr="00A30FB3" w:rsidRDefault="00CF7768" w:rsidP="00672326">
            <w:pPr>
              <w:pStyle w:val="PlainText"/>
              <w:rPr>
                <w:rFonts w:ascii="Times New Roman" w:hAnsi="Times New Roman" w:cs="Times New Roman"/>
              </w:rPr>
            </w:pPr>
          </w:p>
          <w:p w14:paraId="0C426F8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However, why notices to customers who are not affected by the suspension? Could this create confusion? But understand that suspension is often a first step to termination and might be a first notice that provider is on thin ice.</w:t>
            </w:r>
          </w:p>
          <w:p w14:paraId="6BBC3DF7" w14:textId="77777777" w:rsidR="00CF7768" w:rsidRPr="00A30FB3" w:rsidRDefault="00CF7768" w:rsidP="00672326">
            <w:pPr>
              <w:pStyle w:val="PlainText"/>
              <w:rPr>
                <w:rFonts w:ascii="Times New Roman" w:hAnsi="Times New Roman" w:cs="Times New Roman"/>
              </w:rPr>
            </w:pPr>
          </w:p>
          <w:p w14:paraId="2FA21CF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Could ICANN use the escrowed data to send notices to customers where provider is not sending notices?</w:t>
            </w:r>
          </w:p>
          <w:p w14:paraId="793E5A30" w14:textId="77777777" w:rsidR="00CF7768" w:rsidRPr="00A30FB3" w:rsidRDefault="00CF7768" w:rsidP="00672326">
            <w:pPr>
              <w:pStyle w:val="PlainText"/>
              <w:rPr>
                <w:rFonts w:ascii="Times New Roman" w:hAnsi="Times New Roman" w:cs="Times New Roman"/>
              </w:rPr>
            </w:pPr>
          </w:p>
          <w:p w14:paraId="6816EC8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I was going to suggest the same as Steve re ICANN sending notices.</w:t>
            </w:r>
          </w:p>
          <w:p w14:paraId="527DED02" w14:textId="77777777" w:rsidR="00CF7768" w:rsidRPr="00A30FB3" w:rsidRDefault="00CF7768" w:rsidP="00672326">
            <w:pPr>
              <w:pStyle w:val="PlainText"/>
              <w:rPr>
                <w:rFonts w:ascii="Times New Roman" w:hAnsi="Times New Roman" w:cs="Times New Roman"/>
              </w:rPr>
            </w:pPr>
          </w:p>
          <w:p w14:paraId="43FA555F"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Margie Milam—</w:t>
            </w:r>
            <w:r w:rsidRPr="00A30FB3">
              <w:rPr>
                <w:rFonts w:ascii="Times New Roman" w:hAnsi="Times New Roman" w:cs="Times New Roman"/>
              </w:rPr>
              <w:t xml:space="preserve">agree escrow approach would make sense, could build into escrow agreement. The reason the notice is there is to protect the customer so it seems like it is helping them protect their data by giving them that notice so allowing ICANN to do that might be a good thing from a data protection </w:t>
            </w:r>
            <w:r w:rsidRPr="00A30FB3">
              <w:rPr>
                <w:rFonts w:ascii="Times New Roman" w:hAnsi="Times New Roman" w:cs="Times New Roman"/>
              </w:rPr>
              <w:lastRenderedPageBreak/>
              <w:t>perspective. Also, it seems like in some cases the provider would cooperate and send out notices (voluntary termination).</w:t>
            </w:r>
          </w:p>
          <w:p w14:paraId="75A9E9B6" w14:textId="77777777" w:rsidR="00CF7768" w:rsidRPr="00A30FB3" w:rsidRDefault="00CF7768" w:rsidP="00672326">
            <w:pPr>
              <w:pStyle w:val="PlainText"/>
              <w:rPr>
                <w:rFonts w:ascii="Times New Roman" w:hAnsi="Times New Roman" w:cs="Times New Roman"/>
              </w:rPr>
            </w:pPr>
          </w:p>
          <w:p w14:paraId="1277E0E8"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b/>
              </w:rPr>
              <w:t xml:space="preserve">: </w:t>
            </w:r>
            <w:r w:rsidRPr="00A30FB3">
              <w:rPr>
                <w:rFonts w:ascii="Times New Roman" w:hAnsi="Times New Roman" w:cs="Times New Roman"/>
              </w:rPr>
              <w:t>breaching confidentiality of escrow for a mere warning letter may be problematic from a data privacy perspective. This would have to be investigated.</w:t>
            </w:r>
          </w:p>
          <w:p w14:paraId="1BFBEC71" w14:textId="77777777" w:rsidR="00CF7768" w:rsidRPr="00A30FB3" w:rsidRDefault="00CF7768" w:rsidP="00672326">
            <w:pPr>
              <w:pStyle w:val="PlainText"/>
              <w:rPr>
                <w:rFonts w:ascii="Times New Roman" w:hAnsi="Times New Roman" w:cs="Times New Roman"/>
              </w:rPr>
            </w:pPr>
          </w:p>
          <w:p w14:paraId="2AAA5B7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very problematic</w:t>
            </w:r>
          </w:p>
          <w:p w14:paraId="64835804" w14:textId="77777777" w:rsidR="00CF7768" w:rsidRPr="00A30FB3" w:rsidRDefault="00CF7768" w:rsidP="00672326">
            <w:pPr>
              <w:pStyle w:val="PlainText"/>
              <w:rPr>
                <w:rFonts w:ascii="Times New Roman" w:hAnsi="Times New Roman" w:cs="Times New Roman"/>
              </w:rPr>
            </w:pPr>
          </w:p>
          <w:p w14:paraId="1DD47A5B"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Theo </w:t>
            </w:r>
            <w:proofErr w:type="spellStart"/>
            <w:r w:rsidRPr="00A30FB3">
              <w:rPr>
                <w:rFonts w:ascii="Times New Roman" w:hAnsi="Times New Roman" w:cs="Times New Roman"/>
                <w:b/>
              </w:rPr>
              <w:t>Geurts</w:t>
            </w:r>
            <w:proofErr w:type="spellEnd"/>
            <w:r w:rsidRPr="00A30FB3">
              <w:rPr>
                <w:rFonts w:ascii="Times New Roman" w:hAnsi="Times New Roman" w:cs="Times New Roman"/>
                <w:b/>
              </w:rPr>
              <w:t xml:space="preserve">: </w:t>
            </w:r>
            <w:r w:rsidRPr="00A30FB3">
              <w:rPr>
                <w:rFonts w:ascii="Times New Roman" w:hAnsi="Times New Roman" w:cs="Times New Roman"/>
              </w:rPr>
              <w:t>Agreed, yet we should explore as this sounds like a viable option.</w:t>
            </w:r>
          </w:p>
          <w:p w14:paraId="7B66B3EC" w14:textId="77777777" w:rsidR="00CF7768" w:rsidRPr="00A30FB3" w:rsidRDefault="00CF7768" w:rsidP="00672326">
            <w:pPr>
              <w:pStyle w:val="PlainText"/>
              <w:rPr>
                <w:rFonts w:ascii="Times New Roman" w:hAnsi="Times New Roman" w:cs="Times New Roman"/>
              </w:rPr>
            </w:pPr>
          </w:p>
          <w:p w14:paraId="2E114DC9"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 xml:space="preserve">I can understand why the suggestion for ICANN to contact people would be mooted and understand the context behind it, but we are talking about a PP service. Customers don’t want their contact details to be given to anyone—that’s what they are paying for. </w:t>
            </w:r>
            <w:proofErr w:type="gramStart"/>
            <w:r w:rsidRPr="00A30FB3">
              <w:rPr>
                <w:rFonts w:ascii="Times New Roman" w:hAnsi="Times New Roman" w:cs="Times New Roman"/>
              </w:rPr>
              <w:t>So</w:t>
            </w:r>
            <w:proofErr w:type="gramEnd"/>
            <w:r w:rsidRPr="00A30FB3">
              <w:rPr>
                <w:rFonts w:ascii="Times New Roman" w:hAnsi="Times New Roman" w:cs="Times New Roman"/>
              </w:rPr>
              <w:t xml:space="preserve"> their details being shared with a third party, I can see that as being very problematic. Also in terms of effectiveness of the message—someone receives a message from ICANN, a lot of people are just going to delete or report as spam. I just don’t see how that’s going to work.</w:t>
            </w:r>
          </w:p>
          <w:p w14:paraId="68E1E4F8" w14:textId="77777777" w:rsidR="00CF7768" w:rsidRPr="00A30FB3" w:rsidRDefault="00CF7768" w:rsidP="00672326">
            <w:pPr>
              <w:pStyle w:val="PlainText"/>
              <w:rPr>
                <w:rFonts w:ascii="Times New Roman" w:hAnsi="Times New Roman" w:cs="Times New Roman"/>
              </w:rPr>
            </w:pPr>
          </w:p>
          <w:p w14:paraId="3D19ECD7"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Steve Metalitz: </w:t>
            </w:r>
            <w:r w:rsidRPr="00A30FB3">
              <w:rPr>
                <w:rFonts w:ascii="Times New Roman" w:hAnsi="Times New Roman" w:cs="Times New Roman"/>
              </w:rPr>
              <w:t xml:space="preserve">I agree there are some issues to using the escrow and having ICANN send out notices. But some of </w:t>
            </w:r>
            <w:r w:rsidRPr="00A30FB3">
              <w:rPr>
                <w:rFonts w:ascii="Times New Roman" w:hAnsi="Times New Roman" w:cs="Times New Roman"/>
              </w:rPr>
              <w:lastRenderedPageBreak/>
              <w:t xml:space="preserve">this could be handled through the disclosures providers make to their customers. If provider isn’t cooperative, what’s the alternative? The Final Report was clear re: customer notification and we all agreed to that. </w:t>
            </w:r>
          </w:p>
          <w:p w14:paraId="269FB96B" w14:textId="77777777" w:rsidR="00CF7768" w:rsidRPr="00A30FB3" w:rsidRDefault="00CF7768" w:rsidP="00672326">
            <w:pPr>
              <w:pStyle w:val="PlainText"/>
              <w:rPr>
                <w:rFonts w:ascii="Times New Roman" w:hAnsi="Times New Roman" w:cs="Times New Roman"/>
              </w:rPr>
            </w:pPr>
          </w:p>
          <w:p w14:paraId="5898F205"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I agree with Steve—we did discuss this and agree on this. I have no issue with that. So, in the case of a voluntary termination, it’s not going to be a problem. Maybe the registrar could send notices if they have some of the contact details? But the problem I have is that if you have a serious meltdown with a provider that’s going to become very problematic. (data escrow may be the reason they are being terminated). This may be more of an issue of trying to do this versus 100% certainty that this will be done.</w:t>
            </w:r>
          </w:p>
          <w:p w14:paraId="7E8993D6" w14:textId="77777777" w:rsidR="00CF7768" w:rsidRPr="00A30FB3" w:rsidRDefault="00CF7768" w:rsidP="00672326">
            <w:pPr>
              <w:pStyle w:val="PlainText"/>
              <w:rPr>
                <w:rFonts w:ascii="Times New Roman" w:hAnsi="Times New Roman" w:cs="Times New Roman"/>
              </w:rPr>
            </w:pPr>
          </w:p>
          <w:p w14:paraId="7EF979C4"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Volker </w:t>
            </w:r>
            <w:proofErr w:type="spellStart"/>
            <w:r w:rsidRPr="00A30FB3">
              <w:rPr>
                <w:rFonts w:ascii="Times New Roman" w:hAnsi="Times New Roman" w:cs="Times New Roman"/>
                <w:b/>
              </w:rPr>
              <w:t>Greimann</w:t>
            </w:r>
            <w:proofErr w:type="spellEnd"/>
            <w:r w:rsidRPr="00A30FB3">
              <w:rPr>
                <w:rFonts w:ascii="Times New Roman" w:hAnsi="Times New Roman" w:cs="Times New Roman"/>
                <w:b/>
              </w:rPr>
              <w:t xml:space="preserve">: </w:t>
            </w:r>
            <w:r w:rsidRPr="00A30FB3">
              <w:rPr>
                <w:rFonts w:ascii="Times New Roman" w:hAnsi="Times New Roman" w:cs="Times New Roman"/>
              </w:rPr>
              <w:t>Rr won’t have the customer data in some cases. Having ICANN send out the notice is probably the most sensible option, but we have to check to see whether ICANN is even allowed to access (would need terms to allow this)</w:t>
            </w:r>
          </w:p>
          <w:p w14:paraId="43C14C50" w14:textId="77777777" w:rsidR="00CF7768" w:rsidRPr="00A30FB3" w:rsidRDefault="00CF7768" w:rsidP="00672326">
            <w:pPr>
              <w:pStyle w:val="PlainText"/>
              <w:rPr>
                <w:rFonts w:ascii="Times New Roman" w:hAnsi="Times New Roman" w:cs="Times New Roman"/>
              </w:rPr>
            </w:pPr>
          </w:p>
          <w:p w14:paraId="6999797E"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rPr>
              <w:t xml:space="preserve">Re: 30 </w:t>
            </w:r>
            <w:proofErr w:type="spellStart"/>
            <w:r w:rsidRPr="00A30FB3">
              <w:rPr>
                <w:rFonts w:ascii="Times New Roman" w:hAnsi="Times New Roman" w:cs="Times New Roman"/>
              </w:rPr>
              <w:t>days notice</w:t>
            </w:r>
            <w:proofErr w:type="spellEnd"/>
            <w:r w:rsidRPr="00A30FB3">
              <w:rPr>
                <w:rFonts w:ascii="Times New Roman" w:hAnsi="Times New Roman" w:cs="Times New Roman"/>
              </w:rPr>
              <w:t xml:space="preserve"> in instances of immediate termination</w:t>
            </w:r>
          </w:p>
          <w:p w14:paraId="3FD6CE36" w14:textId="77777777" w:rsidR="00CF7768" w:rsidRPr="00A30FB3" w:rsidRDefault="00CF7768" w:rsidP="00672326">
            <w:pPr>
              <w:pStyle w:val="PlainText"/>
              <w:rPr>
                <w:rFonts w:ascii="Times New Roman" w:hAnsi="Times New Roman" w:cs="Times New Roman"/>
              </w:rPr>
            </w:pPr>
          </w:p>
          <w:p w14:paraId="2EB1B5A0" w14:textId="77777777" w:rsidR="00CF7768" w:rsidRPr="00A30FB3" w:rsidRDefault="00CF7768" w:rsidP="00672326">
            <w:pPr>
              <w:pStyle w:val="PlainText"/>
              <w:rPr>
                <w:rFonts w:ascii="Times New Roman" w:hAnsi="Times New Roman" w:cs="Times New Roman"/>
              </w:rPr>
            </w:pPr>
            <w:r w:rsidRPr="00A30FB3">
              <w:rPr>
                <w:rFonts w:ascii="Times New Roman" w:hAnsi="Times New Roman" w:cs="Times New Roman"/>
                <w:b/>
              </w:rPr>
              <w:t xml:space="preserve">Michele Neylon: </w:t>
            </w:r>
            <w:r w:rsidRPr="00A30FB3">
              <w:rPr>
                <w:rFonts w:ascii="Times New Roman" w:hAnsi="Times New Roman" w:cs="Times New Roman"/>
              </w:rPr>
              <w:t xml:space="preserve">If PP is linked to Rr and Rr is being de-accredited, it’s not as </w:t>
            </w:r>
            <w:r w:rsidRPr="00A30FB3">
              <w:rPr>
                <w:rFonts w:ascii="Times New Roman" w:hAnsi="Times New Roman" w:cs="Times New Roman"/>
              </w:rPr>
              <w:lastRenderedPageBreak/>
              <w:t>much of an issue—names will be transferred and gaining Rr must have a PP service. If PP is unaffiliated, this is much more complicated because the services will be decoupled, Rr doesn’t have customer data</w:t>
            </w:r>
          </w:p>
        </w:tc>
        <w:tc>
          <w:tcPr>
            <w:tcW w:w="3923" w:type="dxa"/>
            <w:shd w:val="clear" w:color="auto" w:fill="auto"/>
          </w:tcPr>
          <w:p w14:paraId="6C4DAFCE" w14:textId="77777777" w:rsidR="00CF7768" w:rsidRDefault="00CF7768" w:rsidP="00821684">
            <w:pPr>
              <w:rPr>
                <w:b/>
              </w:rPr>
            </w:pPr>
            <w:r w:rsidRPr="00A30FB3">
              <w:rPr>
                <w:b/>
              </w:rPr>
              <w:lastRenderedPageBreak/>
              <w:t xml:space="preserve">ICANN </w:t>
            </w:r>
            <w:r w:rsidR="00821684">
              <w:rPr>
                <w:b/>
              </w:rPr>
              <w:t>updated draft procedure to require terminating providers to transfer unresolved abuse complaints to the gaining provider. (Note: the gaining provider is not required to respond under the original timeline.)</w:t>
            </w:r>
          </w:p>
          <w:p w14:paraId="709A6357" w14:textId="77777777" w:rsidR="00821684" w:rsidRDefault="00821684" w:rsidP="00821684">
            <w:pPr>
              <w:rPr>
                <w:b/>
              </w:rPr>
            </w:pPr>
          </w:p>
          <w:p w14:paraId="729183F4" w14:textId="6DE1FD35" w:rsidR="00821684" w:rsidRPr="00A30FB3" w:rsidRDefault="00821684" w:rsidP="00821684">
            <w:pPr>
              <w:rPr>
                <w:b/>
              </w:rPr>
            </w:pPr>
            <w:r>
              <w:rPr>
                <w:b/>
              </w:rPr>
              <w:t>IRT to review 30 day WHOIS inaccuracy language.</w:t>
            </w:r>
          </w:p>
        </w:tc>
      </w:tr>
    </w:tbl>
    <w:p w14:paraId="73F5F8B3" w14:textId="7B5E6D77" w:rsidR="00CF7768" w:rsidRPr="00A30FB3" w:rsidRDefault="00CF7768" w:rsidP="00CF7768"/>
    <w:p w14:paraId="3E52DE44" w14:textId="77777777" w:rsidR="00404709" w:rsidRDefault="00404709"/>
    <w:sectPr w:rsidR="00404709" w:rsidSect="00672326">
      <w:headerReference w:type="even" r:id="rId7"/>
      <w:headerReference w:type="default" r:id="rId8"/>
      <w:footerReference w:type="even" r:id="rId9"/>
      <w:footerReference w:type="default" r:id="rId10"/>
      <w:headerReference w:type="first" r:id="rId11"/>
      <w:footerReference w:type="first" r:id="rId12"/>
      <w:pgSz w:w="20160" w:h="12240" w:orient="landscape" w:code="5"/>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82851" w14:textId="77777777" w:rsidR="00C102F5" w:rsidRDefault="00C102F5">
      <w:r>
        <w:separator/>
      </w:r>
    </w:p>
  </w:endnote>
  <w:endnote w:type="continuationSeparator" w:id="0">
    <w:p w14:paraId="049A40A5" w14:textId="77777777" w:rsidR="00C102F5" w:rsidRDefault="00C10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DFKai-SB">
    <w:altName w:val="§ºÊ^"/>
    <w:charset w:val="88"/>
    <w:family w:val="script"/>
    <w:pitch w:val="fixed"/>
    <w:sig w:usb0="00000003" w:usb1="080E0000" w:usb2="00000016" w:usb3="00000000" w:csb0="00100001"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9A0C9" w14:textId="77777777" w:rsidR="00672326" w:rsidRDefault="006723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CD086" w14:textId="77777777" w:rsidR="00672326" w:rsidRDefault="0067232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AB07D" w14:textId="77777777" w:rsidR="00672326" w:rsidRDefault="006723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E224FE" w14:textId="77777777" w:rsidR="00C102F5" w:rsidRDefault="00C102F5">
      <w:r>
        <w:separator/>
      </w:r>
    </w:p>
  </w:footnote>
  <w:footnote w:type="continuationSeparator" w:id="0">
    <w:p w14:paraId="2835E359" w14:textId="77777777" w:rsidR="00C102F5" w:rsidRDefault="00C102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DD54E" w14:textId="77777777" w:rsidR="00672326" w:rsidRDefault="006723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D739" w14:textId="77777777" w:rsidR="00672326" w:rsidRDefault="006723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D0ED6" w14:textId="77777777" w:rsidR="00672326" w:rsidRDefault="006723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34E76"/>
    <w:multiLevelType w:val="hybridMultilevel"/>
    <w:tmpl w:val="18B402CE"/>
    <w:lvl w:ilvl="0" w:tplc="87D6AFC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DC6AC5"/>
    <w:multiLevelType w:val="multilevel"/>
    <w:tmpl w:val="4BAA49AE"/>
    <w:name w:val="zzmpConmain||Conmain|2|3|1|1|2|33||1|2|0||1|2|0||1|2|0||1|2|0||1|0|0||0|0|0||0|0|0||0|0|0||"/>
    <w:lvl w:ilvl="0">
      <w:start w:val="1"/>
      <w:numFmt w:val="decimal"/>
      <w:pStyle w:val="ConmainL1"/>
      <w:isLgl/>
      <w:lvlText w:val="%1."/>
      <w:lvlJc w:val="left"/>
      <w:pPr>
        <w:tabs>
          <w:tab w:val="num" w:pos="432"/>
        </w:tabs>
        <w:ind w:left="0" w:firstLine="0"/>
      </w:pPr>
      <w:rPr>
        <w:rFonts w:ascii="Cambria" w:hAnsi="Cambria" w:cs="Times New Roman" w:hint="default"/>
        <w:b/>
        <w:i w:val="0"/>
        <w:caps w:val="0"/>
        <w:sz w:val="24"/>
        <w:u w:val="none"/>
      </w:rPr>
    </w:lvl>
    <w:lvl w:ilvl="1">
      <w:start w:val="1"/>
      <w:numFmt w:val="decimal"/>
      <w:pStyle w:val="ConmainL2"/>
      <w:isLgl/>
      <w:lvlText w:val="%1.%2"/>
      <w:lvlJc w:val="left"/>
      <w:pPr>
        <w:tabs>
          <w:tab w:val="num" w:pos="756"/>
        </w:tabs>
        <w:ind w:left="0" w:firstLine="0"/>
      </w:pPr>
      <w:rPr>
        <w:rFonts w:ascii="Cambria" w:hAnsi="Cambria" w:cs="Times New Roman" w:hint="default"/>
        <w:b w:val="0"/>
        <w:i w:val="0"/>
        <w:caps w:val="0"/>
        <w:sz w:val="24"/>
        <w:u w:val="none"/>
      </w:rPr>
    </w:lvl>
    <w:lvl w:ilvl="2">
      <w:start w:val="1"/>
      <w:numFmt w:val="decimal"/>
      <w:pStyle w:val="ConmainL3"/>
      <w:suff w:val="space"/>
      <w:lvlText w:val="%1.%2.%3"/>
      <w:lvlJc w:val="left"/>
      <w:pPr>
        <w:ind w:left="720" w:firstLine="0"/>
      </w:pPr>
      <w:rPr>
        <w:rFonts w:ascii="Cambria" w:hAnsi="Cambria" w:cs="Times New Roman" w:hint="default"/>
        <w:b w:val="0"/>
        <w:i w:val="0"/>
        <w:caps w:val="0"/>
        <w:sz w:val="24"/>
        <w:u w:val="none"/>
      </w:rPr>
    </w:lvl>
    <w:lvl w:ilvl="3">
      <w:start w:val="1"/>
      <w:numFmt w:val="decimal"/>
      <w:pStyle w:val="ConmainL4"/>
      <w:lvlText w:val="%1.%2.%3.%4"/>
      <w:lvlJc w:val="left"/>
      <w:pPr>
        <w:tabs>
          <w:tab w:val="num" w:pos="2304"/>
        </w:tabs>
        <w:ind w:left="1440" w:firstLine="0"/>
      </w:pPr>
      <w:rPr>
        <w:rFonts w:ascii="Cambria" w:hAnsi="Cambria" w:cs="Times New Roman" w:hint="default"/>
        <w:b w:val="0"/>
        <w:i w:val="0"/>
        <w:caps w:val="0"/>
        <w:sz w:val="24"/>
        <w:u w:val="none"/>
      </w:rPr>
    </w:lvl>
    <w:lvl w:ilvl="4">
      <w:start w:val="1"/>
      <w:numFmt w:val="decimal"/>
      <w:pStyle w:val="ConmainL5"/>
      <w:lvlText w:val="%1.%2.%3.%4.%5"/>
      <w:lvlJc w:val="left"/>
      <w:pPr>
        <w:tabs>
          <w:tab w:val="num" w:pos="3168"/>
        </w:tabs>
        <w:ind w:left="2160" w:firstLine="0"/>
      </w:pPr>
      <w:rPr>
        <w:rFonts w:ascii="Cambria" w:hAnsi="Cambria" w:cs="Times New Roman" w:hint="default"/>
        <w:b w:val="0"/>
        <w:i w:val="0"/>
        <w:caps w:val="0"/>
        <w:sz w:val="24"/>
        <w:u w:val="none"/>
      </w:rPr>
    </w:lvl>
    <w:lvl w:ilvl="5">
      <w:start w:val="1"/>
      <w:numFmt w:val="upperLetter"/>
      <w:pStyle w:val="ConmainL6"/>
      <w:lvlText w:val="(%6)"/>
      <w:lvlJc w:val="left"/>
      <w:pPr>
        <w:tabs>
          <w:tab w:val="num" w:pos="2880"/>
        </w:tabs>
        <w:ind w:left="2880" w:hanging="720"/>
      </w:pPr>
      <w:rPr>
        <w:rFonts w:ascii="Cambria" w:hAnsi="Cambria" w:cs="Times New Roman" w:hint="default"/>
        <w:b w:val="0"/>
        <w:i w:val="0"/>
        <w:caps w:val="0"/>
        <w:sz w:val="24"/>
        <w:u w:val="none"/>
      </w:rPr>
    </w:lvl>
    <w:lvl w:ilvl="6">
      <w:start w:val="1"/>
      <w:numFmt w:val="none"/>
      <w:lvlRestart w:val="0"/>
      <w:pStyle w:val="ConmainL7"/>
      <w:suff w:val="nothing"/>
      <w:lvlText w:val=""/>
      <w:lvlJc w:val="left"/>
      <w:pPr>
        <w:ind w:left="0" w:firstLine="0"/>
      </w:pPr>
      <w:rPr>
        <w:rFonts w:ascii="Cambria" w:hAnsi="Cambria" w:cs="Times New Roman" w:hint="default"/>
        <w:b w:val="0"/>
        <w:i w:val="0"/>
        <w:caps w:val="0"/>
        <w:sz w:val="24"/>
        <w:u w:val="none"/>
      </w:rPr>
    </w:lvl>
    <w:lvl w:ilvl="7">
      <w:start w:val="1"/>
      <w:numFmt w:val="none"/>
      <w:lvlRestart w:val="0"/>
      <w:pStyle w:val="ConmainL8"/>
      <w:suff w:val="nothing"/>
      <w:lvlText w:val=""/>
      <w:lvlJc w:val="left"/>
      <w:pPr>
        <w:ind w:left="0" w:firstLine="0"/>
      </w:pPr>
      <w:rPr>
        <w:rFonts w:ascii="Cambria" w:hAnsi="Cambria" w:cs="Times New Roman" w:hint="default"/>
        <w:b w:val="0"/>
        <w:i w:val="0"/>
        <w:caps w:val="0"/>
        <w:sz w:val="24"/>
        <w:u w:val="none"/>
      </w:rPr>
    </w:lvl>
    <w:lvl w:ilvl="8">
      <w:start w:val="1"/>
      <w:numFmt w:val="none"/>
      <w:lvlRestart w:val="0"/>
      <w:pStyle w:val="ConmainL9"/>
      <w:suff w:val="nothing"/>
      <w:lvlText w:val=""/>
      <w:lvlJc w:val="left"/>
      <w:pPr>
        <w:ind w:left="0" w:firstLine="0"/>
      </w:pPr>
      <w:rPr>
        <w:rFonts w:ascii="Cambria" w:hAnsi="Cambria" w:cs="Times New Roman" w:hint="default"/>
        <w:b w:val="0"/>
        <w:i w:val="0"/>
        <w:caps w:val="0"/>
        <w:sz w:val="24"/>
        <w:u w:val="none"/>
      </w:rPr>
    </w:lvl>
  </w:abstractNum>
  <w:abstractNum w:abstractNumId="2">
    <w:nsid w:val="281F59B7"/>
    <w:multiLevelType w:val="multilevel"/>
    <w:tmpl w:val="262830A0"/>
    <w:lvl w:ilvl="0">
      <w:start w:val="3"/>
      <w:numFmt w:val="decimal"/>
      <w:lvlText w:val="%1"/>
      <w:lvlJc w:val="left"/>
      <w:pPr>
        <w:ind w:left="492" w:hanging="492"/>
      </w:pPr>
      <w:rPr>
        <w:rFonts w:hint="default"/>
      </w:rPr>
    </w:lvl>
    <w:lvl w:ilvl="1">
      <w:start w:val="2"/>
      <w:numFmt w:val="decimal"/>
      <w:lvlText w:val="%1.%2"/>
      <w:lvlJc w:val="left"/>
      <w:pPr>
        <w:ind w:left="852" w:hanging="492"/>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2A6A673E"/>
    <w:multiLevelType w:val="multilevel"/>
    <w:tmpl w:val="0E7CE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521B2BAF"/>
    <w:multiLevelType w:val="hybridMultilevel"/>
    <w:tmpl w:val="2F4C0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6711A0F"/>
    <w:multiLevelType w:val="multilevel"/>
    <w:tmpl w:val="E26CD25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68"/>
    <w:rsid w:val="00037138"/>
    <w:rsid w:val="00127CED"/>
    <w:rsid w:val="001B4462"/>
    <w:rsid w:val="0022031A"/>
    <w:rsid w:val="00404709"/>
    <w:rsid w:val="00440B65"/>
    <w:rsid w:val="004B40BB"/>
    <w:rsid w:val="005D50C1"/>
    <w:rsid w:val="00672326"/>
    <w:rsid w:val="006E2A6C"/>
    <w:rsid w:val="00747D0D"/>
    <w:rsid w:val="007629FB"/>
    <w:rsid w:val="007E50A8"/>
    <w:rsid w:val="00821684"/>
    <w:rsid w:val="00A8209D"/>
    <w:rsid w:val="00B76D61"/>
    <w:rsid w:val="00C102F5"/>
    <w:rsid w:val="00CF7768"/>
    <w:rsid w:val="00DC58CE"/>
    <w:rsid w:val="00EE2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56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9"/>
    <w:unhideWhenUsed/>
    <w:rsid w:val="00CF7768"/>
    <w:rPr>
      <w:rFonts w:ascii="Times New Roman" w:eastAsia="DFKai-SB"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F7768"/>
    <w:pPr>
      <w:tabs>
        <w:tab w:val="center" w:pos="4680"/>
        <w:tab w:val="right" w:pos="9360"/>
      </w:tabs>
    </w:pPr>
  </w:style>
  <w:style w:type="character" w:customStyle="1" w:styleId="FooterChar">
    <w:name w:val="Footer Char"/>
    <w:basedOn w:val="DefaultParagraphFont"/>
    <w:link w:val="Footer"/>
    <w:uiPriority w:val="99"/>
    <w:semiHidden/>
    <w:rsid w:val="00CF7768"/>
    <w:rPr>
      <w:rFonts w:ascii="Times New Roman" w:eastAsia="DFKai-SB" w:hAnsi="Times New Roman" w:cs="Times New Roman"/>
    </w:rPr>
  </w:style>
  <w:style w:type="paragraph" w:styleId="Header">
    <w:name w:val="header"/>
    <w:basedOn w:val="Normal"/>
    <w:link w:val="HeaderChar"/>
    <w:uiPriority w:val="99"/>
    <w:semiHidden/>
    <w:unhideWhenUsed/>
    <w:rsid w:val="00CF7768"/>
    <w:pPr>
      <w:tabs>
        <w:tab w:val="center" w:pos="4680"/>
        <w:tab w:val="right" w:pos="9360"/>
      </w:tabs>
    </w:pPr>
  </w:style>
  <w:style w:type="character" w:customStyle="1" w:styleId="HeaderChar">
    <w:name w:val="Header Char"/>
    <w:basedOn w:val="DefaultParagraphFont"/>
    <w:link w:val="Header"/>
    <w:uiPriority w:val="99"/>
    <w:semiHidden/>
    <w:rsid w:val="00CF7768"/>
    <w:rPr>
      <w:rFonts w:ascii="Times New Roman" w:eastAsia="DFKai-SB" w:hAnsi="Times New Roman" w:cs="Times New Roman"/>
    </w:rPr>
  </w:style>
  <w:style w:type="table" w:styleId="TableGrid">
    <w:name w:val="Table Grid"/>
    <w:basedOn w:val="TableNormal"/>
    <w:uiPriority w:val="59"/>
    <w:rsid w:val="00CF7768"/>
    <w:rPr>
      <w:rFonts w:ascii="Times New Roman" w:eastAsia="DFKai-SB" w:hAnsi="Times New Roman" w:cs="Times New Roman"/>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CF776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CF7768"/>
    <w:rPr>
      <w:rFonts w:ascii="Calibri" w:hAnsi="Calibri"/>
      <w:sz w:val="22"/>
      <w:szCs w:val="21"/>
    </w:rPr>
  </w:style>
  <w:style w:type="paragraph" w:styleId="ListParagraph">
    <w:name w:val="List Paragraph"/>
    <w:basedOn w:val="Normal"/>
    <w:uiPriority w:val="99"/>
    <w:qFormat/>
    <w:rsid w:val="00CF7768"/>
    <w:pPr>
      <w:ind w:left="720"/>
      <w:contextualSpacing/>
    </w:pPr>
  </w:style>
  <w:style w:type="paragraph" w:customStyle="1" w:styleId="ConmainL1">
    <w:name w:val="Conmain_L1"/>
    <w:basedOn w:val="Normal"/>
    <w:next w:val="ConmainL2"/>
    <w:rsid w:val="00CF7768"/>
    <w:pPr>
      <w:keepNext/>
      <w:numPr>
        <w:numId w:val="2"/>
      </w:numPr>
      <w:spacing w:after="240"/>
      <w:outlineLvl w:val="0"/>
    </w:pPr>
    <w:rPr>
      <w:rFonts w:ascii="Cambria" w:eastAsia="SimSun" w:hAnsi="Cambria"/>
      <w:b/>
      <w:szCs w:val="20"/>
    </w:rPr>
  </w:style>
  <w:style w:type="paragraph" w:customStyle="1" w:styleId="ConmainL2">
    <w:name w:val="Conmain_L2"/>
    <w:basedOn w:val="Normal"/>
    <w:link w:val="ConmainL2Char"/>
    <w:rsid w:val="00CF7768"/>
    <w:pPr>
      <w:numPr>
        <w:ilvl w:val="1"/>
        <w:numId w:val="2"/>
      </w:numPr>
      <w:spacing w:after="240"/>
      <w:outlineLvl w:val="1"/>
    </w:pPr>
    <w:rPr>
      <w:rFonts w:ascii="Cambria" w:eastAsia="SimSun" w:hAnsi="Cambria"/>
      <w:szCs w:val="20"/>
    </w:rPr>
  </w:style>
  <w:style w:type="character" w:customStyle="1" w:styleId="ConmainL2Char">
    <w:name w:val="Conmain_L2 Char"/>
    <w:basedOn w:val="DefaultParagraphFont"/>
    <w:link w:val="ConmainL2"/>
    <w:rsid w:val="00CF7768"/>
    <w:rPr>
      <w:rFonts w:ascii="Cambria" w:eastAsia="SimSun" w:hAnsi="Cambria" w:cs="Times New Roman"/>
      <w:szCs w:val="20"/>
    </w:rPr>
  </w:style>
  <w:style w:type="paragraph" w:customStyle="1" w:styleId="ConmainL3">
    <w:name w:val="Conmain_L3"/>
    <w:basedOn w:val="Normal"/>
    <w:link w:val="ConmainL3Char"/>
    <w:rsid w:val="00CF7768"/>
    <w:pPr>
      <w:numPr>
        <w:ilvl w:val="2"/>
        <w:numId w:val="2"/>
      </w:numPr>
      <w:spacing w:after="240"/>
      <w:outlineLvl w:val="2"/>
    </w:pPr>
    <w:rPr>
      <w:rFonts w:ascii="Cambria" w:eastAsia="SimSun" w:hAnsi="Cambria"/>
      <w:szCs w:val="20"/>
    </w:rPr>
  </w:style>
  <w:style w:type="character" w:customStyle="1" w:styleId="ConmainL3Char">
    <w:name w:val="Conmain_L3 Char"/>
    <w:basedOn w:val="DefaultParagraphFont"/>
    <w:link w:val="ConmainL3"/>
    <w:rsid w:val="00CF7768"/>
    <w:rPr>
      <w:rFonts w:ascii="Cambria" w:eastAsia="SimSun" w:hAnsi="Cambria" w:cs="Times New Roman"/>
      <w:szCs w:val="20"/>
    </w:rPr>
  </w:style>
  <w:style w:type="paragraph" w:customStyle="1" w:styleId="ConmainL4">
    <w:name w:val="Conmain_L4"/>
    <w:basedOn w:val="Normal"/>
    <w:rsid w:val="00CF7768"/>
    <w:pPr>
      <w:numPr>
        <w:ilvl w:val="3"/>
        <w:numId w:val="2"/>
      </w:numPr>
      <w:spacing w:after="240"/>
      <w:outlineLvl w:val="3"/>
    </w:pPr>
    <w:rPr>
      <w:rFonts w:ascii="Cambria" w:eastAsia="SimSun" w:hAnsi="Cambria"/>
      <w:szCs w:val="20"/>
    </w:rPr>
  </w:style>
  <w:style w:type="paragraph" w:customStyle="1" w:styleId="ConmainL5">
    <w:name w:val="Conmain_L5"/>
    <w:basedOn w:val="Normal"/>
    <w:rsid w:val="00CF7768"/>
    <w:pPr>
      <w:numPr>
        <w:ilvl w:val="4"/>
        <w:numId w:val="2"/>
      </w:numPr>
      <w:spacing w:after="240"/>
      <w:outlineLvl w:val="4"/>
    </w:pPr>
    <w:rPr>
      <w:rFonts w:ascii="Cambria" w:eastAsia="SimSun" w:hAnsi="Cambria"/>
      <w:szCs w:val="20"/>
    </w:rPr>
  </w:style>
  <w:style w:type="paragraph" w:customStyle="1" w:styleId="ConmainL6">
    <w:name w:val="Conmain_L6"/>
    <w:basedOn w:val="Normal"/>
    <w:rsid w:val="00CF7768"/>
    <w:pPr>
      <w:numPr>
        <w:ilvl w:val="5"/>
        <w:numId w:val="2"/>
      </w:numPr>
      <w:spacing w:after="240"/>
      <w:jc w:val="both"/>
      <w:outlineLvl w:val="5"/>
    </w:pPr>
    <w:rPr>
      <w:rFonts w:ascii="Cambria" w:eastAsia="SimSun" w:hAnsi="Cambria"/>
      <w:szCs w:val="20"/>
    </w:rPr>
  </w:style>
  <w:style w:type="paragraph" w:customStyle="1" w:styleId="ConmainL7">
    <w:name w:val="Conmain_L7"/>
    <w:basedOn w:val="Normal"/>
    <w:rsid w:val="00CF7768"/>
    <w:pPr>
      <w:numPr>
        <w:ilvl w:val="6"/>
        <w:numId w:val="2"/>
      </w:numPr>
      <w:spacing w:after="240"/>
      <w:jc w:val="both"/>
      <w:outlineLvl w:val="6"/>
    </w:pPr>
    <w:rPr>
      <w:rFonts w:ascii="Cambria" w:eastAsia="SimSun" w:hAnsi="Cambria"/>
      <w:szCs w:val="20"/>
    </w:rPr>
  </w:style>
  <w:style w:type="paragraph" w:customStyle="1" w:styleId="ConmainL8">
    <w:name w:val="Conmain_L8"/>
    <w:basedOn w:val="Normal"/>
    <w:rsid w:val="00CF7768"/>
    <w:pPr>
      <w:numPr>
        <w:ilvl w:val="7"/>
        <w:numId w:val="2"/>
      </w:numPr>
      <w:spacing w:after="240"/>
      <w:jc w:val="both"/>
      <w:outlineLvl w:val="7"/>
    </w:pPr>
    <w:rPr>
      <w:rFonts w:ascii="Cambria" w:eastAsia="SimSun" w:hAnsi="Cambria"/>
      <w:szCs w:val="20"/>
    </w:rPr>
  </w:style>
  <w:style w:type="paragraph" w:customStyle="1" w:styleId="ConmainL9">
    <w:name w:val="Conmain_L9"/>
    <w:basedOn w:val="Normal"/>
    <w:rsid w:val="00CF7768"/>
    <w:pPr>
      <w:numPr>
        <w:ilvl w:val="8"/>
        <w:numId w:val="2"/>
      </w:numPr>
      <w:spacing w:after="240"/>
      <w:jc w:val="both"/>
      <w:outlineLvl w:val="8"/>
    </w:pPr>
    <w:rPr>
      <w:rFonts w:ascii="Cambria" w:eastAsia="SimSun" w:hAnsi="Cambria"/>
      <w:szCs w:val="20"/>
    </w:rPr>
  </w:style>
  <w:style w:type="character" w:styleId="HTMLTypewriter">
    <w:name w:val="HTML Typewriter"/>
    <w:basedOn w:val="DefaultParagraphFont"/>
    <w:uiPriority w:val="99"/>
    <w:semiHidden/>
    <w:unhideWhenUsed/>
    <w:rsid w:val="00CF7768"/>
    <w:rPr>
      <w:rFonts w:ascii="Courier New" w:eastAsiaTheme="minorHAnsi"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40</Pages>
  <Words>6599</Words>
  <Characters>37619</Characters>
  <Application>Microsoft Macintosh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8</cp:revision>
  <dcterms:created xsi:type="dcterms:W3CDTF">2017-10-20T20:26:00Z</dcterms:created>
  <dcterms:modified xsi:type="dcterms:W3CDTF">2017-10-20T22:24:00Z</dcterms:modified>
</cp:coreProperties>
</file>