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media/image1.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738" w:right="60" w:hanging="0"/>
        <w:jc w:val="right"/>
        <w:rPr/>
      </w:pPr>
      <w:r>
        <w:drawing>
          <wp:anchor behindDoc="0" distT="0" distB="0" distL="114300" distR="114300" simplePos="0" locked="0" layoutInCell="1" allowOverlap="1" relativeHeight="2">
            <wp:simplePos x="0" y="0"/>
            <wp:positionH relativeFrom="column">
              <wp:posOffset>468630</wp:posOffset>
            </wp:positionH>
            <wp:positionV relativeFrom="paragraph">
              <wp:posOffset>-22225</wp:posOffset>
            </wp:positionV>
            <wp:extent cx="1363980" cy="1066800"/>
            <wp:effectExtent l="0" t="0" r="0" b="0"/>
            <wp:wrapSquare wrapText="bothSides"/>
            <wp:docPr id="1" name="Picture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5" descr=""/>
                    <pic:cNvPicPr>
                      <a:picLocks noChangeAspect="1" noChangeArrowheads="1"/>
                    </pic:cNvPicPr>
                  </pic:nvPicPr>
                  <pic:blipFill>
                    <a:blip r:embed="rId2"/>
                    <a:stretch>
                      <a:fillRect/>
                    </a:stretch>
                  </pic:blipFill>
                  <pic:spPr bwMode="auto">
                    <a:xfrm>
                      <a:off x="0" y="0"/>
                      <a:ext cx="1363980" cy="1066800"/>
                    </a:xfrm>
                    <a:prstGeom prst="rect">
                      <a:avLst/>
                    </a:prstGeom>
                  </pic:spPr>
                </pic:pic>
              </a:graphicData>
            </a:graphic>
          </wp:anchor>
        </w:drawing>
      </w:r>
      <w:r>
        <w:rPr>
          <w:b/>
          <w:sz w:val="20"/>
        </w:rPr>
        <w:t xml:space="preserve"> </w:t>
      </w:r>
    </w:p>
    <w:p>
      <w:pPr>
        <w:pStyle w:val="Normal"/>
        <w:spacing w:lineRule="auto" w:line="259" w:before="0" w:after="130"/>
        <w:ind w:left="738" w:right="60" w:hanging="0"/>
        <w:jc w:val="right"/>
        <w:rPr/>
      </w:pPr>
      <w:r>
        <w:rPr>
          <w:b/>
          <w:sz w:val="20"/>
        </w:rPr>
        <w:t xml:space="preserve"> </w:t>
      </w:r>
    </w:p>
    <w:p>
      <w:pPr>
        <w:pStyle w:val="Normal"/>
        <w:spacing w:lineRule="auto" w:line="259" w:before="0" w:after="0"/>
        <w:ind w:left="738" w:right="185" w:hanging="0"/>
        <w:jc w:val="right"/>
        <w:rPr>
          <w:lang w:val="en-US"/>
        </w:rPr>
      </w:pPr>
      <w:r>
        <w:rPr>
          <w:b/>
          <w:sz w:val="36"/>
          <w:lang w:val="en-US"/>
        </w:rPr>
        <w:t xml:space="preserve">Privacy &amp; Proxy Service </w:t>
      </w:r>
    </w:p>
    <w:p>
      <w:pPr>
        <w:pStyle w:val="Normal"/>
        <w:spacing w:lineRule="auto" w:line="259" w:before="0" w:after="0"/>
        <w:ind w:left="748" w:hanging="10"/>
        <w:rPr>
          <w:lang w:val="en-US"/>
        </w:rPr>
      </w:pPr>
      <w:r>
        <w:rPr>
          <w:b/>
          <w:sz w:val="36"/>
          <w:lang w:val="en-US"/>
        </w:rPr>
        <w:t xml:space="preserve">Provider </w:t>
      </w:r>
    </w:p>
    <w:p>
      <w:pPr>
        <w:pStyle w:val="Normal"/>
        <w:tabs>
          <w:tab w:val="center" w:pos="2888" w:leader="none"/>
          <w:tab w:val="center" w:pos="6489" w:leader="none"/>
        </w:tabs>
        <w:spacing w:lineRule="auto" w:line="259" w:before="0" w:after="0"/>
        <w:ind w:left="0" w:hanging="0"/>
        <w:rPr>
          <w:lang w:val="en-US"/>
        </w:rPr>
      </w:pPr>
      <w:r>
        <w:rPr>
          <w:rFonts w:eastAsia="Calibri" w:cs="Calibri" w:ascii="Calibri" w:hAnsi="Calibri"/>
          <w:sz w:val="22"/>
          <w:lang w:val="en-US"/>
        </w:rPr>
        <w:tab/>
      </w:r>
      <w:r>
        <w:rPr>
          <w:b/>
          <w:sz w:val="32"/>
          <w:lang w:val="en-US"/>
        </w:rPr>
        <w:t xml:space="preserve"> </w:t>
        <w:tab/>
      </w:r>
      <w:r>
        <w:rPr>
          <w:b/>
          <w:sz w:val="36"/>
          <w:lang w:val="en-US"/>
        </w:rPr>
        <w:t xml:space="preserve">Accreditation  </w:t>
      </w:r>
    </w:p>
    <w:p>
      <w:pPr>
        <w:pStyle w:val="Normal"/>
        <w:spacing w:lineRule="auto" w:line="259" w:before="0" w:after="0"/>
        <w:ind w:left="5584" w:hanging="10"/>
        <w:rPr>
          <w:lang w:val="en-US"/>
        </w:rPr>
      </w:pPr>
      <w:r>
        <w:rPr>
          <w:b/>
          <w:sz w:val="36"/>
          <w:lang w:val="en-US"/>
        </w:rPr>
        <w:t xml:space="preserve">Agreement </w:t>
      </w:r>
    </w:p>
    <w:p>
      <w:pPr>
        <w:pStyle w:val="Normal"/>
        <w:spacing w:lineRule="auto" w:line="259" w:before="0" w:after="0"/>
        <w:ind w:left="4418" w:hanging="0"/>
        <w:jc w:val="center"/>
        <w:rPr>
          <w:lang w:val="en-US"/>
        </w:rPr>
      </w:pPr>
      <w:r>
        <w:rPr>
          <w:b/>
          <w:sz w:val="36"/>
          <w:lang w:val="en-US"/>
        </w:rPr>
        <w:t xml:space="preserve"> </w:t>
      </w:r>
    </w:p>
    <w:p>
      <w:pPr>
        <w:pStyle w:val="Normal"/>
        <w:spacing w:lineRule="auto" w:line="259" w:before="0" w:after="0"/>
        <w:ind w:left="4409" w:hanging="0"/>
        <w:jc w:val="center"/>
        <w:rPr>
          <w:lang w:val="en-US"/>
        </w:rPr>
      </w:pPr>
      <w:r>
        <w:rPr>
          <w:b/>
          <w:sz w:val="32"/>
          <w:lang w:val="en-US"/>
        </w:rPr>
        <w:t xml:space="preserve"> </w:t>
      </w:r>
    </w:p>
    <w:p>
      <w:pPr>
        <w:pStyle w:val="Normal"/>
        <w:spacing w:lineRule="auto" w:line="259" w:before="0" w:after="41"/>
        <w:ind w:left="0" w:right="0" w:hanging="0"/>
        <w:rPr/>
      </w:pPr>
      <w:r>
        <w:rPr/>
        <mc:AlternateContent>
          <mc:Choice Requires="wpg">
            <w:drawing>
              <wp:inline distT="0" distB="101600" distL="0" distR="0" wp14:anchorId="212B6D21">
                <wp:extent cx="5497195" cy="6985"/>
                <wp:effectExtent l="0" t="0" r="0" b="0"/>
                <wp:docPr id="2" name=""/>
                <a:graphic xmlns:a="http://schemas.openxmlformats.org/drawingml/2006/main">
                  <a:graphicData uri="http://schemas.microsoft.com/office/word/2010/wordprocessingGroup">
                    <wpg:wgp>
                      <wpg:cNvGrpSpPr/>
                      <wpg:grpSpPr>
                        <a:xfrm>
                          <a:off x="0" y="0"/>
                          <a:ext cx="5496480" cy="6480"/>
                        </a:xfrm>
                      </wpg:grpSpPr>
                      <wps:wsp>
                        <wps:cNvSpPr/>
                        <wps:spPr>
                          <a:xfrm>
                            <a:off x="0" y="0"/>
                            <a:ext cx="2763360" cy="6480"/>
                          </a:xfrm>
                          <a:custGeom>
                            <a:avLst/>
                            <a:gdLst/>
                            <a:ahLst/>
                            <a:rect l="l" t="t" r="r" b="b"/>
                            <a:pathLst>
                              <a:path w="2763266" h="9144">
                                <a:moveTo>
                                  <a:pt x="0" y="0"/>
                                </a:moveTo>
                                <a:lnTo>
                                  <a:pt x="2763266" y="0"/>
                                </a:lnTo>
                                <a:lnTo>
                                  <a:pt x="2763266"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2754720" y="0"/>
                            <a:ext cx="8280" cy="648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2760480" y="0"/>
                            <a:ext cx="2736360" cy="6480"/>
                          </a:xfrm>
                          <a:custGeom>
                            <a:avLst/>
                            <a:gdLst/>
                            <a:ahLst/>
                            <a:rect l="l" t="t" r="r" b="b"/>
                            <a:pathLst>
                              <a:path w="2736215" h="9144">
                                <a:moveTo>
                                  <a:pt x="0" y="0"/>
                                </a:moveTo>
                                <a:lnTo>
                                  <a:pt x="2736215" y="0"/>
                                </a:lnTo>
                                <a:lnTo>
                                  <a:pt x="2736215"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pt;width:432.8pt;height:0.5pt" coordorigin="0,0" coordsize="8656,10"/>
            </w:pict>
          </mc:Fallback>
        </mc:AlternateContent>
      </w:r>
    </w:p>
    <w:p>
      <w:pPr>
        <w:pStyle w:val="Normal"/>
        <w:spacing w:lineRule="auto" w:line="259" w:before="0" w:after="95"/>
        <w:ind w:left="0" w:hanging="0"/>
        <w:rPr/>
      </w:pPr>
      <w:r>
        <w:rPr>
          <w:b/>
        </w:rPr>
        <w:t xml:space="preserve"> </w:t>
      </w:r>
    </w:p>
    <w:p>
      <w:pPr>
        <w:pStyle w:val="Normal"/>
        <w:spacing w:before="0" w:after="11"/>
        <w:ind w:left="0" w:right="10" w:hanging="10"/>
        <w:rPr>
          <w:lang w:val="en-US"/>
        </w:rPr>
      </w:pPr>
      <w:r>
        <w:rPr>
          <w:lang w:val="en-US"/>
        </w:rPr>
        <w:t xml:space="preserve">This PRIVACY &amp; PROXY SERVICE PROVIDER ACCREDITATION AGREEMENT (this </w:t>
      </w:r>
    </w:p>
    <w:p>
      <w:pPr>
        <w:pStyle w:val="Normal"/>
        <w:spacing w:before="0" w:after="11"/>
        <w:ind w:left="0" w:hanging="10"/>
        <w:rPr>
          <w:lang w:val="en-US"/>
        </w:rPr>
      </w:pPr>
      <w:r>
        <w:rPr>
          <w:lang w:val="en-US"/>
        </w:rPr>
        <w:t>“</w:t>
      </w:r>
      <w:r>
        <w:rPr>
          <w:lang w:val="en-US"/>
        </w:rPr>
        <w:t xml:space="preserve">Agreement”) is by and between the Internet Corporation for Assigned Names and </w:t>
      </w:r>
    </w:p>
    <w:p>
      <w:pPr>
        <w:pStyle w:val="Normal"/>
        <w:ind w:left="0" w:hanging="10"/>
        <w:rPr>
          <w:lang w:val="en-US"/>
        </w:rPr>
      </w:pPr>
      <w:r>
        <w:rPr>
          <w:lang w:val="en-US"/>
        </w:rPr>
        <w:t xml:space="preserve">Numbers, a California non-profit, public benefit corporation (“ICANN”), and [Provider Name], a [Organization type and jurisdiction] (“Provider”), and shall be deemed made on ____________________  (the “Effective Date”), at Los Angeles, California, USA. </w:t>
      </w:r>
    </w:p>
    <w:p>
      <w:pPr>
        <w:pStyle w:val="Normal"/>
        <w:numPr>
          <w:ilvl w:val="0"/>
          <w:numId w:val="1"/>
        </w:numPr>
        <w:ind w:left="10" w:right="10" w:hanging="360"/>
        <w:rPr>
          <w:lang w:val="en-US"/>
        </w:rPr>
      </w:pPr>
      <w:commentRangeStart w:id="0"/>
      <w:r>
        <w:rPr>
          <w:b/>
          <w:lang w:val="en-US"/>
        </w:rPr>
        <w:t>DEFINITIONS.</w:t>
      </w:r>
      <w:r>
        <w:rPr>
          <w:b/>
          <w:lang w:val="en-US"/>
        </w:rPr>
      </w:r>
      <w:commentRangeEnd w:id="0"/>
      <w:r>
        <w:commentReference w:id="0"/>
      </w:r>
      <w:r>
        <w:rPr>
          <w:b/>
          <w:lang w:val="en-US"/>
        </w:rPr>
        <w:t xml:space="preserve"> </w:t>
      </w:r>
      <w:r>
        <w:rPr>
          <w:lang w:val="en-US"/>
        </w:rPr>
        <w:t xml:space="preserve">For purposes of this Agreement, the following definitions shall apply.  </w:t>
      </w:r>
      <w:r>
        <w:rPr>
          <w:b/>
          <w:lang w:val="en-US"/>
        </w:rPr>
        <w:t xml:space="preserve"> </w:t>
      </w:r>
    </w:p>
    <w:p>
      <w:pPr>
        <w:pStyle w:val="Normal"/>
        <w:numPr>
          <w:ilvl w:val="1"/>
          <w:numId w:val="1"/>
        </w:numPr>
        <w:ind w:left="1476" w:right="10" w:hanging="756"/>
        <w:rPr>
          <w:lang w:val="en-US"/>
        </w:rPr>
      </w:pPr>
      <w:r>
        <w:rPr>
          <w:lang w:val="en-US"/>
        </w:rPr>
        <w:t>“</w:t>
      </w:r>
      <w:r>
        <w:rPr>
          <w:lang w:val="en-US"/>
        </w:rPr>
        <w:t xml:space="preserve">Abuse” means distributing malware, abusively operating botnets, phishing, piracy, trademark or copyright infringement, fraudulent or </w:t>
      </w:r>
      <w:commentRangeStart w:id="1"/>
      <w:r>
        <w:rPr>
          <w:lang w:val="en-US"/>
        </w:rPr>
        <w:t>deceptive practices</w:t>
      </w:r>
      <w:r>
        <w:rPr>
          <w:lang w:val="en-US"/>
        </w:rPr>
      </w:r>
      <w:commentRangeEnd w:id="1"/>
      <w:r>
        <w:commentReference w:id="1"/>
      </w:r>
      <w:r>
        <w:rPr>
          <w:lang w:val="en-US"/>
        </w:rPr>
        <w:t xml:space="preserve">, counterfeiting or otherwise engaging in activity contrary to applicable law. </w:t>
      </w:r>
    </w:p>
    <w:p>
      <w:pPr>
        <w:pStyle w:val="Normal"/>
        <w:numPr>
          <w:ilvl w:val="1"/>
          <w:numId w:val="1"/>
        </w:numPr>
        <w:ind w:left="1476" w:right="10" w:hanging="756"/>
        <w:rPr>
          <w:lang w:val="en-US"/>
        </w:rPr>
      </w:pPr>
      <w:r>
        <w:rPr>
          <w:lang w:val="en-US"/>
        </w:rPr>
        <w:t>“</w:t>
      </w:r>
      <w:r>
        <w:rPr>
          <w:lang w:val="en-US"/>
        </w:rPr>
        <w:t xml:space="preserve">Accredited” or “Accreditation” means to identify and set minimum standards for the performance of the Services, to recognize Persons meeting those standards, and to enter into an accreditation agreement that sets forth the rules and procedures applicable to the provision of the Services. </w:t>
      </w:r>
    </w:p>
    <w:p>
      <w:pPr>
        <w:pStyle w:val="Normal"/>
        <w:numPr>
          <w:ilvl w:val="1"/>
          <w:numId w:val="1"/>
        </w:numPr>
        <w:ind w:left="1476" w:right="10" w:hanging="756"/>
        <w:rPr>
          <w:lang w:val="en-US"/>
        </w:rPr>
      </w:pPr>
      <w:r>
        <w:rPr>
          <w:lang w:val="en-US"/>
        </w:rPr>
        <w:t>“</w:t>
      </w:r>
      <w:r>
        <w:rPr>
          <w:lang w:val="en-US"/>
        </w:rPr>
        <w:t xml:space="preserve">Affiliate” means a person or entity that, directly or indirectly, through one or more intermediaries, Controls, is controlled by, or is under common control with, the person or entity specified. </w:t>
      </w:r>
    </w:p>
    <w:p>
      <w:pPr>
        <w:pStyle w:val="Normal"/>
        <w:numPr>
          <w:ilvl w:val="1"/>
          <w:numId w:val="1"/>
        </w:numPr>
        <w:ind w:left="1476" w:right="10" w:hanging="756"/>
        <w:rPr>
          <w:lang w:val="en-US"/>
        </w:rPr>
      </w:pPr>
      <w:r>
        <w:rPr>
          <w:lang w:val="en-US"/>
        </w:rPr>
        <w:t>“</w:t>
      </w:r>
      <w:r>
        <w:rPr>
          <w:lang w:val="en-US"/>
        </w:rPr>
        <w:t xml:space="preserve">Affiliated Provider” is any Accredited provider that is an Affiliate of  Provider.  </w:t>
      </w:r>
    </w:p>
    <w:p>
      <w:pPr>
        <w:pStyle w:val="Normal"/>
        <w:numPr>
          <w:ilvl w:val="1"/>
          <w:numId w:val="1"/>
        </w:numPr>
        <w:ind w:left="1476" w:right="10" w:hanging="756"/>
        <w:rPr>
          <w:lang w:val="en-US"/>
        </w:rPr>
      </w:pPr>
      <w:r>
        <w:rPr>
          <w:lang w:val="en-US"/>
        </w:rPr>
        <w:t>“</w:t>
      </w:r>
      <w:r>
        <w:rPr>
          <w:lang w:val="en-US"/>
        </w:rPr>
        <w:t xml:space="preserve">Affiliated Registrar” is a Registrar that is an Affiliate of Provider. </w:t>
      </w:r>
    </w:p>
    <w:p>
      <w:pPr>
        <w:pStyle w:val="Normal"/>
        <w:numPr>
          <w:ilvl w:val="1"/>
          <w:numId w:val="1"/>
        </w:numPr>
        <w:ind w:left="1476" w:right="10" w:hanging="756"/>
        <w:rPr>
          <w:lang w:val="en-US"/>
        </w:rPr>
      </w:pPr>
      <w:r>
        <w:rPr>
          <w:lang w:val="en-US"/>
        </w:rPr>
        <w:t>“</w:t>
      </w:r>
      <w:r>
        <w:rPr>
          <w:lang w:val="en-US"/>
        </w:rPr>
        <w:t xml:space="preserve">Consensus Policy” has the meaning set forth in the Consensus Policies and Temporary Policies Specification attached hereto. </w:t>
      </w:r>
    </w:p>
    <w:p>
      <w:pPr>
        <w:pStyle w:val="Normal"/>
        <w:numPr>
          <w:ilvl w:val="1"/>
          <w:numId w:val="1"/>
        </w:numPr>
        <w:ind w:left="1476" w:right="10" w:hanging="756"/>
        <w:rPr>
          <w:lang w:val="en-US"/>
        </w:rPr>
      </w:pPr>
      <w:r>
        <w:rPr>
          <w:lang w:val="en-US"/>
        </w:rPr>
        <w:t>“</w:t>
      </w:r>
      <w:r>
        <w:rPr>
          <w:lang w:val="en-US"/>
        </w:rPr>
        <w:t xml:space="preserve">Control” (including the terms “controlled by” and “under common control with”) means the possession, directly or indirectly, of the power to direct or cause the direction of the management or policies of a person or entity, whether through the ownership of securities, as trustee or executor, by serving as an employee or a member of a board of directors or equivalent governing body, by contract, by credit arrangement or otherwise. </w:t>
      </w:r>
    </w:p>
    <w:p>
      <w:pPr>
        <w:pStyle w:val="Normal"/>
        <w:numPr>
          <w:ilvl w:val="1"/>
          <w:numId w:val="1"/>
        </w:numPr>
        <w:ind w:left="1476" w:right="10" w:hanging="756"/>
        <w:rPr>
          <w:lang w:val="en-US"/>
        </w:rPr>
      </w:pPr>
      <w:r>
        <w:rPr>
          <w:lang w:val="en-US"/>
        </w:rPr>
        <w:t>“</w:t>
      </w:r>
      <w:r>
        <w:rPr>
          <w:lang w:val="en-US"/>
        </w:rPr>
        <w:t xml:space="preserve">Customer” means a Person for whom Provider provides the Services. </w:t>
      </w:r>
    </w:p>
    <w:p>
      <w:pPr>
        <w:pStyle w:val="Normal"/>
        <w:numPr>
          <w:ilvl w:val="1"/>
          <w:numId w:val="1"/>
        </w:numPr>
        <w:ind w:left="1476" w:right="10" w:hanging="756"/>
        <w:rPr>
          <w:lang w:val="en-US"/>
        </w:rPr>
      </w:pPr>
      <w:r>
        <w:rPr>
          <w:lang w:val="en-US"/>
        </w:rPr>
        <w:t>“</w:t>
      </w:r>
      <w:r>
        <w:rPr>
          <w:lang w:val="en-US"/>
        </w:rPr>
        <w:t xml:space="preserve">Customer Data Accuracy Program Specification” means the Customer Data Accuracy Program Specification attached hereto, as updated from time to time in accordance with this Agreement. </w:t>
      </w:r>
    </w:p>
    <w:p>
      <w:pPr>
        <w:pStyle w:val="Normal"/>
        <w:numPr>
          <w:ilvl w:val="1"/>
          <w:numId w:val="1"/>
        </w:numPr>
        <w:ind w:left="1476" w:right="10" w:hanging="756"/>
        <w:rPr>
          <w:lang w:val="en-US"/>
        </w:rPr>
      </w:pPr>
      <w:r>
        <w:rPr>
          <w:lang w:val="en-US"/>
        </w:rPr>
        <w:t>“</w:t>
      </w:r>
      <w:r>
        <w:rPr>
          <w:lang w:val="en-US"/>
        </w:rPr>
        <w:t xml:space="preserve">Disclosure” means the Reveal of a Customer’s identity or contact details to a third-party Requester without Publication in the Registration Data Directory Service. </w:t>
      </w:r>
    </w:p>
    <w:p>
      <w:pPr>
        <w:pStyle w:val="Normal"/>
        <w:numPr>
          <w:ilvl w:val="1"/>
          <w:numId w:val="1"/>
        </w:numPr>
        <w:ind w:left="1476" w:right="10" w:hanging="756"/>
        <w:rPr>
          <w:lang w:val="en-US"/>
        </w:rPr>
      </w:pPr>
      <w:r>
        <w:rPr>
          <w:lang w:val="en-US"/>
        </w:rPr>
        <w:t>“</w:t>
      </w:r>
      <w:r>
        <w:rPr>
          <w:lang w:val="en-US"/>
        </w:rPr>
        <w:t xml:space="preserve">DNS” refers to the Internet domain-name system. </w:t>
      </w:r>
    </w:p>
    <w:p>
      <w:pPr>
        <w:pStyle w:val="Normal"/>
        <w:numPr>
          <w:ilvl w:val="1"/>
          <w:numId w:val="1"/>
        </w:numPr>
        <w:ind w:left="1476" w:right="10" w:hanging="756"/>
        <w:rPr>
          <w:lang w:val="en-US"/>
        </w:rPr>
      </w:pPr>
      <w:r>
        <w:rPr>
          <w:lang w:val="en-US"/>
        </w:rPr>
        <w:t>“</w:t>
      </w:r>
      <w:r>
        <w:rPr>
          <w:lang w:val="en-US"/>
        </w:rPr>
        <w:t xml:space="preserve">gTLD” or “gTLDs” refers to the top-level domain(s) of the DNS delegated by ICANN pursuant to a registry agreement that is in full force and effect, other than any country code TLD (ccTLD) or internationalized domain name (IDN) country code TLD. </w:t>
      </w:r>
    </w:p>
    <w:p>
      <w:pPr>
        <w:pStyle w:val="Normal"/>
        <w:numPr>
          <w:ilvl w:val="1"/>
          <w:numId w:val="1"/>
        </w:numPr>
        <w:ind w:left="1476" w:right="10" w:hanging="756"/>
        <w:rPr>
          <w:lang w:val="en-US"/>
        </w:rPr>
      </w:pPr>
      <w:r>
        <w:rPr>
          <w:lang w:val="en-US"/>
        </w:rPr>
        <w:t>“</w:t>
      </w:r>
      <w:r>
        <w:rPr>
          <w:lang w:val="en-US"/>
        </w:rPr>
        <w:t xml:space="preserve">gTLD Zone-File Data” means all data contained in a DNS zone file for the registry, or for any subdomain for which Registry Services are provided and that contains Registered Names, as provided to nameservers on the Internet. </w:t>
      </w:r>
    </w:p>
    <w:p>
      <w:pPr>
        <w:pStyle w:val="Normal"/>
        <w:numPr>
          <w:ilvl w:val="1"/>
          <w:numId w:val="1"/>
        </w:numPr>
        <w:ind w:left="1476" w:right="10" w:hanging="756"/>
        <w:rPr>
          <w:lang w:val="en-US"/>
        </w:rPr>
      </w:pPr>
      <w:r>
        <w:rPr>
          <w:lang w:val="en-US"/>
        </w:rPr>
        <w:t>“</w:t>
      </w:r>
      <w:r>
        <w:rPr>
          <w:lang w:val="en-US"/>
        </w:rPr>
        <w:t xml:space="preserve">Illegal Activity” means conduct involving use of a Registered Name that is prohibited by applicable law or exploitation of domain name resolution or registration services in furtherance of conduct involving the use of a Registered Name that is prohibited by applicable law. </w:t>
      </w:r>
    </w:p>
    <w:p>
      <w:pPr>
        <w:pStyle w:val="Normal"/>
        <w:numPr>
          <w:ilvl w:val="1"/>
          <w:numId w:val="1"/>
        </w:numPr>
        <w:ind w:left="1476" w:right="10" w:hanging="756"/>
        <w:rPr>
          <w:lang w:val="en-US"/>
        </w:rPr>
      </w:pPr>
      <w:r>
        <w:rPr>
          <w:lang w:val="en-US"/>
        </w:rPr>
        <w:t>“</w:t>
      </w:r>
      <w:r>
        <w:rPr>
          <w:lang w:val="en-US"/>
        </w:rPr>
        <w:t xml:space="preserve">Labeling Specification” means the Registration Data Directory Service Labeling Specification attached hereto, as updated from time to time in accordance with this Agreement. </w:t>
      </w:r>
    </w:p>
    <w:p>
      <w:pPr>
        <w:pStyle w:val="Normal"/>
        <w:numPr>
          <w:ilvl w:val="1"/>
          <w:numId w:val="1"/>
        </w:numPr>
        <w:ind w:left="1476" w:right="10" w:hanging="756"/>
        <w:rPr>
          <w:lang w:val="en-US"/>
        </w:rPr>
      </w:pPr>
      <w:r>
        <w:rPr>
          <w:lang w:val="en-US"/>
        </w:rPr>
        <w:t>“</w:t>
      </w:r>
      <w:r>
        <w:rPr>
          <w:lang w:val="en-US"/>
        </w:rPr>
        <w:t xml:space="preserve">Law Enforcement Authority” means law enforcement, consumer protection, quasi-governmental or other similar authorities designated from time to time by the national or territorial government of the jurisdiction in which Provider is established or maintains a physical office.  </w:t>
      </w:r>
    </w:p>
    <w:p>
      <w:pPr>
        <w:pStyle w:val="Normal"/>
        <w:numPr>
          <w:ilvl w:val="1"/>
          <w:numId w:val="1"/>
        </w:numPr>
        <w:ind w:left="1476" w:right="10" w:hanging="756"/>
        <w:rPr>
          <w:lang w:val="en-US"/>
        </w:rPr>
      </w:pPr>
      <w:r>
        <w:rPr>
          <w:lang w:val="en-US"/>
        </w:rPr>
        <w:t xml:space="preserve">A “Persistent Delivery Failure” occurs when an electronic communications system abandons or otherwise stops attempting to deliver an electronic communication to a Customer after a certain number of repeated or duplicate delivery attempts within a reasonable period of time, in each case, consistent with generally accepted industry protocols.  </w:t>
      </w:r>
    </w:p>
    <w:p>
      <w:pPr>
        <w:pStyle w:val="Normal"/>
        <w:numPr>
          <w:ilvl w:val="1"/>
          <w:numId w:val="1"/>
        </w:numPr>
        <w:ind w:left="1476" w:right="10" w:hanging="756"/>
        <w:rPr>
          <w:lang w:val="en-US"/>
        </w:rPr>
      </w:pPr>
      <w:r>
        <w:rPr>
          <w:lang w:val="en-US"/>
        </w:rPr>
        <w:t>“</w:t>
      </w:r>
      <w:r>
        <w:rPr>
          <w:lang w:val="en-US"/>
        </w:rPr>
        <w:t xml:space="preserve">Person” means an individual, corporation, limited liability company, partnership, association, trust, joint venture, unincorporated organization, other entity or group. </w:t>
      </w:r>
    </w:p>
    <w:p>
      <w:pPr>
        <w:pStyle w:val="Normal"/>
        <w:numPr>
          <w:ilvl w:val="1"/>
          <w:numId w:val="1"/>
        </w:numPr>
        <w:ind w:left="1476" w:right="10" w:hanging="756"/>
        <w:rPr>
          <w:lang w:val="en-US"/>
        </w:rPr>
      </w:pPr>
      <w:r>
        <w:rPr>
          <w:lang w:val="en-US"/>
        </w:rPr>
        <w:t>“</w:t>
      </w:r>
      <w:r>
        <w:rPr>
          <w:lang w:val="en-US"/>
        </w:rPr>
        <w:t xml:space="preserve">Personal Data” refers to data about any identified or identifiable natural person. </w:t>
      </w:r>
    </w:p>
    <w:p>
      <w:pPr>
        <w:pStyle w:val="Normal"/>
        <w:numPr>
          <w:ilvl w:val="1"/>
          <w:numId w:val="1"/>
        </w:numPr>
        <w:ind w:left="1476" w:right="10" w:hanging="756"/>
        <w:rPr>
          <w:lang w:val="en-US"/>
        </w:rPr>
      </w:pPr>
      <w:r>
        <w:rPr>
          <w:lang w:val="en-US"/>
        </w:rPr>
        <w:t>“</w:t>
      </w:r>
      <w:r>
        <w:rPr>
          <w:lang w:val="en-US"/>
        </w:rPr>
        <w:t xml:space="preserve">Privacy Service” means a service by which a Registered Name is registered to a Customer as the Registered Name Holder, but for which alternative, reliable contact information is provided by a Service Provider for display in lieu of the Customer’s contact information in the Registration Data Directory Service. </w:t>
      </w:r>
    </w:p>
    <w:p>
      <w:pPr>
        <w:pStyle w:val="Normal"/>
        <w:numPr>
          <w:ilvl w:val="1"/>
          <w:numId w:val="1"/>
        </w:numPr>
        <w:ind w:left="1476" w:right="10" w:hanging="756"/>
        <w:rPr>
          <w:lang w:val="en-US"/>
        </w:rPr>
      </w:pPr>
      <w:r>
        <w:rPr>
          <w:lang w:val="en-US"/>
        </w:rPr>
        <w:t>“</w:t>
      </w:r>
      <w:r>
        <w:rPr>
          <w:lang w:val="en-US"/>
        </w:rPr>
        <w:t xml:space="preserve">Provider Approval” means the receipt of the affirmative approval of 50% plus one of the Service Providers as of the date ICANN provides notice pursuant to Article 6 or Section 7.4 seeking approval of the Service Providers. </w:t>
      </w:r>
    </w:p>
    <w:p>
      <w:pPr>
        <w:pStyle w:val="Normal"/>
        <w:numPr>
          <w:ilvl w:val="1"/>
          <w:numId w:val="1"/>
        </w:numPr>
        <w:ind w:left="1476" w:right="10" w:hanging="756"/>
        <w:rPr>
          <w:lang w:val="en-US"/>
        </w:rPr>
      </w:pPr>
      <w:r>
        <w:rPr>
          <w:lang w:val="en-US"/>
        </w:rPr>
        <w:t>“</w:t>
      </w:r>
      <w:r>
        <w:rPr>
          <w:lang w:val="en-US"/>
        </w:rPr>
        <w:t xml:space="preserve">Proxy Service” means a service through which a Service Provider, as a Registered Name Holder, licenses use of a Registered Name to a Customer in order to provide the Customer use of such Registered Name, and the Service Provider’s contact information is displayed in the Registration Data Directory Service rather than the Customer’s contact information. </w:t>
      </w:r>
    </w:p>
    <w:p>
      <w:pPr>
        <w:pStyle w:val="Normal"/>
        <w:numPr>
          <w:ilvl w:val="1"/>
          <w:numId w:val="1"/>
        </w:numPr>
        <w:ind w:left="1476" w:right="10" w:hanging="756"/>
        <w:rPr>
          <w:lang w:val="en-US"/>
        </w:rPr>
      </w:pPr>
      <w:r>
        <w:rPr>
          <w:lang w:val="en-US"/>
        </w:rPr>
        <w:t>“</w:t>
      </w:r>
      <w:r>
        <w:rPr>
          <w:lang w:val="en-US"/>
        </w:rPr>
        <w:t xml:space="preserve">Publication” means the reveal (i.e. displaying) of a Customer’s identity or contact information in the Registration Data Service in place of Provider’s identity and contact information. </w:t>
      </w:r>
    </w:p>
    <w:p>
      <w:pPr>
        <w:pStyle w:val="Normal"/>
        <w:numPr>
          <w:ilvl w:val="1"/>
          <w:numId w:val="1"/>
        </w:numPr>
        <w:ind w:left="1476" w:right="10" w:hanging="756"/>
        <w:rPr>
          <w:lang w:val="en-US"/>
        </w:rPr>
      </w:pPr>
      <w:r>
        <w:rPr>
          <w:lang w:val="en-US"/>
        </w:rPr>
        <w:t>“</w:t>
      </w:r>
      <w:r>
        <w:rPr>
          <w:lang w:val="en-US"/>
        </w:rPr>
        <w:t xml:space="preserve">Registered Name” refers to a domain name within the domain of a gTLD, whether consisting of two (2) or more (e.g., john.smith.name) levels, about which a gTLD Registry Operator (or an Affiliate or subcontractor thereof engaged in providing Registry Services) maintains data in a Registry Database, arranges for such maintenance, or derives revenue from such maintenance. A name in a Registry Database may be a Registered Name even though it does not appear in a zone file (e.g., a registered but inactive name). </w:t>
      </w:r>
    </w:p>
    <w:p>
      <w:pPr>
        <w:pStyle w:val="Normal"/>
        <w:numPr>
          <w:ilvl w:val="1"/>
          <w:numId w:val="1"/>
        </w:numPr>
        <w:ind w:left="1476" w:right="10" w:hanging="756"/>
        <w:rPr>
          <w:lang w:val="en-US"/>
        </w:rPr>
      </w:pPr>
      <w:r>
        <w:rPr>
          <w:lang w:val="en-US"/>
        </w:rPr>
        <w:t>“</w:t>
      </w:r>
      <w:r>
        <w:rPr>
          <w:lang w:val="en-US"/>
        </w:rPr>
        <w:t xml:space="preserve">Registered Name Holder” means the holder of a Registered Name. </w:t>
      </w:r>
    </w:p>
    <w:p>
      <w:pPr>
        <w:pStyle w:val="Normal"/>
        <w:numPr>
          <w:ilvl w:val="1"/>
          <w:numId w:val="1"/>
        </w:numPr>
        <w:spacing w:before="0" w:after="11"/>
        <w:ind w:left="1476" w:right="10" w:hanging="756"/>
        <w:rPr>
          <w:lang w:val="en-US"/>
        </w:rPr>
      </w:pPr>
      <w:r>
        <w:rPr>
          <w:lang w:val="en-US"/>
        </w:rPr>
        <w:t>“</w:t>
      </w:r>
      <w:r>
        <w:rPr>
          <w:lang w:val="en-US"/>
        </w:rPr>
        <w:t xml:space="preserve">Registrar” means a Person that has entered into a Registrar Accreditation </w:t>
      </w:r>
    </w:p>
    <w:p>
      <w:pPr>
        <w:pStyle w:val="Normal"/>
        <w:ind w:left="0" w:right="10" w:hanging="10"/>
        <w:rPr>
          <w:lang w:val="en-US"/>
        </w:rPr>
      </w:pPr>
      <w:r>
        <w:rPr>
          <w:lang w:val="en-US"/>
        </w:rPr>
        <w:t xml:space="preserve">Agreement with ICANN that contracts with Registered Name Holders and with a Registry Operator and collects registration data about the Registered Name Holders and submits registration information for entry in the Registry Database. </w:t>
      </w:r>
    </w:p>
    <w:p>
      <w:pPr>
        <w:pStyle w:val="Normal"/>
        <w:numPr>
          <w:ilvl w:val="1"/>
          <w:numId w:val="1"/>
        </w:numPr>
        <w:spacing w:before="0" w:after="0"/>
        <w:ind w:left="1476" w:right="10" w:hanging="756"/>
        <w:rPr>
          <w:lang w:val="en-US"/>
        </w:rPr>
      </w:pPr>
      <w:r>
        <w:rPr>
          <w:lang w:val="en-US"/>
        </w:rPr>
        <w:t>“</w:t>
      </w:r>
      <w:r>
        <w:rPr>
          <w:lang w:val="en-US"/>
        </w:rPr>
        <w:t xml:space="preserve">Registrar Accreditation Agreement” means any Registrar Accreditation Agreement between a Registrar and ICANN that is based on that certain 2009 </w:t>
      </w:r>
    </w:p>
    <w:p>
      <w:pPr>
        <w:pStyle w:val="Normal"/>
        <w:spacing w:before="0" w:after="11"/>
        <w:ind w:left="0" w:hanging="10"/>
        <w:rPr>
          <w:lang w:val="en-US"/>
        </w:rPr>
      </w:pPr>
      <w:r>
        <w:rPr>
          <w:lang w:val="en-US"/>
        </w:rPr>
        <w:t xml:space="preserve">Registrar Accreditation Agreement approved by ICANN’s Board of Directors on May </w:t>
      </w:r>
    </w:p>
    <w:p>
      <w:pPr>
        <w:pStyle w:val="Normal"/>
        <w:ind w:left="0" w:hanging="10"/>
        <w:rPr>
          <w:lang w:val="en-US"/>
        </w:rPr>
      </w:pPr>
      <w:r>
        <w:rPr>
          <w:lang w:val="en-US"/>
        </w:rPr>
        <w:t xml:space="preserve">21, 2009, that certain 2013 Registrar Accreditation Agreement approved by ICANN’s Board of Directors on June 27, 2013 or any successor to such agreements that is approved by ICANN’s Board of Directors. </w:t>
      </w:r>
    </w:p>
    <w:p>
      <w:pPr>
        <w:pStyle w:val="Normal"/>
        <w:numPr>
          <w:ilvl w:val="1"/>
          <w:numId w:val="1"/>
        </w:numPr>
        <w:ind w:left="1476" w:right="10" w:hanging="756"/>
        <w:rPr>
          <w:lang w:val="en-US"/>
        </w:rPr>
      </w:pPr>
      <w:r>
        <w:rPr>
          <w:lang w:val="en-US"/>
        </w:rPr>
        <w:t>“</w:t>
      </w:r>
      <w:r>
        <w:rPr>
          <w:lang w:val="en-US"/>
        </w:rPr>
        <w:t xml:space="preserve">Registration Data Directory Service” means the current globally accessible gTLD Registration Data Directory Service (WHOIS), and any successors or replacements thereto. </w:t>
      </w:r>
    </w:p>
    <w:p>
      <w:pPr>
        <w:pStyle w:val="Normal"/>
        <w:numPr>
          <w:ilvl w:val="1"/>
          <w:numId w:val="1"/>
        </w:numPr>
        <w:spacing w:before="0" w:after="11"/>
        <w:ind w:left="1476" w:right="10" w:hanging="756"/>
        <w:rPr>
          <w:lang w:val="en-US"/>
        </w:rPr>
      </w:pPr>
      <w:r>
        <w:rPr>
          <w:lang w:val="en-US"/>
        </w:rPr>
        <w:t>“</w:t>
      </w:r>
      <w:r>
        <w:rPr>
          <w:lang w:val="en-US"/>
        </w:rPr>
        <w:t xml:space="preserve">Registry Database” means a database comprised of data about one or more </w:t>
      </w:r>
    </w:p>
    <w:p>
      <w:pPr>
        <w:pStyle w:val="Normal"/>
        <w:ind w:left="0" w:right="10" w:hanging="10"/>
        <w:rPr>
          <w:lang w:val="en-US"/>
        </w:rPr>
      </w:pPr>
      <w:r>
        <w:rPr>
          <w:lang w:val="en-US"/>
        </w:rPr>
        <w:t xml:space="preserve">DNS domain names within the domain of a registry that is used to generate either DNS resource records that are published authoritatively or responses to domainname availability lookup requests or WHOIS queries, for some or all of those names. </w:t>
      </w:r>
    </w:p>
    <w:p>
      <w:pPr>
        <w:pStyle w:val="Normal"/>
        <w:numPr>
          <w:ilvl w:val="1"/>
          <w:numId w:val="1"/>
        </w:numPr>
        <w:ind w:left="1476" w:right="10" w:hanging="756"/>
        <w:rPr>
          <w:lang w:val="en-US"/>
        </w:rPr>
      </w:pPr>
      <w:r>
        <w:rPr>
          <w:lang w:val="en-US"/>
        </w:rPr>
        <w:t xml:space="preserve">A “Registry Operator” is the Person then responsible, in accordance with an agreement with ICANN (or its assignee) for providing Registry Services for a specific gTLD. </w:t>
      </w:r>
    </w:p>
    <w:p>
      <w:pPr>
        <w:pStyle w:val="Normal"/>
        <w:numPr>
          <w:ilvl w:val="1"/>
          <w:numId w:val="1"/>
        </w:numPr>
        <w:ind w:left="1476" w:right="10" w:hanging="756"/>
        <w:rPr>
          <w:lang w:val="en-US"/>
        </w:rPr>
      </w:pPr>
      <w:r>
        <w:rPr>
          <w:lang w:val="en-US"/>
        </w:rPr>
        <w:t>“</w:t>
      </w:r>
      <w:r>
        <w:rPr>
          <w:lang w:val="en-US"/>
        </w:rPr>
        <w:t xml:space="preserve">Registry Services” with respect to a particular gTLD, shall have the meaning defined in the agreement between ICANN and the Registry Operator for that gTLD. </w:t>
      </w:r>
    </w:p>
    <w:p>
      <w:pPr>
        <w:pStyle w:val="Normal"/>
        <w:numPr>
          <w:ilvl w:val="1"/>
          <w:numId w:val="1"/>
        </w:numPr>
        <w:ind w:left="1476" w:right="10" w:hanging="756"/>
        <w:rPr>
          <w:lang w:val="en-US"/>
        </w:rPr>
      </w:pPr>
      <w:r>
        <w:rPr>
          <w:lang w:val="en-US"/>
        </w:rPr>
        <w:t>“</w:t>
      </w:r>
      <w:r>
        <w:rPr>
          <w:lang w:val="en-US"/>
        </w:rPr>
        <w:t xml:space="preserve">Relay” when used in the context of a request to a Service Provider from a Requester, means to forward the request to, or otherwise notify, the Customer that a Requester is attempting to contact the Customer. </w:t>
      </w:r>
    </w:p>
    <w:p>
      <w:pPr>
        <w:pStyle w:val="Normal"/>
        <w:numPr>
          <w:ilvl w:val="1"/>
          <w:numId w:val="1"/>
        </w:numPr>
        <w:ind w:left="1476" w:right="10" w:hanging="756"/>
        <w:rPr>
          <w:lang w:val="en-US"/>
        </w:rPr>
      </w:pPr>
      <w:r>
        <w:rPr>
          <w:lang w:val="en-US"/>
        </w:rPr>
        <w:t xml:space="preserve">A “Reseller” is a person or entity that participates in a Registrar’s distribution channel for domain name registrations (a) pursuant to an agreement, arrangement or understanding with a Registrar or (b) with a Registrar’s actual knowledge, provides some or all Registrar Services, including collecting registration data about Registered Name Holders, submitting that data to a Registrar, or facilitating the entry of a registration agreement between the Registrar and the Registered Name Holder. </w:t>
      </w:r>
    </w:p>
    <w:p>
      <w:pPr>
        <w:pStyle w:val="Normal"/>
        <w:numPr>
          <w:ilvl w:val="1"/>
          <w:numId w:val="1"/>
        </w:numPr>
        <w:ind w:left="1476" w:right="10" w:hanging="756"/>
        <w:rPr>
          <w:lang w:val="en-US"/>
        </w:rPr>
      </w:pPr>
      <w:r>
        <w:rPr>
          <w:lang w:val="en-US"/>
        </w:rPr>
        <w:t>“</w:t>
      </w:r>
      <w:r>
        <w:rPr>
          <w:lang w:val="en-US"/>
        </w:rPr>
        <w:t xml:space="preserve">Restricted Amendment” means (a) an amendment of the Consensus Policies and Temporary Policies Specification or (b) the term of this Agreement as specified in Section 5.1, as such term may be extended pursuant to Section 5.2. </w:t>
      </w:r>
    </w:p>
    <w:p>
      <w:pPr>
        <w:pStyle w:val="Normal"/>
        <w:numPr>
          <w:ilvl w:val="1"/>
          <w:numId w:val="1"/>
        </w:numPr>
        <w:ind w:left="1476" w:right="10" w:hanging="756"/>
        <w:rPr>
          <w:lang w:val="en-US"/>
        </w:rPr>
      </w:pPr>
      <w:r>
        <w:rPr>
          <w:lang w:val="en-US"/>
        </w:rPr>
        <w:t>“</w:t>
      </w:r>
      <w:r>
        <w:rPr>
          <w:lang w:val="en-US"/>
        </w:rPr>
        <w:t xml:space="preserve">Requester”, when used in the context of Relay, Disclosure or Publication, means a Person (or a representative of such Person pursuant to the Intellectual Property Disclosure Framework Specification) that requests from a Service Provider either a Relay, Disclosure or Publication of the identity or contact details of a Customer, as the case may be. </w:t>
      </w:r>
    </w:p>
    <w:p>
      <w:pPr>
        <w:pStyle w:val="Normal"/>
        <w:numPr>
          <w:ilvl w:val="1"/>
          <w:numId w:val="1"/>
        </w:numPr>
        <w:ind w:left="1476" w:right="10" w:hanging="756"/>
        <w:rPr>
          <w:lang w:val="en-US"/>
        </w:rPr>
      </w:pPr>
      <w:r>
        <w:rPr>
          <w:lang w:val="en-US"/>
        </w:rPr>
        <w:t xml:space="preserve">A Registered Name is “sponsored” by the Registrar that placed the record associated with that registration into the registry. Sponsorship of a registration may be changed at the express direction of the Registered Name Holder or, in the event a Registrar’s Registrar Accreditation Agreement is terminated, in accordance with then-current ICANN Specifications and Policies. </w:t>
      </w:r>
    </w:p>
    <w:p>
      <w:pPr>
        <w:pStyle w:val="Normal"/>
        <w:numPr>
          <w:ilvl w:val="1"/>
          <w:numId w:val="1"/>
        </w:numPr>
        <w:ind w:left="1476" w:right="10" w:hanging="756"/>
        <w:rPr>
          <w:lang w:val="en-US"/>
        </w:rPr>
      </w:pPr>
      <w:r>
        <w:rPr>
          <w:lang w:val="en-US"/>
        </w:rPr>
        <w:t>“</w:t>
      </w:r>
      <w:r>
        <w:rPr>
          <w:lang w:val="en-US"/>
        </w:rPr>
        <w:t xml:space="preserve">Service Provider” means a Person that provides Privacy Services or Proxy Services, who has been Accredited and entered into an agreement with ICANN substantially similar to this Agreement, including Provider. </w:t>
      </w:r>
    </w:p>
    <w:p>
      <w:pPr>
        <w:pStyle w:val="Normal"/>
        <w:numPr>
          <w:ilvl w:val="1"/>
          <w:numId w:val="1"/>
        </w:numPr>
        <w:ind w:left="1476" w:right="10" w:hanging="756"/>
        <w:rPr>
          <w:lang w:val="en-US"/>
        </w:rPr>
      </w:pPr>
      <w:r>
        <w:rPr>
          <w:lang w:val="en-US"/>
        </w:rPr>
        <w:t>“</w:t>
      </w:r>
      <w:r>
        <w:rPr>
          <w:lang w:val="en-US"/>
        </w:rPr>
        <w:t xml:space="preserve">Services” means, individually and collectively, Privacy Services and Proxy Services. </w:t>
      </w:r>
    </w:p>
    <w:p>
      <w:pPr>
        <w:pStyle w:val="Normal"/>
        <w:numPr>
          <w:ilvl w:val="1"/>
          <w:numId w:val="1"/>
        </w:numPr>
        <w:spacing w:before="0" w:after="11"/>
        <w:ind w:left="1476" w:right="10" w:hanging="756"/>
        <w:rPr>
          <w:lang w:val="en-US"/>
        </w:rPr>
      </w:pPr>
      <w:r>
        <w:rPr>
          <w:lang w:val="en-US"/>
        </w:rPr>
        <w:t>“</w:t>
      </w:r>
      <w:r>
        <w:rPr>
          <w:lang w:val="en-US"/>
        </w:rPr>
        <w:t xml:space="preserve">Specifications and/or Policies” include Consensus Policies, Specifications </w:t>
      </w:r>
    </w:p>
    <w:p>
      <w:pPr>
        <w:pStyle w:val="Normal"/>
        <w:ind w:left="0" w:right="10" w:hanging="10"/>
        <w:rPr>
          <w:lang w:val="en-US"/>
        </w:rPr>
      </w:pPr>
      <w:r>
        <w:rPr>
          <w:lang w:val="en-US"/>
        </w:rPr>
        <w:t xml:space="preserve">(such as the Customer Data Accuracy Program Specification) referenced in this Agreement, and any amendments, policies, procedures, or programs specifically contemplated by this Agreement or authorized by ICANN’s Bylaws. </w:t>
      </w:r>
    </w:p>
    <w:p>
      <w:pPr>
        <w:pStyle w:val="Normal"/>
        <w:numPr>
          <w:ilvl w:val="1"/>
          <w:numId w:val="1"/>
        </w:numPr>
        <w:ind w:left="1476" w:right="10" w:hanging="756"/>
        <w:rPr>
          <w:lang w:val="en-US"/>
        </w:rPr>
      </w:pPr>
      <w:r>
        <w:rPr>
          <w:lang w:val="en-US"/>
        </w:rPr>
        <w:t>“</w:t>
      </w:r>
      <w:r>
        <w:rPr>
          <w:lang w:val="en-US"/>
        </w:rPr>
        <w:t xml:space="preserve">Substantial and Compelling Reason in the Public Interest” means a reason that is justified by an important, specific, and articulated public interest goal that is within ICANN's mission and consistent with a balanced application of ICANN's core values as defined in ICANN's Bylaws.  </w:t>
      </w:r>
    </w:p>
    <w:p>
      <w:pPr>
        <w:pStyle w:val="Normal"/>
        <w:numPr>
          <w:ilvl w:val="1"/>
          <w:numId w:val="1"/>
        </w:numPr>
        <w:ind w:left="1476" w:right="10" w:hanging="756"/>
        <w:rPr>
          <w:lang w:val="en-US"/>
        </w:rPr>
      </w:pPr>
      <w:r>
        <w:rPr>
          <w:lang w:val="en-US"/>
        </w:rPr>
        <w:t>“</w:t>
      </w:r>
      <w:r>
        <w:rPr>
          <w:lang w:val="en-US"/>
        </w:rPr>
        <w:t xml:space="preserve">Term of this Agreement” begins on the Effective Date and continues to the earlier of (a) the Expiration Date, or (b) termination of this Agreement. </w:t>
      </w:r>
    </w:p>
    <w:p>
      <w:pPr>
        <w:pStyle w:val="Normal"/>
        <w:numPr>
          <w:ilvl w:val="1"/>
          <w:numId w:val="1"/>
        </w:numPr>
        <w:spacing w:before="0" w:after="0"/>
        <w:ind w:left="1476" w:right="10" w:hanging="756"/>
        <w:rPr/>
      </w:pPr>
      <w:r>
        <w:rPr>
          <w:lang w:val="en-US"/>
        </w:rPr>
        <w:t>“</w:t>
      </w:r>
      <w:r>
        <w:rPr>
          <w:lang w:val="en-US"/>
        </w:rPr>
        <w:t xml:space="preserve">Working Group” means a standing working group comprised of representatives of the Service Providers and other members of the community appointed from time to time by a majority of the Service Providers who elect to participate in the Working Group selection process; provided, that, if the Generic Names Supporting Organization (the “GNSO”) forms a stakeholder group for providers of the Services (the “Provider Stakeholder Group”), then following the date of the formation of the Provider Stakeholder Group, the Provider Stakeholder Group shall appoint the representatives making up the Working Group. </w:t>
      </w:r>
      <w:r>
        <w:rPr/>
        <w:t xml:space="preserve">The </w:t>
      </w:r>
    </w:p>
    <w:p>
      <w:pPr>
        <w:pStyle w:val="Normal"/>
        <w:spacing w:before="0" w:after="0"/>
        <w:ind w:left="0" w:right="10" w:hanging="10"/>
        <w:rPr>
          <w:lang w:val="en-US"/>
        </w:rPr>
      </w:pPr>
      <w:r>
        <w:rPr>
          <w:lang w:val="en-US"/>
        </w:rPr>
        <w:t xml:space="preserve">Working Group will serve as a working group to consult on amendments to the Service Provider Agreements (excluding bilateral amendments pursuant to Section </w:t>
      </w:r>
    </w:p>
    <w:p>
      <w:pPr>
        <w:pStyle w:val="Normal"/>
        <w:ind w:left="0" w:right="10" w:hanging="10"/>
        <w:rPr/>
      </w:pPr>
      <w:r>
        <w:rPr/>
        <w:t xml:space="preserve">6.9). </w:t>
      </w:r>
    </w:p>
    <w:p>
      <w:pPr>
        <w:pStyle w:val="Normal"/>
        <w:numPr>
          <w:ilvl w:val="0"/>
          <w:numId w:val="2"/>
        </w:numPr>
        <w:spacing w:lineRule="auto" w:line="247" w:before="0" w:after="258"/>
        <w:ind w:left="432" w:hanging="432"/>
        <w:rPr/>
      </w:pPr>
      <w:r>
        <w:rPr>
          <w:b/>
        </w:rPr>
        <w:t xml:space="preserve">ICANN OBLIGATIONS. </w:t>
      </w:r>
    </w:p>
    <w:p>
      <w:pPr>
        <w:pStyle w:val="Normal"/>
        <w:numPr>
          <w:ilvl w:val="1"/>
          <w:numId w:val="2"/>
        </w:numPr>
        <w:ind w:left="1529" w:right="10" w:hanging="809"/>
        <w:rPr>
          <w:lang w:val="en-US"/>
        </w:rPr>
      </w:pPr>
      <w:r>
        <w:rPr>
          <w:u w:val="single" w:color="000000"/>
          <w:lang w:val="en-US"/>
        </w:rPr>
        <w:t>Accreditation</w:t>
      </w:r>
      <w:r>
        <w:rPr>
          <w:lang w:val="en-US"/>
        </w:rPr>
        <w:t xml:space="preserve">. During the Term of this Agreement and subject to the terms and conditions of this Agreement, Provider is hereby Accredited by ICANN.  </w:t>
      </w:r>
    </w:p>
    <w:p>
      <w:pPr>
        <w:pStyle w:val="Normal"/>
        <w:numPr>
          <w:ilvl w:val="1"/>
          <w:numId w:val="2"/>
        </w:numPr>
        <w:ind w:left="1529" w:right="10" w:hanging="809"/>
        <w:rPr>
          <w:lang w:val="en-US"/>
        </w:rPr>
      </w:pPr>
      <w:r>
        <w:rPr>
          <w:u w:val="single" w:color="000000"/>
          <w:lang w:val="en-US"/>
        </w:rPr>
        <w:t>Provider Use of ICANN Name, Website and Trademarks</w:t>
      </w:r>
      <w:r>
        <w:rPr>
          <w:lang w:val="en-US"/>
        </w:rPr>
        <w:t xml:space="preserve">. ICANN hereby grants to Provider a non-exclusive, worldwide, royalty-free license during the Term of this Agreement solely for the following purposes: (a) to state that it is Accredited by ICANN, and (b) to link to pages and documents within the ICANN website. No other use of ICANN’s name, website or trademarks is licensed hereby. This license may not be assigned or sublicensed by Provider to any other party, including, without limitation, any Affiliate of Provider. </w:t>
      </w:r>
    </w:p>
    <w:p>
      <w:pPr>
        <w:pStyle w:val="Normal"/>
        <w:numPr>
          <w:ilvl w:val="1"/>
          <w:numId w:val="2"/>
        </w:numPr>
        <w:ind w:left="1529" w:right="10" w:hanging="809"/>
        <w:rPr>
          <w:lang w:val="en-US"/>
        </w:rPr>
      </w:pPr>
      <w:r>
        <w:rPr>
          <w:u w:val="single" w:color="000000"/>
          <w:lang w:val="en-US"/>
        </w:rPr>
        <w:t>General Obligations of ICANN</w:t>
      </w:r>
      <w:r>
        <w:rPr>
          <w:lang w:val="en-US"/>
        </w:rPr>
        <w:t xml:space="preserve">. With respect to all matters that impact the rights, obligations, or role of Provider, ICANN shall during the Term of this Agreement: </w:t>
      </w:r>
    </w:p>
    <w:p>
      <w:pPr>
        <w:pStyle w:val="Normal"/>
        <w:numPr>
          <w:ilvl w:val="2"/>
          <w:numId w:val="2"/>
        </w:numPr>
        <w:spacing w:lineRule="auto" w:line="247" w:before="0" w:after="256"/>
        <w:ind w:left="2136" w:right="10" w:hanging="696"/>
        <w:rPr>
          <w:lang w:val="en-US"/>
        </w:rPr>
      </w:pPr>
      <w:r>
        <w:rPr>
          <w:lang w:val="en-US"/>
        </w:rPr>
        <w:t xml:space="preserve">exercise its responsibilities in an open and transparent manner; </w:t>
      </w:r>
    </w:p>
    <w:p>
      <w:pPr>
        <w:pStyle w:val="Normal"/>
        <w:numPr>
          <w:ilvl w:val="2"/>
          <w:numId w:val="2"/>
        </w:numPr>
        <w:ind w:left="2136" w:right="10" w:hanging="696"/>
        <w:rPr>
          <w:lang w:val="en-US"/>
        </w:rPr>
      </w:pPr>
      <w:r>
        <w:rPr>
          <w:lang w:val="en-US"/>
        </w:rPr>
        <w:t xml:space="preserve">not unreasonably restrain competition and, to the extent feasible, promote and encourage robust competition; </w:t>
      </w:r>
    </w:p>
    <w:p>
      <w:pPr>
        <w:pStyle w:val="Normal"/>
        <w:numPr>
          <w:ilvl w:val="2"/>
          <w:numId w:val="2"/>
        </w:numPr>
        <w:ind w:left="2136" w:right="10" w:hanging="696"/>
        <w:rPr>
          <w:lang w:val="en-US"/>
        </w:rPr>
      </w:pPr>
      <w:r>
        <w:rPr>
          <w:lang w:val="en-US"/>
        </w:rPr>
        <w:t xml:space="preserve">not apply standards, policies, procedures or practices arbitrarily, unjustifiably, or inequitably and not single out Provider for disparate treatment unless justified by substantial and reasonable cause; and </w:t>
      </w:r>
    </w:p>
    <w:p>
      <w:pPr>
        <w:pStyle w:val="Normal"/>
        <w:numPr>
          <w:ilvl w:val="2"/>
          <w:numId w:val="2"/>
        </w:numPr>
        <w:ind w:left="2136" w:right="10" w:hanging="696"/>
        <w:rPr>
          <w:lang w:val="en-US"/>
        </w:rPr>
      </w:pPr>
      <w:r>
        <w:rPr>
          <w:lang w:val="en-US"/>
        </w:rPr>
        <w:t xml:space="preserve">ensure, through its reconsideration and independent review policies, adequate appeal procedures for Provider, to the extent it is adversely affected by ICANN standards, policies, procedures or practices. </w:t>
      </w:r>
    </w:p>
    <w:p>
      <w:pPr>
        <w:pStyle w:val="Normal"/>
        <w:numPr>
          <w:ilvl w:val="1"/>
          <w:numId w:val="2"/>
        </w:numPr>
        <w:ind w:left="1529" w:right="10" w:hanging="809"/>
        <w:rPr>
          <w:lang w:val="en-US"/>
        </w:rPr>
      </w:pPr>
      <w:r>
        <w:rPr>
          <w:u w:val="single" w:color="000000"/>
          <w:lang w:val="en-US"/>
        </w:rPr>
        <w:t>Use of ICANN Accredited Service Providers</w:t>
      </w:r>
      <w:r>
        <w:rPr>
          <w:lang w:val="en-US"/>
        </w:rPr>
        <w:t xml:space="preserve">. In order to promote competition in the registration of domain names, and, in recognition of the value that Service Providers bring to the Internet community, ICANN intends to abide by Consensus Policies that require Registrars under contract with ICANN to refrain from registering a Registered Name to a Person providing services similar to the Services where the Registrar has actual knowledge that such Person  is not Accredited, and ICANN will, during the Term of this Agreement, abide by any Specifications and/or Policies governing the use of Service Providers by Registrars as may be adopted from time to time. </w:t>
      </w:r>
    </w:p>
    <w:p>
      <w:pPr>
        <w:pStyle w:val="Normal"/>
        <w:numPr>
          <w:ilvl w:val="0"/>
          <w:numId w:val="2"/>
        </w:numPr>
        <w:spacing w:lineRule="auto" w:line="247" w:before="0" w:after="258"/>
        <w:ind w:left="432" w:hanging="432"/>
        <w:rPr/>
      </w:pPr>
      <w:r>
        <w:rPr>
          <w:b/>
        </w:rPr>
        <w:t xml:space="preserve">PROVIDER OBLIGATIONS. </w:t>
      </w:r>
    </w:p>
    <w:p>
      <w:pPr>
        <w:pStyle w:val="Normal"/>
        <w:numPr>
          <w:ilvl w:val="1"/>
          <w:numId w:val="2"/>
        </w:numPr>
        <w:ind w:left="1529" w:right="10" w:hanging="809"/>
        <w:rPr>
          <w:lang w:val="en-US"/>
        </w:rPr>
      </w:pPr>
      <w:r>
        <w:rPr>
          <w:u w:val="single" w:color="000000"/>
          <w:lang w:val="en-US"/>
        </w:rPr>
        <w:t>Obligations to Provide the Services</w:t>
      </w:r>
      <w:r>
        <w:rPr>
          <w:lang w:val="en-US"/>
        </w:rPr>
        <w:t xml:space="preserve">. During the Term of this Agreement, Provider agrees that it will provide the Services in accordance with this Agreement.  </w:t>
      </w:r>
    </w:p>
    <w:p>
      <w:pPr>
        <w:pStyle w:val="Normal"/>
        <w:numPr>
          <w:ilvl w:val="1"/>
          <w:numId w:val="2"/>
        </w:numPr>
        <w:spacing w:lineRule="auto" w:line="249"/>
        <w:ind w:left="1529" w:right="10" w:hanging="809"/>
        <w:rPr>
          <w:lang w:val="en-US"/>
        </w:rPr>
      </w:pPr>
      <w:r>
        <w:rPr>
          <w:u w:val="single" w:color="000000"/>
          <w:lang w:val="en-US"/>
        </w:rPr>
        <w:t>Retention of Registered Name Holder and Registration Data</w:t>
      </w:r>
      <w:r>
        <w:rPr>
          <w:lang w:val="en-US"/>
        </w:rPr>
        <w:t xml:space="preserve">. </w:t>
      </w:r>
    </w:p>
    <w:p>
      <w:pPr>
        <w:pStyle w:val="Normal"/>
        <w:numPr>
          <w:ilvl w:val="2"/>
          <w:numId w:val="2"/>
        </w:numPr>
        <w:ind w:left="2136" w:right="10" w:hanging="696"/>
        <w:rPr>
          <w:lang w:val="en-US"/>
        </w:rPr>
      </w:pPr>
      <w:r>
        <w:rPr>
          <w:lang w:val="en-US"/>
        </w:rPr>
        <w:t xml:space="preserve">For each Registered Name for which Provider provides the Services, Provider shall collect and securely maintain, in its own electronic database, as updated from time to time the data specified in the Data Retention Specification attached hereto for the period specified therein. </w:t>
      </w:r>
    </w:p>
    <w:p>
      <w:pPr>
        <w:pStyle w:val="Normal"/>
        <w:numPr>
          <w:ilvl w:val="2"/>
          <w:numId w:val="2"/>
        </w:numPr>
        <w:ind w:left="2136" w:right="10" w:hanging="696"/>
        <w:rPr>
          <w:lang w:val="en-US"/>
        </w:rPr>
      </w:pPr>
      <w:r>
        <w:rPr>
          <w:lang w:val="en-US"/>
        </w:rPr>
        <w:t xml:space="preserve">During the Term of this Agreement and for one year thereafter, Provider (itself or by its agent(s)) shall maintain the following records relating to its dealings with Customers and Registrars: </w:t>
      </w:r>
    </w:p>
    <w:p>
      <w:pPr>
        <w:pStyle w:val="Normal"/>
        <w:numPr>
          <w:ilvl w:val="3"/>
          <w:numId w:val="2"/>
        </w:numPr>
        <w:ind w:left="3025" w:right="10" w:hanging="865"/>
        <w:rPr>
          <w:lang w:val="en-US"/>
        </w:rPr>
      </w:pPr>
      <w:r>
        <w:rPr>
          <w:lang w:val="en-US"/>
        </w:rPr>
        <w:t xml:space="preserve">In electronic form, the submission date and time, and the content, of all registration data (including updates) submitted in electronic form to the Registrars; </w:t>
      </w:r>
    </w:p>
    <w:p>
      <w:pPr>
        <w:pStyle w:val="Normal"/>
        <w:numPr>
          <w:ilvl w:val="3"/>
          <w:numId w:val="2"/>
        </w:numPr>
        <w:ind w:left="3025" w:right="10" w:hanging="865"/>
        <w:rPr>
          <w:lang w:val="en-US"/>
        </w:rPr>
      </w:pPr>
      <w:r>
        <w:rPr>
          <w:lang w:val="en-US"/>
        </w:rPr>
        <w:t xml:space="preserve">In electronic or paper form, all written communications constituting registration applications, confirmations, modifications, or terminations and related correspondence with Customers, including contracts; and </w:t>
      </w:r>
    </w:p>
    <w:p>
      <w:pPr>
        <w:pStyle w:val="Normal"/>
        <w:numPr>
          <w:ilvl w:val="3"/>
          <w:numId w:val="2"/>
        </w:numPr>
        <w:ind w:left="3025" w:right="10" w:hanging="865"/>
        <w:rPr>
          <w:lang w:val="en-US"/>
        </w:rPr>
      </w:pPr>
      <w:r>
        <w:rPr>
          <w:lang w:val="en-US"/>
        </w:rPr>
        <w:t xml:space="preserve">In electronic form, records of the accounts of all of Provider’s Customers. </w:t>
      </w:r>
    </w:p>
    <w:p>
      <w:pPr>
        <w:pStyle w:val="Normal"/>
        <w:numPr>
          <w:ilvl w:val="2"/>
          <w:numId w:val="2"/>
        </w:numPr>
        <w:spacing w:before="0" w:after="11"/>
        <w:ind w:left="2136" w:right="10" w:hanging="696"/>
        <w:rPr>
          <w:lang w:val="en-US"/>
        </w:rPr>
      </w:pPr>
      <w:r>
        <w:rPr>
          <w:lang w:val="en-US"/>
        </w:rPr>
        <w:t xml:space="preserve">During the Term of this Agreement and for one year thereafter, </w:t>
      </w:r>
    </w:p>
    <w:p>
      <w:pPr>
        <w:pStyle w:val="Normal"/>
        <w:ind w:left="730" w:right="10" w:hanging="10"/>
        <w:rPr>
          <w:lang w:val="en-US"/>
        </w:rPr>
      </w:pPr>
      <w:r>
        <w:rPr>
          <w:lang w:val="en-US"/>
        </w:rPr>
        <w:t xml:space="preserve">Provider shall make the data, information and records specified in this Section 3.2 available for inspection and copying by ICANN upon reasonable notice. In addition, upon reasonable notice and request from ICANN, Provider shall deliver copies of such data, information and records to ICANN in respect to limited transactions or circumstances that may be the subject of a compliance-related inquiry; provided, however, that such obligation shall not apply to requests for copies of Provider’s entire database or transaction history. Such copies are to be provided at Provider’s expense. In responding to ICANN’s request for delivery of electronic data, information and records, Provider may submit such information in a format reasonably convenient to Provider and acceptable to ICANN so as to minimize disruption to Provider’s business. In the event Provider believes that the provision of any such data, information or records to ICANN would violate applicable law or any legal proceedings, ICANN and Provider agree to discuss in good faith whether appropriate limitations, protections, or alternative solutions can be identified to allow the production of such data, information or records in complete or redacted form, as appropriate. ICANN shall not disclose the content of such data, information or records except as expressly required by applicable law, any legal proceeding or Specification or Policy.  </w:t>
      </w:r>
    </w:p>
    <w:p>
      <w:pPr>
        <w:pStyle w:val="Normal"/>
        <w:numPr>
          <w:ilvl w:val="2"/>
          <w:numId w:val="2"/>
        </w:numPr>
        <w:ind w:left="2136" w:right="10" w:hanging="696"/>
        <w:rPr>
          <w:lang w:val="en-US"/>
        </w:rPr>
      </w:pPr>
      <w:r>
        <w:rPr>
          <w:lang w:val="en-US"/>
        </w:rPr>
        <w:t xml:space="preserve">Notwithstanding any other requirement in this Agreement or the Data Retention Specification, Provider shall not be obligated to maintain records relating to a domain registration beginning on the date one year following the termination of the registration of a Registered Name. </w:t>
      </w:r>
    </w:p>
    <w:p>
      <w:pPr>
        <w:pStyle w:val="Normal"/>
        <w:numPr>
          <w:ilvl w:val="1"/>
          <w:numId w:val="2"/>
        </w:numPr>
        <w:ind w:left="1529" w:right="10" w:hanging="809"/>
        <w:rPr>
          <w:lang w:val="en-US"/>
        </w:rPr>
      </w:pPr>
      <w:r>
        <w:rPr>
          <w:u w:val="single" w:color="000000"/>
          <w:lang w:val="en-US"/>
        </w:rPr>
        <w:t>Rights in Data</w:t>
      </w:r>
      <w:r>
        <w:rPr>
          <w:lang w:val="en-US"/>
        </w:rPr>
        <w:t xml:space="preserve">. Provider does not disclaim rights in the data elements listed in Sections 3.3.1-3.3.4 concerning active Registered Names for which it provides the Services, and agrees to grant non-exclusive, irrevocable, royalty-free licenses to make use of and disclose such data elements for the purpose of providing a service or services (such as a WHOIS service) providing interactive, query-based public access). Provider acknowledges that, upon a Customer transferring its Registered Name from Provider (e.g. a Customer’s transfer to another Service Provider or Registrar), the gaining Service Provider or Registrar shall not have the rights of an owner to the data elements listed in Sections 3.3.1-3.3.4, and that the gaining Provider or Registrar shall update these data elements in the Registration Data Directory Service when the name is transferred. </w:t>
      </w:r>
    </w:p>
    <w:p>
      <w:pPr>
        <w:pStyle w:val="Normal"/>
        <w:numPr>
          <w:ilvl w:val="2"/>
          <w:numId w:val="2"/>
        </w:numPr>
        <w:ind w:left="2136" w:right="10" w:hanging="696"/>
        <w:rPr>
          <w:lang w:val="en-US"/>
        </w:rPr>
      </w:pPr>
      <w:r>
        <w:rPr>
          <w:lang w:val="en-US"/>
        </w:rPr>
        <w:t xml:space="preserve">The name and postal address of the Registered Name Holder.  </w:t>
      </w:r>
    </w:p>
    <w:p>
      <w:pPr>
        <w:pStyle w:val="Normal"/>
        <w:numPr>
          <w:ilvl w:val="2"/>
          <w:numId w:val="2"/>
        </w:numPr>
        <w:spacing w:lineRule="auto" w:line="247"/>
        <w:ind w:left="2136" w:right="10" w:hanging="696"/>
        <w:rPr>
          <w:lang w:val="en-US"/>
        </w:rPr>
      </w:pPr>
      <w:r>
        <w:rPr>
          <w:color w:val="333333"/>
          <w:lang w:val="en-US"/>
        </w:rPr>
        <w:t xml:space="preserve">The name, postal address, e-mail address, voice telephone number, and (where available) fax number of the technical contact for the Registered Name. </w:t>
      </w:r>
      <w:r>
        <w:rPr>
          <w:lang w:val="en-US"/>
        </w:rPr>
        <w:t xml:space="preserve"> </w:t>
      </w:r>
    </w:p>
    <w:p>
      <w:pPr>
        <w:pStyle w:val="Normal"/>
        <w:numPr>
          <w:ilvl w:val="2"/>
          <w:numId w:val="2"/>
        </w:numPr>
        <w:spacing w:lineRule="auto" w:line="247"/>
        <w:ind w:left="2136" w:right="10" w:hanging="696"/>
        <w:rPr>
          <w:lang w:val="en-US"/>
        </w:rPr>
      </w:pPr>
      <w:r>
        <w:rPr>
          <w:color w:val="333333"/>
          <w:lang w:val="en-US"/>
        </w:rPr>
        <w:t>The name, postal address, e-mail address, voice telephone number, and (where available) fax number of the administrative contact for the Registered Name.</w:t>
      </w:r>
      <w:r>
        <w:rPr>
          <w:lang w:val="en-US"/>
        </w:rPr>
        <w:t xml:space="preserve"> </w:t>
      </w:r>
    </w:p>
    <w:p>
      <w:pPr>
        <w:pStyle w:val="Normal"/>
        <w:numPr>
          <w:ilvl w:val="2"/>
          <w:numId w:val="2"/>
        </w:numPr>
        <w:spacing w:lineRule="auto" w:line="247"/>
        <w:ind w:left="2136" w:right="10" w:hanging="696"/>
        <w:rPr>
          <w:lang w:val="en-US"/>
        </w:rPr>
      </w:pPr>
      <w:r>
        <w:rPr>
          <w:color w:val="333333"/>
          <w:lang w:val="en-US"/>
        </w:rPr>
        <w:t>Any other data the Registry Operator requires be submitted to it.</w:t>
      </w:r>
      <w:r>
        <w:rPr>
          <w:lang w:val="en-US"/>
        </w:rPr>
        <w:t xml:space="preserve"> </w:t>
      </w:r>
    </w:p>
    <w:p>
      <w:pPr>
        <w:pStyle w:val="Normal"/>
        <w:numPr>
          <w:ilvl w:val="1"/>
          <w:numId w:val="2"/>
        </w:numPr>
        <w:ind w:left="1529" w:right="10" w:hanging="809"/>
        <w:rPr>
          <w:lang w:val="en-US"/>
        </w:rPr>
      </w:pPr>
      <w:r>
        <w:rPr>
          <w:u w:val="single" w:color="000000"/>
          <w:lang w:val="en-US"/>
        </w:rPr>
        <w:t>Data Escrow</w:t>
      </w:r>
      <w:r>
        <w:rPr>
          <w:lang w:val="en-US"/>
        </w:rPr>
        <w:t xml:space="preserve">. Provider shall comply with the data escrow procedures set forth in the Data Escrow Specification attached hereto. </w:t>
      </w:r>
    </w:p>
    <w:p>
      <w:pPr>
        <w:pStyle w:val="Normal"/>
        <w:numPr>
          <w:ilvl w:val="1"/>
          <w:numId w:val="2"/>
        </w:numPr>
        <w:spacing w:lineRule="auto" w:line="249"/>
        <w:ind w:left="1529" w:right="10" w:hanging="809"/>
        <w:rPr>
          <w:lang w:val="en-US"/>
        </w:rPr>
      </w:pPr>
      <w:r>
        <w:rPr>
          <w:u w:val="single" w:color="000000"/>
          <w:lang w:val="en-US"/>
        </w:rPr>
        <w:t>Business Dealings, Including with Customers</w:t>
      </w:r>
      <w:r>
        <w:rPr>
          <w:lang w:val="en-US"/>
        </w:rPr>
        <w:t xml:space="preserve">. </w:t>
      </w:r>
    </w:p>
    <w:p>
      <w:pPr>
        <w:pStyle w:val="Normal"/>
        <w:numPr>
          <w:ilvl w:val="2"/>
          <w:numId w:val="2"/>
        </w:numPr>
        <w:ind w:left="2136" w:right="10" w:hanging="696"/>
        <w:rPr>
          <w:lang w:val="en-US"/>
        </w:rPr>
      </w:pPr>
      <w:r>
        <w:rPr>
          <w:lang w:val="en-US"/>
        </w:rPr>
        <w:t xml:space="preserve">In the event ICANN adopts a Specification or Policy that is supported by a consensus of Service Providers, establishing or approving a Code of Conduct for Service Providers, Provider shall abide by that Code of Conduct.  </w:t>
      </w:r>
    </w:p>
    <w:p>
      <w:pPr>
        <w:pStyle w:val="Normal"/>
        <w:numPr>
          <w:ilvl w:val="2"/>
          <w:numId w:val="2"/>
        </w:numPr>
        <w:ind w:left="2136" w:right="10" w:hanging="696"/>
        <w:rPr>
          <w:lang w:val="en-US"/>
        </w:rPr>
      </w:pPr>
      <w:r>
        <w:rPr>
          <w:lang w:val="en-US"/>
        </w:rPr>
        <w:t xml:space="preserve">Provider shall abide by applicable laws and governmental regulations. </w:t>
      </w:r>
    </w:p>
    <w:p>
      <w:pPr>
        <w:pStyle w:val="Normal"/>
        <w:numPr>
          <w:ilvl w:val="2"/>
          <w:numId w:val="2"/>
        </w:numPr>
        <w:ind w:left="2136" w:right="10" w:hanging="696"/>
        <w:rPr>
          <w:lang w:val="en-US"/>
        </w:rPr>
      </w:pPr>
      <w:r>
        <w:rPr>
          <w:lang w:val="en-US"/>
        </w:rPr>
        <w:t xml:space="preserve">Provider shall require all Customers to enter into an electronic or paper service agreement with Provider including at least the provisions set forth in Subsections 3.5.4.1 through 3.5.4.17, and which agreement shall otherwise set forth the terms and conditions applicable to the Customer receiving the Services. Provider shall use commercially reasonable efforts to enforce compliance with the provisions of the service agreement between Provider and any Customer that relates to implementing the requirements of Subsections 3.5.4.1 through 3.5.4.17 or any Consensus Policy. </w:t>
      </w:r>
    </w:p>
    <w:p>
      <w:pPr>
        <w:pStyle w:val="Normal"/>
        <w:numPr>
          <w:ilvl w:val="2"/>
          <w:numId w:val="2"/>
        </w:numPr>
        <w:ind w:left="2136" w:right="10" w:hanging="696"/>
        <w:rPr>
          <w:lang w:val="en-US"/>
        </w:rPr>
      </w:pPr>
      <w:r>
        <w:rPr>
          <w:lang w:val="en-US"/>
        </w:rPr>
        <w:t xml:space="preserve">The Customer shall provide to Provider accurate and reliable contact details and correct and update them within seven (7) days of any change during the term of the Registered Name registration, including: the full name, postal address, e-mail address, voice telephone number, and fax number if available of the Customer; name of authorized person for contact purposes in the case of a Customer that is an organization, association, or corporation. Provider shall inform each Customer annually of such Customer’s obligation to provide accurate and up-to-date contact information to the Provider, and the consequences for failure to comply with Provider’s requests related thereto. </w:t>
      </w:r>
    </w:p>
    <w:p>
      <w:pPr>
        <w:pStyle w:val="Normal"/>
        <w:numPr>
          <w:ilvl w:val="3"/>
          <w:numId w:val="2"/>
        </w:numPr>
        <w:ind w:left="3025" w:right="10" w:hanging="865"/>
        <w:rPr>
          <w:lang w:val="en-US"/>
        </w:rPr>
      </w:pPr>
      <w:r>
        <w:rPr>
          <w:lang w:val="en-US"/>
        </w:rPr>
        <w:t xml:space="preserve">A Customer's willful provision of inaccurate or unreliable information, its willful failure to update information provided to Provider within seven (7) days of any change, or its failure to respond for over fifteen (15) days to inquiries by Provider concerning the accuracy of contact details associated with the Registered Name for which Provider is the Registered Name Holder for the account or benefit of such Customer shall constitute a material breach of the service agreement between such Customer and Provider and be a basis for suspension or cancellation of the Services and the Registered Name registration. </w:t>
      </w:r>
    </w:p>
    <w:p>
      <w:pPr>
        <w:pStyle w:val="Normal"/>
        <w:numPr>
          <w:ilvl w:val="3"/>
          <w:numId w:val="2"/>
        </w:numPr>
        <w:ind w:left="3025" w:right="10" w:hanging="865"/>
        <w:rPr>
          <w:lang w:val="en-US"/>
        </w:rPr>
      </w:pPr>
      <w:r>
        <w:rPr>
          <w:lang w:val="en-US"/>
        </w:rPr>
        <w:t xml:space="preserve">Any Customer that intends to license use of a domain name for which Provider is the Registered Name Holder for the account or benefit of such Customer to a third party is nonetheless the Customer of record and is responsible for providing its own full contact information and for providing and updating accurate technical and administrative contact information adequate to facilitate timely resolution of any problems that arise in connection with the Registered Name. A Customer licensing use of a Registered Name according to this provision shall accept liability for harm caused by wrongful use of the Registered Name, unless it discloses the current contact information provided by the licensee and the identity of the licensee within seven (7) days to a party providing Customer reasonable evidence of actionable harm. </w:t>
      </w:r>
    </w:p>
    <w:p>
      <w:pPr>
        <w:pStyle w:val="Normal"/>
        <w:numPr>
          <w:ilvl w:val="3"/>
          <w:numId w:val="2"/>
        </w:numPr>
        <w:ind w:left="3025" w:right="10" w:hanging="865"/>
        <w:rPr>
          <w:lang w:val="en-US"/>
        </w:rPr>
      </w:pPr>
      <w:r>
        <w:rPr>
          <w:lang w:val="en-US"/>
        </w:rPr>
        <w:t xml:space="preserve">Provider shall provide notice to a Customer upon each initial registration and each renewal registration of a Registered Name for which Provider is providing the Services stating: </w:t>
      </w:r>
    </w:p>
    <w:p>
      <w:pPr>
        <w:pStyle w:val="Normal"/>
        <w:numPr>
          <w:ilvl w:val="4"/>
          <w:numId w:val="2"/>
        </w:numPr>
        <w:ind w:left="3169" w:right="10" w:hanging="1008"/>
        <w:rPr>
          <w:lang w:val="en-US"/>
        </w:rPr>
      </w:pPr>
      <w:r>
        <w:rPr>
          <w:lang w:val="en-US"/>
        </w:rPr>
        <w:t xml:space="preserve">The purposes for which any Personal Data collected from the Customer are intended; </w:t>
      </w:r>
    </w:p>
    <w:p>
      <w:pPr>
        <w:pStyle w:val="Normal"/>
        <w:numPr>
          <w:ilvl w:val="4"/>
          <w:numId w:val="2"/>
        </w:numPr>
        <w:ind w:left="3169" w:right="10" w:hanging="1008"/>
        <w:rPr>
          <w:lang w:val="en-US"/>
        </w:rPr>
      </w:pPr>
      <w:r>
        <w:rPr>
          <w:lang w:val="en-US"/>
        </w:rPr>
        <w:t xml:space="preserve">The intended recipients or categories of recipients of the data (including the Registrar, Registry Operator and others who will receive the data from Registry Operator and the Registrar); </w:t>
      </w:r>
    </w:p>
    <w:p>
      <w:pPr>
        <w:pStyle w:val="Normal"/>
        <w:numPr>
          <w:ilvl w:val="4"/>
          <w:numId w:val="2"/>
        </w:numPr>
        <w:ind w:left="3169" w:right="10" w:hanging="1008"/>
        <w:rPr>
          <w:lang w:val="en-US"/>
        </w:rPr>
      </w:pPr>
      <w:r>
        <w:rPr>
          <w:lang w:val="en-US"/>
        </w:rPr>
        <w:t xml:space="preserve">Which data are obligatory and which data, if any, are voluntary; and </w:t>
      </w:r>
    </w:p>
    <w:p>
      <w:pPr>
        <w:pStyle w:val="Normal"/>
        <w:numPr>
          <w:ilvl w:val="4"/>
          <w:numId w:val="2"/>
        </w:numPr>
        <w:ind w:left="3169" w:right="10" w:hanging="1008"/>
        <w:rPr>
          <w:lang w:val="en-US"/>
        </w:rPr>
      </w:pPr>
      <w:r>
        <w:rPr>
          <w:lang w:val="en-US"/>
        </w:rPr>
        <w:t xml:space="preserve">How the Customer or data subject can access and, if necessary, rectify the data held about them. </w:t>
      </w:r>
    </w:p>
    <w:p>
      <w:pPr>
        <w:pStyle w:val="Normal"/>
        <w:numPr>
          <w:ilvl w:val="3"/>
          <w:numId w:val="2"/>
        </w:numPr>
        <w:ind w:left="3025" w:right="10" w:hanging="865"/>
        <w:rPr>
          <w:lang w:val="en-US"/>
        </w:rPr>
      </w:pPr>
      <w:r>
        <w:rPr>
          <w:lang w:val="en-US"/>
        </w:rPr>
        <w:t xml:space="preserve">The Customer shall consent to the data processing referred to in Subsection 3.5.4.3. </w:t>
      </w:r>
    </w:p>
    <w:p>
      <w:pPr>
        <w:pStyle w:val="Normal"/>
        <w:numPr>
          <w:ilvl w:val="3"/>
          <w:numId w:val="2"/>
        </w:numPr>
        <w:ind w:left="3025" w:right="10" w:hanging="865"/>
        <w:rPr>
          <w:lang w:val="en-US"/>
        </w:rPr>
      </w:pPr>
      <w:r>
        <w:rPr>
          <w:lang w:val="en-US"/>
        </w:rPr>
        <w:t xml:space="preserve">The Customer shall represent that notice has been provided equivalent to that described in Subsection 3.5.4.3 to any third-party individuals whose Personal Data are supplied to Provider by Customer, and that the Customer has obtained consent equivalent to that referred to in Subsection 3.5.4.3 of any such third-party individuals. </w:t>
      </w:r>
    </w:p>
    <w:p>
      <w:pPr>
        <w:pStyle w:val="Normal"/>
        <w:numPr>
          <w:ilvl w:val="3"/>
          <w:numId w:val="2"/>
        </w:numPr>
        <w:ind w:left="3025" w:right="10" w:hanging="865"/>
        <w:rPr>
          <w:lang w:val="en-US"/>
        </w:rPr>
      </w:pPr>
      <w:r>
        <w:rPr>
          <w:lang w:val="en-US"/>
        </w:rPr>
        <w:t xml:space="preserve">Provider shall agree that it will not process the Personal Data collected from the Customer in a way incompatible with the purposes and other limitations about which it has provided notice to the Customer in accordance with Subsection 3.5.4.3 above.  </w:t>
      </w:r>
    </w:p>
    <w:p>
      <w:pPr>
        <w:pStyle w:val="Normal"/>
        <w:numPr>
          <w:ilvl w:val="3"/>
          <w:numId w:val="2"/>
        </w:numPr>
        <w:ind w:left="3025" w:right="10" w:hanging="865"/>
        <w:rPr>
          <w:lang w:val="en-US"/>
        </w:rPr>
      </w:pPr>
      <w:r>
        <w:rPr>
          <w:lang w:val="en-US"/>
        </w:rPr>
        <w:t xml:space="preserve">Provider shall agree that it will take reasonable precautions to protect Personal Data from loss, misuse, unauthorized access or disclosure, alteration, or destruction. </w:t>
      </w:r>
    </w:p>
    <w:p>
      <w:pPr>
        <w:pStyle w:val="Normal"/>
        <w:numPr>
          <w:ilvl w:val="3"/>
          <w:numId w:val="2"/>
        </w:numPr>
        <w:spacing w:before="0" w:after="11"/>
        <w:ind w:left="3025" w:right="10" w:hanging="865"/>
        <w:rPr>
          <w:lang w:val="en-US"/>
        </w:rPr>
      </w:pPr>
      <w:r>
        <w:rPr>
          <w:lang w:val="en-US"/>
        </w:rPr>
        <w:t xml:space="preserve">The Customer shall represent that, to the best of the </w:t>
      </w:r>
    </w:p>
    <w:p>
      <w:pPr>
        <w:pStyle w:val="Normal"/>
        <w:ind w:left="1450" w:right="10" w:hanging="10"/>
        <w:rPr>
          <w:lang w:val="en-US"/>
        </w:rPr>
      </w:pPr>
      <w:r>
        <w:rPr>
          <w:lang w:val="en-US"/>
        </w:rPr>
        <w:t xml:space="preserve">Customer's knowledge and belief, neither the registration of the Registered Name nor the manner in which it is directly or indirectly used infringes the legal rights of any third party. </w:t>
      </w:r>
    </w:p>
    <w:p>
      <w:pPr>
        <w:pStyle w:val="Normal"/>
        <w:numPr>
          <w:ilvl w:val="3"/>
          <w:numId w:val="2"/>
        </w:numPr>
        <w:ind w:left="3025" w:right="10" w:hanging="865"/>
        <w:rPr>
          <w:lang w:val="en-US"/>
        </w:rPr>
      </w:pPr>
      <w:r>
        <w:rPr>
          <w:lang w:val="en-US"/>
        </w:rPr>
        <w:t xml:space="preserve">For the adjudication of disputes concerning or arising from use of the Registered Name, the Customer shall submit, without prejudice to other potentially applicable jurisdictions, to the jurisdiction of the courts (1) of the Customer's domicile, (2) where the Registrar sponsoring such Register name is located and (3) where Provider is located. </w:t>
      </w:r>
    </w:p>
    <w:p>
      <w:pPr>
        <w:pStyle w:val="Normal"/>
        <w:numPr>
          <w:ilvl w:val="3"/>
          <w:numId w:val="2"/>
        </w:numPr>
        <w:ind w:left="3025" w:right="10" w:hanging="865"/>
        <w:rPr>
          <w:lang w:val="en-US"/>
        </w:rPr>
      </w:pPr>
      <w:r>
        <w:rPr>
          <w:lang w:val="en-US"/>
        </w:rPr>
        <w:t xml:space="preserve">The Customer shall agree that Provider’s registration of the Registered Name for the account or benefit of such Customer shall be subject to suspension, cancellation, or transfer pursuant to any Specification or Policy, or pursuant to any Provider, Registrar or registry procedure not inconsistent with any Specification or Policy, (1) to correct mistakes by Provider, Registrar or the Registry Operator in registering the name or (2) for the resolution of disputes concerning the Registered Name. </w:t>
      </w:r>
    </w:p>
    <w:p>
      <w:pPr>
        <w:pStyle w:val="Normal"/>
        <w:numPr>
          <w:ilvl w:val="3"/>
          <w:numId w:val="2"/>
        </w:numPr>
        <w:ind w:left="3025" w:right="10" w:hanging="865"/>
        <w:rPr>
          <w:lang w:val="en-US"/>
        </w:rPr>
      </w:pPr>
      <w:r>
        <w:rPr>
          <w:lang w:val="en-US"/>
        </w:rPr>
        <w:t xml:space="preserve">Providers shall clearly identify and describe all Customer rights, responsibilities and obligations (including as the beneficial registrant of the Registered Name). Such identification and description shall include, at a minimum, the following: </w:t>
      </w:r>
    </w:p>
    <w:p>
      <w:pPr>
        <w:pStyle w:val="Normal"/>
        <w:numPr>
          <w:ilvl w:val="4"/>
          <w:numId w:val="2"/>
        </w:numPr>
        <w:ind w:left="3169" w:right="10" w:hanging="1008"/>
        <w:rPr>
          <w:lang w:val="en-US"/>
        </w:rPr>
      </w:pPr>
      <w:r>
        <w:rPr>
          <w:lang w:val="en-US"/>
        </w:rPr>
        <w:t xml:space="preserve">The Provider’s obligations in managing Customer rights and responsibilities; </w:t>
      </w:r>
    </w:p>
    <w:p>
      <w:pPr>
        <w:pStyle w:val="Normal"/>
        <w:numPr>
          <w:ilvl w:val="4"/>
          <w:numId w:val="2"/>
        </w:numPr>
        <w:ind w:left="3169" w:right="10" w:hanging="1008"/>
        <w:rPr>
          <w:lang w:val="en-US"/>
        </w:rPr>
      </w:pPr>
      <w:r>
        <w:rPr>
          <w:lang w:val="en-US"/>
        </w:rPr>
        <w:t xml:space="preserve">Any specific requirements applying to transfers of a domain name, including: (a) the conditions under which the Service may be terminated in the event of a transfer of the domain name; and (b) how requests for transfers of a domain name will be reviewed, processed and effected; and </w:t>
      </w:r>
    </w:p>
    <w:p>
      <w:pPr>
        <w:pStyle w:val="Normal"/>
        <w:numPr>
          <w:ilvl w:val="4"/>
          <w:numId w:val="2"/>
        </w:numPr>
        <w:ind w:left="3169" w:right="10" w:hanging="1008"/>
        <w:rPr>
          <w:lang w:val="en-US"/>
        </w:rPr>
      </w:pPr>
      <w:r>
        <w:rPr>
          <w:lang w:val="en-US"/>
        </w:rPr>
        <w:t xml:space="preserve">Any specific requirements applying to Provider’s renewals of a Registered Name for the account and benefit of Customer, and the renewal of the Services related thereto.  </w:t>
      </w:r>
    </w:p>
    <w:p>
      <w:pPr>
        <w:pStyle w:val="Normal"/>
        <w:numPr>
          <w:ilvl w:val="3"/>
          <w:numId w:val="2"/>
        </w:numPr>
        <w:ind w:left="3025" w:right="10" w:hanging="865"/>
        <w:rPr>
          <w:lang w:val="en-US"/>
        </w:rPr>
      </w:pPr>
      <w:r>
        <w:rPr>
          <w:lang w:val="en-US"/>
        </w:rPr>
        <w:t xml:space="preserve">Provider shall specify clearly when any communication provided to Customer by Provider is referring to a Publication request (and potential consequences of such request) or a Disclosure request (and potential consequences of such request). </w:t>
      </w:r>
    </w:p>
    <w:p>
      <w:pPr>
        <w:pStyle w:val="Normal"/>
        <w:numPr>
          <w:ilvl w:val="3"/>
          <w:numId w:val="2"/>
        </w:numPr>
        <w:ind w:left="3025" w:right="10" w:hanging="865"/>
        <w:rPr>
          <w:lang w:val="en-US"/>
        </w:rPr>
      </w:pPr>
      <w:r>
        <w:rPr>
          <w:lang w:val="en-US"/>
        </w:rPr>
        <w:t xml:space="preserve">Provider shall expressly and clearly explain the meaning and consequences of Disclosure and Publication to the Customer. </w:t>
      </w:r>
    </w:p>
    <w:p>
      <w:pPr>
        <w:pStyle w:val="Normal"/>
        <w:numPr>
          <w:ilvl w:val="3"/>
          <w:numId w:val="2"/>
        </w:numPr>
        <w:ind w:left="3025" w:right="10" w:hanging="865"/>
        <w:rPr>
          <w:lang w:val="en-US"/>
        </w:rPr>
      </w:pPr>
      <w:r>
        <w:rPr>
          <w:lang w:val="en-US"/>
        </w:rPr>
        <w:t xml:space="preserve">Provider shall specify clearly the specific grounds upon which a Customer’s details may be Disclosed or Published or the Services suspended or terminated, including Publication in the </w:t>
      </w:r>
      <w:commentRangeStart w:id="2"/>
      <w:r>
        <w:rPr>
          <w:lang w:val="en-US"/>
        </w:rPr>
        <w:t>event of a Customer’s initiation of a transfer of the underlying domain name</w:t>
      </w:r>
      <w:r>
        <w:rPr>
          <w:lang w:val="en-US"/>
        </w:rPr>
      </w:r>
      <w:commentRangeEnd w:id="2"/>
      <w:r>
        <w:commentReference w:id="2"/>
      </w:r>
      <w:r>
        <w:rPr>
          <w:lang w:val="en-US"/>
        </w:rPr>
        <w:t xml:space="preserve">. </w:t>
      </w:r>
    </w:p>
    <w:p>
      <w:pPr>
        <w:pStyle w:val="Normal"/>
        <w:numPr>
          <w:ilvl w:val="3"/>
          <w:numId w:val="2"/>
        </w:numPr>
        <w:ind w:left="3025" w:right="10" w:hanging="865"/>
        <w:rPr>
          <w:lang w:val="en-US"/>
        </w:rPr>
      </w:pPr>
      <w:r>
        <w:rPr>
          <w:lang w:val="en-US"/>
        </w:rPr>
        <w:t xml:space="preserve">Provider should include a link or other direction to the ICANN website where a person may look up the definitions and meanings of specific terms such as Disclosure or Publication. </w:t>
      </w:r>
    </w:p>
    <w:p>
      <w:pPr>
        <w:pStyle w:val="Normal"/>
        <w:numPr>
          <w:ilvl w:val="3"/>
          <w:numId w:val="2"/>
        </w:numPr>
        <w:ind w:left="3025" w:right="10" w:hanging="865"/>
        <w:rPr>
          <w:lang w:val="en-US"/>
        </w:rPr>
      </w:pPr>
      <w:r>
        <w:rPr>
          <w:lang w:val="en-US"/>
        </w:rPr>
        <w:t xml:space="preserve">Provider shall specify clearly, including required timelines and processes, whether or not: </w:t>
      </w:r>
    </w:p>
    <w:p>
      <w:pPr>
        <w:pStyle w:val="Normal"/>
        <w:numPr>
          <w:ilvl w:val="4"/>
          <w:numId w:val="2"/>
        </w:numPr>
        <w:ind w:left="3169" w:right="10" w:hanging="1008"/>
        <w:rPr>
          <w:lang w:val="en-US"/>
        </w:rPr>
      </w:pPr>
      <w:r>
        <w:rPr>
          <w:lang w:val="en-US"/>
        </w:rPr>
        <w:t xml:space="preserve">A Customer will be notified when a Provider receives a Publication or Disclosure request from a third party; and </w:t>
      </w:r>
    </w:p>
    <w:p>
      <w:pPr>
        <w:pStyle w:val="Normal"/>
        <w:numPr>
          <w:ilvl w:val="4"/>
          <w:numId w:val="2"/>
        </w:numPr>
        <w:ind w:left="3169" w:right="10" w:hanging="1008"/>
        <w:rPr>
          <w:lang w:val="en-US"/>
        </w:rPr>
      </w:pPr>
      <w:commentRangeStart w:id="3"/>
      <w:r>
        <w:rPr>
          <w:lang w:val="en-US"/>
        </w:rPr>
        <w:t xml:space="preserve">A Customer may opt to cancel its domain registration prior to and in lieu of Publication. </w:t>
      </w:r>
      <w:commentRangeEnd w:id="3"/>
      <w:r>
        <w:commentReference w:id="3"/>
      </w:r>
      <w:r>
        <w:rPr>
          <w:lang w:val="en-US"/>
        </w:rPr>
      </w:r>
    </w:p>
    <w:p>
      <w:pPr>
        <w:pStyle w:val="Normal"/>
        <w:numPr>
          <w:ilvl w:val="3"/>
          <w:numId w:val="2"/>
        </w:numPr>
        <w:spacing w:before="0" w:after="0"/>
        <w:ind w:left="3025" w:right="10" w:hanging="865"/>
        <w:rPr>
          <w:lang w:val="en-US"/>
        </w:rPr>
      </w:pPr>
      <w:r>
        <w:rPr>
          <w:lang w:val="en-US"/>
        </w:rPr>
        <w:t xml:space="preserve">If Provider permits its Customers to cancel a domain registration prior to and in lieu of Publication, Provider shall expressly prohibit cancellation of a domain name that is the subject of a Uniform Domain Name Dispute Resolution Policy (“UDRP”) (as such </w:t>
      </w:r>
    </w:p>
    <w:p>
      <w:pPr>
        <w:pStyle w:val="Normal"/>
        <w:spacing w:before="0" w:after="0"/>
        <w:ind w:left="1450" w:right="10" w:hanging="10"/>
        <w:rPr>
          <w:lang w:val="en-US"/>
        </w:rPr>
      </w:pPr>
      <w:r>
        <w:rPr>
          <w:lang w:val="en-US"/>
        </w:rPr>
        <w:t xml:space="preserve">policy is identified on ICANN's website www.icann.org/general/consensus-policies.htm) and ICANN’s Uniform Rapid Suspension system (Uniform Rapid Suspension system </w:t>
      </w:r>
    </w:p>
    <w:p>
      <w:pPr>
        <w:pStyle w:val="Normal"/>
        <w:ind w:left="1450" w:right="10" w:hanging="10"/>
        <w:rPr>
          <w:lang w:val="en-US"/>
        </w:rPr>
      </w:pPr>
      <w:r>
        <w:rPr>
          <w:lang w:val="en-US"/>
        </w:rPr>
        <w:t xml:space="preserve">(“URS”) adopted by ICANN (as posted at http://www.icann.org/en/resources/registries/urs), in each case as such policy or system may be modified from time to time.  </w:t>
      </w:r>
    </w:p>
    <w:p>
      <w:pPr>
        <w:pStyle w:val="Normal"/>
        <w:numPr>
          <w:ilvl w:val="2"/>
          <w:numId w:val="2"/>
        </w:numPr>
        <w:ind w:left="2136" w:right="10" w:hanging="696"/>
        <w:rPr>
          <w:lang w:val="en-US"/>
        </w:rPr>
      </w:pPr>
      <w:r>
        <w:rPr>
          <w:lang w:val="en-US"/>
        </w:rPr>
        <w:t xml:space="preserve">Provider shall comply with the obligations specified in the Customer Data Accuracy Specification.  </w:t>
      </w:r>
    </w:p>
    <w:p>
      <w:pPr>
        <w:pStyle w:val="Normal"/>
        <w:numPr>
          <w:ilvl w:val="2"/>
          <w:numId w:val="2"/>
        </w:numPr>
        <w:ind w:left="2136" w:right="10" w:hanging="696"/>
        <w:rPr>
          <w:lang w:val="en-US"/>
        </w:rPr>
      </w:pPr>
      <w:r>
        <w:rPr>
          <w:lang w:val="en-US"/>
        </w:rPr>
        <w:t xml:space="preserve">Provider shall make available a description of the customer service handling processes available to Customers regarding the Services, including a description of the processes for submitting complaints and resolving disputes regarding the Services. </w:t>
      </w:r>
    </w:p>
    <w:p>
      <w:pPr>
        <w:pStyle w:val="Normal"/>
        <w:numPr>
          <w:ilvl w:val="2"/>
          <w:numId w:val="2"/>
        </w:numPr>
        <w:ind w:left="2136" w:right="10" w:hanging="696"/>
        <w:rPr>
          <w:lang w:val="en-US"/>
        </w:rPr>
      </w:pPr>
      <w:r>
        <w:rPr>
          <w:lang w:val="en-US"/>
        </w:rPr>
        <w:t xml:space="preserve">Nothing in this Agreement prescribes or limits the amount Provider may charge a Customer for the Services. </w:t>
      </w:r>
    </w:p>
    <w:p>
      <w:pPr>
        <w:pStyle w:val="Normal"/>
        <w:numPr>
          <w:ilvl w:val="1"/>
          <w:numId w:val="2"/>
        </w:numPr>
        <w:ind w:left="1529" w:right="10" w:hanging="809"/>
        <w:rPr/>
      </w:pPr>
      <w:r>
        <w:rPr>
          <w:u w:val="single" w:color="000000"/>
          <w:lang w:val="en-US"/>
        </w:rPr>
        <w:t>Accreditation Fees</w:t>
      </w:r>
      <w:r>
        <w:rPr>
          <w:lang w:val="en-US"/>
        </w:rPr>
        <w:t xml:space="preserve">. As a condition of Accreditation, Provider shall pay Accreditation fees to ICANN. </w:t>
      </w:r>
      <w:r>
        <w:rPr/>
        <w:t xml:space="preserve">These fees consist of yearly and variable fees. </w:t>
      </w:r>
    </w:p>
    <w:p>
      <w:pPr>
        <w:pStyle w:val="Normal"/>
        <w:numPr>
          <w:ilvl w:val="2"/>
          <w:numId w:val="2"/>
        </w:numPr>
        <w:ind w:left="2136" w:right="10" w:hanging="696"/>
        <w:rPr>
          <w:lang w:val="en-US"/>
        </w:rPr>
      </w:pPr>
      <w:commentRangeStart w:id="4"/>
      <w:r>
        <w:rPr>
          <w:lang w:val="en-US"/>
        </w:rPr>
        <w:t>Provider shall pay ICANN a yearly Accreditation fee</w:t>
      </w:r>
      <w:r>
        <w:rPr>
          <w:lang w:val="en-US"/>
        </w:rPr>
      </w:r>
      <w:commentRangeEnd w:id="4"/>
      <w:r>
        <w:commentReference w:id="4"/>
      </w:r>
      <w:r>
        <w:rPr>
          <w:lang w:val="en-US"/>
        </w:rPr>
        <w:t xml:space="preserve"> in an amount established by the ICANN Board of Directors, in conformity with ICANN's Bylaws. This yearly Accreditation fee shall [$__]. Payment of the yearly fee shall be due within thirty (30) days after invoice from ICANN. </w:t>
      </w:r>
    </w:p>
    <w:p>
      <w:pPr>
        <w:pStyle w:val="Normal"/>
        <w:numPr>
          <w:ilvl w:val="2"/>
          <w:numId w:val="2"/>
        </w:numPr>
        <w:ind w:left="2136" w:right="10" w:hanging="696"/>
        <w:rPr>
          <w:lang w:val="en-US"/>
        </w:rPr>
      </w:pPr>
      <w:r>
        <w:rPr>
          <w:lang w:val="en-US"/>
        </w:rPr>
        <w:t xml:space="preserve">Provider shall pay the variable Accreditation fees established by the ICANN Board of Directors, in conformity with ICANN's Bylaws, which such fees shall be reasonably allocated by ICANN among all Accredited providers and that any such fees must be expressly approved by providers accounting, in the aggregate, for payment of two-thirds of all provider-level fees. Provider shall pay such fees in a timely manner for so long as all material terms of this Agreement remain in full force and effect, and notwithstanding the pendency of any dispute between Registrar and ICANN. </w:t>
      </w:r>
    </w:p>
    <w:p>
      <w:pPr>
        <w:pStyle w:val="Normal"/>
        <w:numPr>
          <w:ilvl w:val="2"/>
          <w:numId w:val="2"/>
        </w:numPr>
        <w:spacing w:before="0" w:after="0"/>
        <w:ind w:left="2136" w:right="10" w:hanging="696"/>
        <w:rPr>
          <w:lang w:val="en-US"/>
        </w:rPr>
      </w:pPr>
      <w:r>
        <w:rPr>
          <w:lang w:val="en-US"/>
        </w:rPr>
        <w:t xml:space="preserve">For any payments thirty (30) days or more overdue, Provider shall pay interest on late payments at the rate of 1.5% per month or, if less, the maximum rate permitted by applicable law from the later of the date of the invoice or the date the invoice is sent pursuant to Section 7.6 of this Agreement. On reasonable notice given by ICANN to Provider, accountings submitted by Provider shall be subject to verification by an audit of Provider’s books and records by an independent third-party designated by </w:t>
      </w:r>
    </w:p>
    <w:p>
      <w:pPr>
        <w:pStyle w:val="Normal"/>
        <w:ind w:left="730" w:right="10" w:hanging="10"/>
        <w:rPr>
          <w:lang w:val="en-US"/>
        </w:rPr>
      </w:pPr>
      <w:r>
        <w:rPr>
          <w:lang w:val="en-US"/>
        </w:rPr>
        <w:t xml:space="preserve">ICANN that shall preserve the confidentiality of such books and records (other than its findings as to the accuracy of, and any necessary corrections to, the accountings). </w:t>
      </w:r>
    </w:p>
    <w:p>
      <w:pPr>
        <w:pStyle w:val="Normal"/>
        <w:numPr>
          <w:ilvl w:val="2"/>
          <w:numId w:val="2"/>
        </w:numPr>
        <w:ind w:left="2136" w:right="10" w:hanging="696"/>
        <w:rPr>
          <w:lang w:val="en-US"/>
        </w:rPr>
      </w:pPr>
      <w:r>
        <w:rPr>
          <w:lang w:val="en-US"/>
        </w:rPr>
        <w:t xml:space="preserve">The Accreditation fees due under this Agreement are exclusive of tax. All taxes, duties, fees and other governmental charges of any kind (including sales, turnover, services, use and value-added taxes) that are imposed by or under the authority of any government or any political subdivision thereof on the Accreditation fees for any services, software or hardware shall be borne by Provider and shall not be considered a part of, a deduction from, or an offset against such Accreditation fees. All payments due to ICANN shall be made without any deduction or withholding on account of any tax, duty, charge, or penalty except as required by applicable law, in which case, the sum payable by Provider from which such deduction or withholding is to be made shall be increased to the extent necessary to ensure that, after making such deduction or withholding, ICANN receives (free from any liability with respect thereof) a net sum equal to the sum it would have received but for such deduction or withholding being required. </w:t>
      </w:r>
    </w:p>
    <w:p>
      <w:pPr>
        <w:pStyle w:val="Normal"/>
        <w:numPr>
          <w:ilvl w:val="1"/>
          <w:numId w:val="2"/>
        </w:numPr>
        <w:spacing w:lineRule="auto" w:line="249"/>
        <w:ind w:left="1529" w:right="10" w:hanging="809"/>
        <w:rPr>
          <w:lang w:val="en-US"/>
        </w:rPr>
      </w:pPr>
      <w:r>
        <w:rPr>
          <w:u w:val="single" w:color="000000"/>
          <w:lang w:val="en-US"/>
        </w:rPr>
        <w:t>Obligations of Providers under common controlling interest</w:t>
      </w:r>
      <w:r>
        <w:rPr>
          <w:lang w:val="en-US"/>
        </w:rPr>
        <w:t xml:space="preserve">. Provider shall be in breach of this Agreement if: </w:t>
      </w:r>
    </w:p>
    <w:p>
      <w:pPr>
        <w:pStyle w:val="Normal"/>
        <w:numPr>
          <w:ilvl w:val="2"/>
          <w:numId w:val="2"/>
        </w:numPr>
        <w:ind w:left="2136" w:right="10" w:hanging="696"/>
        <w:rPr>
          <w:lang w:val="en-US"/>
        </w:rPr>
      </w:pPr>
      <w:r>
        <w:rPr>
          <w:lang w:val="en-US"/>
        </w:rPr>
        <w:t xml:space="preserve">ICANN terminates an Affiliated Provider’s or an Affiliated Registrar’s accreditation agreement with ICANN (an “Affiliate Termination”); </w:t>
      </w:r>
    </w:p>
    <w:p>
      <w:pPr>
        <w:pStyle w:val="Normal"/>
        <w:numPr>
          <w:ilvl w:val="2"/>
          <w:numId w:val="2"/>
        </w:numPr>
        <w:ind w:left="2136" w:right="10" w:hanging="696"/>
        <w:rPr>
          <w:lang w:val="en-US"/>
        </w:rPr>
      </w:pPr>
      <w:r>
        <w:rPr>
          <w:lang w:val="en-US"/>
        </w:rPr>
        <w:t xml:space="preserve">Such Affiliated Provider or Affiliated Registrar has not initiated arbitration pursuant to the terms of such Person’s accreditation agreement challenging ICANN's right to terminate such accreditation agreement, or such Person has initiated such arbitration and has not prevailed; </w:t>
      </w:r>
    </w:p>
    <w:p>
      <w:pPr>
        <w:pStyle w:val="Normal"/>
        <w:numPr>
          <w:ilvl w:val="2"/>
          <w:numId w:val="2"/>
        </w:numPr>
        <w:ind w:left="2136" w:right="10" w:hanging="696"/>
        <w:rPr>
          <w:lang w:val="en-US"/>
        </w:rPr>
      </w:pPr>
      <w:r>
        <w:rPr>
          <w:lang w:val="en-US"/>
        </w:rPr>
        <w:t xml:space="preserve">the Affiliate Termination was the result of misconduct that materially harmed consumers or the public interest; </w:t>
      </w:r>
    </w:p>
    <w:p>
      <w:pPr>
        <w:pStyle w:val="Normal"/>
        <w:numPr>
          <w:ilvl w:val="2"/>
          <w:numId w:val="2"/>
        </w:numPr>
        <w:ind w:left="2136" w:right="10" w:hanging="696"/>
        <w:rPr>
          <w:lang w:val="en-US"/>
        </w:rPr>
      </w:pPr>
      <w:r>
        <w:rPr>
          <w:lang w:val="en-US"/>
        </w:rPr>
        <w:t xml:space="preserve">a second Affiliated Provider or Affiliated Registrar has pursued, after the Affiliate Termination, the same course of conduct that resulted in the Affiliate Termination; and </w:t>
      </w:r>
    </w:p>
    <w:p>
      <w:pPr>
        <w:pStyle w:val="Normal"/>
        <w:numPr>
          <w:ilvl w:val="2"/>
          <w:numId w:val="2"/>
        </w:numPr>
        <w:ind w:left="2136" w:right="10" w:hanging="696"/>
        <w:rPr>
          <w:lang w:val="en-US"/>
        </w:rPr>
      </w:pPr>
      <w:r>
        <w:rPr>
          <w:lang w:val="en-US"/>
        </w:rPr>
        <w:t xml:space="preserve">ICANN has provided Provider with written notice that it intends to assert the provisions of this Section 3.7 with respect to Provider, which notice shall identify in reasonable detail the factual basis for such assertion, and Provider has failed to cure the impugned conduct within fifteen (15) days of such notice. </w:t>
      </w:r>
    </w:p>
    <w:p>
      <w:pPr>
        <w:pStyle w:val="Normal"/>
        <w:numPr>
          <w:ilvl w:val="1"/>
          <w:numId w:val="2"/>
        </w:numPr>
        <w:ind w:left="1529" w:right="10" w:hanging="809"/>
        <w:rPr>
          <w:lang w:val="en-US"/>
        </w:rPr>
      </w:pPr>
      <w:r>
        <w:rPr>
          <w:u w:val="single" w:color="000000"/>
          <w:lang w:val="en-US"/>
        </w:rPr>
        <w:t>Provider Training</w:t>
      </w:r>
      <w:r>
        <w:rPr>
          <w:lang w:val="en-US"/>
        </w:rPr>
        <w:t xml:space="preserve">. Provider’s primary contact as identified in Section 7.6 or designee (so long as the designee is employed by Provider or an Affiliated Provider) and any updated primary contact or designee (as updated pursuant to Section 7.6) shall complete a training course covering provider obligations under ICANN policies and agreements.  Provider shall at all times employee at least one Person who has completed such training course. The course will be provided by ICANN at no expense to Provider, and shall be available in an online format. </w:t>
      </w:r>
    </w:p>
    <w:p>
      <w:pPr>
        <w:pStyle w:val="Normal"/>
        <w:numPr>
          <w:ilvl w:val="1"/>
          <w:numId w:val="2"/>
        </w:numPr>
        <w:spacing w:lineRule="auto" w:line="249"/>
        <w:ind w:left="1529" w:right="10" w:hanging="809"/>
        <w:rPr>
          <w:lang w:val="en-US"/>
        </w:rPr>
      </w:pPr>
      <w:r>
        <w:rPr>
          <w:u w:val="single" w:color="000000"/>
          <w:lang w:val="en-US"/>
        </w:rPr>
        <w:t>Terms of Service; Website Publication; and Description of Procedures.</w:t>
      </w:r>
      <w:r>
        <w:rPr>
          <w:lang w:val="en-US"/>
        </w:rPr>
        <w:t xml:space="preserve">  </w:t>
      </w:r>
    </w:p>
    <w:p>
      <w:pPr>
        <w:pStyle w:val="Normal"/>
        <w:numPr>
          <w:ilvl w:val="2"/>
          <w:numId w:val="2"/>
        </w:numPr>
        <w:ind w:left="2136" w:right="10" w:hanging="696"/>
        <w:rPr>
          <w:lang w:val="en-US"/>
        </w:rPr>
      </w:pPr>
      <w:r>
        <w:rPr>
          <w:lang w:val="en-US"/>
        </w:rPr>
        <w:t xml:space="preserve">Provider shall state on any forms used for reporting and requesting purposes the applicable jurisdiction in which disputes (including disputes involving Law Enforcement Authorities or intellectual property holders) must be resolved. This provision should provide for the exercise of jurisdiction of the courts in the jurisdiction where the provider maintains its principal physical office; additional jurisdictions may also be specified. </w:t>
      </w:r>
    </w:p>
    <w:p>
      <w:pPr>
        <w:pStyle w:val="Normal"/>
        <w:numPr>
          <w:ilvl w:val="2"/>
          <w:numId w:val="2"/>
        </w:numPr>
        <w:ind w:left="2136" w:right="10" w:hanging="696"/>
        <w:rPr>
          <w:lang w:val="en-US"/>
        </w:rPr>
      </w:pPr>
      <w:r>
        <w:rPr>
          <w:lang w:val="en-US"/>
        </w:rPr>
        <w:t xml:space="preserve">Provider shall publish on its websites and in all Publication and Disclosure-related policies and documents, a link to either a request form containing specific, minimum, mandatory criteria, or an equivalent list of such criteria, that the Provider requires in order to determine whether or not to comply with third party requests, such as for the Disclosure or Publication of Customer identity or contact details.  </w:t>
      </w:r>
    </w:p>
    <w:p>
      <w:pPr>
        <w:pStyle w:val="Normal"/>
        <w:numPr>
          <w:ilvl w:val="2"/>
          <w:numId w:val="2"/>
        </w:numPr>
        <w:ind w:left="2136" w:right="10" w:hanging="696"/>
        <w:rPr>
          <w:lang w:val="en-US"/>
        </w:rPr>
      </w:pPr>
      <w:r>
        <w:rPr>
          <w:lang w:val="en-US"/>
        </w:rPr>
        <w:t xml:space="preserve">Provider shall publish on its websites all pricing information for all Services offered by Provider. </w:t>
      </w:r>
    </w:p>
    <w:p>
      <w:pPr>
        <w:pStyle w:val="Normal"/>
        <w:numPr>
          <w:ilvl w:val="2"/>
          <w:numId w:val="2"/>
        </w:numPr>
        <w:ind w:left="2136" w:right="10" w:hanging="696"/>
        <w:rPr>
          <w:lang w:val="en-US"/>
        </w:rPr>
      </w:pPr>
      <w:r>
        <w:rPr>
          <w:lang w:val="en-US"/>
        </w:rPr>
        <w:t xml:space="preserve">Provider should indicate clearly, on its websites and in all Publication or Disclosure-related materials, that a Requester will be notified in a timely manner of the Provider’s decision: </w:t>
      </w:r>
    </w:p>
    <w:p>
      <w:pPr>
        <w:pStyle w:val="Normal"/>
        <w:numPr>
          <w:ilvl w:val="3"/>
          <w:numId w:val="2"/>
        </w:numPr>
        <w:ind w:left="3025" w:right="10" w:hanging="865"/>
        <w:rPr>
          <w:lang w:val="en-US"/>
        </w:rPr>
      </w:pPr>
      <w:r>
        <w:rPr>
          <w:lang w:val="en-US"/>
        </w:rPr>
        <w:t xml:space="preserve">To notify its Customer of such Requestor’s request for Publication or Disclosure; and </w:t>
      </w:r>
    </w:p>
    <w:p>
      <w:pPr>
        <w:pStyle w:val="Normal"/>
        <w:numPr>
          <w:ilvl w:val="3"/>
          <w:numId w:val="2"/>
        </w:numPr>
        <w:ind w:left="3025" w:right="10" w:hanging="865"/>
        <w:rPr>
          <w:lang w:val="en-US"/>
        </w:rPr>
      </w:pPr>
      <w:r>
        <w:rPr>
          <w:lang w:val="en-US"/>
        </w:rPr>
        <w:t xml:space="preserve">Whether or not Provider agrees to comply with such Requestor’s request for Publication or Disclosure. </w:t>
      </w:r>
    </w:p>
    <w:p>
      <w:pPr>
        <w:pStyle w:val="Normal"/>
        <w:numPr>
          <w:ilvl w:val="2"/>
          <w:numId w:val="2"/>
        </w:numPr>
        <w:ind w:left="2136" w:right="10" w:hanging="696"/>
        <w:rPr>
          <w:lang w:val="en-US"/>
        </w:rPr>
      </w:pPr>
      <w:r>
        <w:rPr>
          <w:lang w:val="en-US"/>
        </w:rPr>
        <w:t xml:space="preserve">Provider shall publish on its website a copy of Provider’s service agreement and description of Provider’s procedures for handling the following, in each case of a domain name registration for which Provider is the Registered Name Holder or for which Provider provides Services: </w:t>
      </w:r>
    </w:p>
    <w:p>
      <w:pPr>
        <w:pStyle w:val="Normal"/>
        <w:numPr>
          <w:ilvl w:val="3"/>
          <w:numId w:val="2"/>
        </w:numPr>
        <w:ind w:left="3025" w:right="10" w:hanging="865"/>
        <w:rPr>
          <w:lang w:val="en-US"/>
        </w:rPr>
      </w:pPr>
      <w:r>
        <w:rPr>
          <w:lang w:val="en-US"/>
        </w:rPr>
        <w:t xml:space="preserve">The process or facilities to report Abuse; </w:t>
      </w:r>
    </w:p>
    <w:p>
      <w:pPr>
        <w:pStyle w:val="Normal"/>
        <w:numPr>
          <w:ilvl w:val="3"/>
          <w:numId w:val="2"/>
        </w:numPr>
        <w:ind w:left="3025" w:right="10" w:hanging="865"/>
        <w:rPr>
          <w:lang w:val="en-US"/>
        </w:rPr>
      </w:pPr>
      <w:r>
        <w:rPr>
          <w:lang w:val="en-US"/>
        </w:rPr>
        <w:t xml:space="preserve">The process or facilities to report infringement of trademarks or other rights of third parties; </w:t>
      </w:r>
    </w:p>
    <w:p>
      <w:pPr>
        <w:pStyle w:val="Normal"/>
        <w:numPr>
          <w:ilvl w:val="3"/>
          <w:numId w:val="2"/>
        </w:numPr>
        <w:ind w:left="3025" w:right="10" w:hanging="865"/>
        <w:rPr>
          <w:lang w:val="en-US"/>
        </w:rPr>
      </w:pPr>
      <w:r>
        <w:rPr>
          <w:lang w:val="en-US"/>
        </w:rPr>
        <w:t xml:space="preserve">The circumstances under which Provider will Relay communications from third parties to the Customer; </w:t>
      </w:r>
    </w:p>
    <w:p>
      <w:pPr>
        <w:pStyle w:val="Normal"/>
        <w:numPr>
          <w:ilvl w:val="3"/>
          <w:numId w:val="2"/>
        </w:numPr>
        <w:ind w:left="3025" w:right="10" w:hanging="865"/>
        <w:rPr>
          <w:lang w:val="en-US"/>
        </w:rPr>
      </w:pPr>
      <w:r>
        <w:rPr>
          <w:lang w:val="en-US"/>
        </w:rPr>
        <w:t xml:space="preserve">The circumstances under which Provider will terminate service to the Customer; </w:t>
      </w:r>
    </w:p>
    <w:p>
      <w:pPr>
        <w:pStyle w:val="Normal"/>
        <w:numPr>
          <w:ilvl w:val="3"/>
          <w:numId w:val="2"/>
        </w:numPr>
        <w:ind w:left="3025" w:right="10" w:hanging="865"/>
        <w:rPr>
          <w:lang w:val="en-US"/>
        </w:rPr>
      </w:pPr>
      <w:r>
        <w:rPr>
          <w:lang w:val="en-US"/>
        </w:rPr>
        <w:t xml:space="preserve">The circumstances under which Provider will Reveal or Publish in the Registration Data Directory Service the Customer’s identity or contact data; and </w:t>
      </w:r>
    </w:p>
    <w:p>
      <w:pPr>
        <w:pStyle w:val="Normal"/>
        <w:numPr>
          <w:ilvl w:val="3"/>
          <w:numId w:val="2"/>
        </w:numPr>
        <w:ind w:left="3025" w:right="10" w:hanging="865"/>
        <w:rPr>
          <w:lang w:val="en-US"/>
        </w:rPr>
      </w:pPr>
      <w:r>
        <w:rPr>
          <w:lang w:val="en-US"/>
        </w:rPr>
        <w:t xml:space="preserve">A description of the support services offered by Provider to Customers, and how to access these services. </w:t>
      </w:r>
    </w:p>
    <w:p>
      <w:pPr>
        <w:pStyle w:val="Normal"/>
        <w:numPr>
          <w:ilvl w:val="1"/>
          <w:numId w:val="2"/>
        </w:numPr>
        <w:spacing w:before="0" w:after="0"/>
        <w:ind w:left="1529" w:right="10" w:hanging="809"/>
        <w:rPr>
          <w:lang w:val="en-US"/>
        </w:rPr>
      </w:pPr>
      <w:r>
        <w:rPr>
          <w:u w:val="single" w:color="000000"/>
          <w:lang w:val="en-US"/>
        </w:rPr>
        <w:t>Provider Self-Assessment and Audits</w:t>
      </w:r>
      <w:r>
        <w:rPr>
          <w:lang w:val="en-US"/>
        </w:rPr>
        <w:t xml:space="preserve">. Provider shall complete and deliver to ICANN, on a schedule and in the form specified by ICANN from time to time in consultation with the Working Group, a Provider’s self-assessment. Provider shall complete and deliver to ICANN within twenty (20) days following the end of each calendar year, in a form specified by ICANN a certificate executed by the president, chief executive officer, chief financial officer or chief operating officer (or their equivalents) of Provider certifying compliance with the terms and conditions of this Agreement. ICANN may from time to time (not to exceed twice per calendar year) conduct, or engage a third party to conduct on its behalf, contractual compliance audits to assess compliance by Provider with the terms and conditions of this Agreement. Any audits pursuant to this Section 3.10 shall be tailored to achieve the purpose of assessing compliance, and ICANN will (a) give reasonable advance notice of any such audit, which notice shall specify in reasonable detail the categories of documents, data and other information requested by ICANN, and (b) use commercially reasonable efforts to conduct such audit in such a manner as to not unreasonably disrupt the operations of Provider. As part of such audit and upon request by ICANN, Provider shall timely provide all responsive documents, data and any other information necessary to demonstrate Provider’s compliance with this Agreement. Upon no less than ten (10) days notice (unless otherwise agreed to by Provider), ICANN may, as part of any contractual compliance audit, conduct site visits during regular business hours to assess compliance by Provider with the terms and conditions of this Agreement. ICANN shall not disclose Provider’s confidential information gathered through such audits except as required by applicable law, legal proceedings, or as expressly permitted by any Specification or Policy (including ICANN’s Documentary Information Disclosure Policy, as such policy may be amended from time to time); provided, however, that, except as required by applicable law or legal proceedings, ICANN shall not release any information that Provider has marked as, or has otherwise designated in writing to </w:t>
      </w:r>
    </w:p>
    <w:p>
      <w:pPr>
        <w:pStyle w:val="Normal"/>
        <w:ind w:left="0" w:right="10" w:hanging="10"/>
        <w:rPr>
          <w:lang w:val="en-US"/>
        </w:rPr>
      </w:pPr>
      <w:r>
        <w:rPr>
          <w:lang w:val="en-US"/>
        </w:rPr>
        <w:t xml:space="preserve">ICANN as, a “confidential trade secret,” “confidential commercial information” or “confidential financial information” of Provider. If any applicable law, legal proceeding or Specification or Policy permits such disclosure, ICANN will provide Provider no less than fifteen (15) days notice of its intent to disclose such information, unless such notice is prohibited by law or legal proceeding. Such notice shall include to whom and in what manner ICANN plans to disclose such information.  </w:t>
      </w:r>
    </w:p>
    <w:p>
      <w:pPr>
        <w:pStyle w:val="Normal"/>
        <w:numPr>
          <w:ilvl w:val="1"/>
          <w:numId w:val="2"/>
        </w:numPr>
        <w:ind w:left="1529" w:right="10" w:hanging="809"/>
        <w:rPr>
          <w:lang w:val="en-US"/>
        </w:rPr>
      </w:pPr>
      <w:r>
        <w:rPr>
          <w:u w:val="single" w:color="000000"/>
          <w:lang w:val="en-US"/>
        </w:rPr>
        <w:t>Link to Customer Educational Information</w:t>
      </w:r>
      <w:r>
        <w:rPr>
          <w:lang w:val="en-US"/>
        </w:rPr>
        <w:t>. ICANN has published an educational webpage summarizing the terms of the Privacy &amp; Proxy Service Provider Accreditation Agreement and related Consensus Policies, as updated by ICANN from time to time</w:t>
      </w:r>
      <w:r>
        <w:rPr>
          <w:b/>
          <w:i/>
          <w:lang w:val="en-US"/>
        </w:rPr>
        <w:t xml:space="preserve"> </w:t>
      </w:r>
      <w:r>
        <w:rPr>
          <w:lang w:val="en-US"/>
        </w:rPr>
        <w:t xml:space="preserve">(as of the date of this Agreement, located at: [__]). Provider shall provide a link to such webpage on any website it may operate for the Services clearly displayed to its Customers at least as clearly as its links to policies or notifications required to be displayed under Consensus Policies. ICANN may, in consultation with providers of the Services, update the content or URL for this website. </w:t>
      </w:r>
    </w:p>
    <w:p>
      <w:pPr>
        <w:pStyle w:val="Normal"/>
        <w:numPr>
          <w:ilvl w:val="1"/>
          <w:numId w:val="2"/>
        </w:numPr>
        <w:ind w:left="1529" w:right="10" w:hanging="809"/>
        <w:rPr>
          <w:lang w:val="en-US"/>
        </w:rPr>
      </w:pPr>
      <w:r>
        <w:rPr>
          <w:u w:val="single" w:color="000000"/>
          <w:lang w:val="en-US"/>
        </w:rPr>
        <w:t>Provider Contact, Business Organization and Officer Information</w:t>
      </w:r>
      <w:r>
        <w:rPr>
          <w:lang w:val="en-US"/>
        </w:rPr>
        <w:t xml:space="preserve">. Provider shall provide to ICANN the information specified in Section 3.12.1 through Section 3.12.9 as well as such information as ICANN may request from time to time and keep such information accurate and current. In addition, Provider shall publish on each website through which Provider provides or offers the Services the information specified in Section 3.12.1 through Section 3.12.9. Provider shall notify ICANN within five (5) days of any changes to such information and update Provider’s website(s) within twenty (20) days of any such changes.  </w:t>
      </w:r>
    </w:p>
    <w:p>
      <w:pPr>
        <w:pStyle w:val="Normal"/>
        <w:numPr>
          <w:ilvl w:val="2"/>
          <w:numId w:val="2"/>
        </w:numPr>
        <w:ind w:left="2136" w:right="10" w:hanging="696"/>
        <w:rPr>
          <w:lang w:val="en-US"/>
        </w:rPr>
      </w:pPr>
      <w:r>
        <w:rPr>
          <w:lang w:val="en-US"/>
        </w:rPr>
        <w:t xml:space="preserve">Full legal name of Provider. </w:t>
      </w:r>
    </w:p>
    <w:p>
      <w:pPr>
        <w:pStyle w:val="Normal"/>
        <w:numPr>
          <w:ilvl w:val="2"/>
          <w:numId w:val="2"/>
        </w:numPr>
        <w:ind w:left="2136" w:right="10" w:hanging="696"/>
        <w:rPr/>
      </w:pPr>
      <w:r>
        <w:rPr/>
        <w:t xml:space="preserve">Correspondence address for Provider. </w:t>
      </w:r>
    </w:p>
    <w:p>
      <w:pPr>
        <w:pStyle w:val="Normal"/>
        <w:numPr>
          <w:ilvl w:val="2"/>
          <w:numId w:val="2"/>
        </w:numPr>
        <w:spacing w:lineRule="auto" w:line="259" w:before="0" w:after="0"/>
        <w:ind w:left="2136" w:right="10" w:hanging="696"/>
        <w:rPr>
          <w:lang w:val="en-US"/>
        </w:rPr>
      </w:pPr>
      <w:r>
        <w:rPr>
          <w:lang w:val="en-US"/>
        </w:rPr>
        <w:t xml:space="preserve">Address of Provider’s principal place of business (no P.O. boxes). </w:t>
      </w:r>
    </w:p>
    <w:p>
      <w:pPr>
        <w:pStyle w:val="Normal"/>
        <w:numPr>
          <w:ilvl w:val="2"/>
          <w:numId w:val="2"/>
        </w:numPr>
        <w:ind w:left="2136" w:right="10" w:hanging="696"/>
        <w:rPr/>
      </w:pPr>
      <w:r>
        <w:rPr/>
        <w:t xml:space="preserve">Provider’s telephone number. </w:t>
      </w:r>
    </w:p>
    <w:p>
      <w:pPr>
        <w:pStyle w:val="Normal"/>
        <w:numPr>
          <w:ilvl w:val="2"/>
          <w:numId w:val="2"/>
        </w:numPr>
        <w:ind w:left="2136" w:right="10" w:hanging="696"/>
        <w:rPr/>
      </w:pPr>
      <w:r>
        <w:rPr/>
        <w:t xml:space="preserve">Provider’s email address. </w:t>
      </w:r>
    </w:p>
    <w:p>
      <w:pPr>
        <w:pStyle w:val="Normal"/>
        <w:numPr>
          <w:ilvl w:val="2"/>
          <w:numId w:val="2"/>
        </w:numPr>
        <w:ind w:left="2136" w:right="10" w:hanging="696"/>
        <w:rPr>
          <w:lang w:val="en-US"/>
        </w:rPr>
      </w:pPr>
      <w:r>
        <w:rPr>
          <w:lang w:val="en-US"/>
        </w:rPr>
        <w:t xml:space="preserve">Full name, contact information and position of all officers of Provider. </w:t>
      </w:r>
    </w:p>
    <w:p>
      <w:pPr>
        <w:pStyle w:val="Normal"/>
        <w:numPr>
          <w:ilvl w:val="2"/>
          <w:numId w:val="2"/>
        </w:numPr>
        <w:ind w:left="2136" w:right="10" w:hanging="696"/>
        <w:rPr/>
      </w:pPr>
      <w:r>
        <w:rPr/>
        <w:t xml:space="preserve">Provider’s abuse contact information. </w:t>
      </w:r>
    </w:p>
    <w:p>
      <w:pPr>
        <w:pStyle w:val="Normal"/>
        <w:numPr>
          <w:ilvl w:val="2"/>
          <w:numId w:val="2"/>
        </w:numPr>
        <w:ind w:left="2136" w:right="10" w:hanging="696"/>
        <w:rPr>
          <w:lang w:val="en-US"/>
        </w:rPr>
      </w:pPr>
      <w:r>
        <w:rPr>
          <w:lang w:val="en-US"/>
        </w:rPr>
        <w:t xml:space="preserve">Ultimate parent entity of Provider, if applicable. </w:t>
      </w:r>
    </w:p>
    <w:p>
      <w:pPr>
        <w:pStyle w:val="Normal"/>
        <w:numPr>
          <w:ilvl w:val="2"/>
          <w:numId w:val="2"/>
        </w:numPr>
        <w:ind w:left="2136" w:right="10" w:hanging="696"/>
        <w:rPr>
          <w:lang w:val="en-US"/>
        </w:rPr>
      </w:pPr>
      <w:r>
        <w:rPr>
          <w:lang w:val="en-US"/>
        </w:rPr>
        <w:t xml:space="preserve">The names and ICANN IDs of all Affiliated Providers and Affiliated Registrars of Provider. </w:t>
      </w:r>
    </w:p>
    <w:p>
      <w:pPr>
        <w:pStyle w:val="Normal"/>
        <w:numPr>
          <w:ilvl w:val="1"/>
          <w:numId w:val="2"/>
        </w:numPr>
        <w:spacing w:lineRule="auto" w:line="259" w:before="0" w:after="251"/>
        <w:ind w:left="1529" w:right="10" w:hanging="809"/>
        <w:rPr>
          <w:lang w:val="en-US"/>
        </w:rPr>
      </w:pPr>
      <w:r>
        <w:rPr>
          <w:u w:val="single" w:color="000000"/>
          <w:lang w:val="en-US"/>
        </w:rPr>
        <w:t>Provider’s Abuse Contact and Duty to Investigate Reports of Abuse</w:t>
      </w:r>
      <w:r>
        <w:rPr>
          <w:lang w:val="en-US"/>
        </w:rPr>
        <w:t xml:space="preserve">.  </w:t>
      </w:r>
    </w:p>
    <w:p>
      <w:pPr>
        <w:pStyle w:val="Normal"/>
        <w:numPr>
          <w:ilvl w:val="2"/>
          <w:numId w:val="2"/>
        </w:numPr>
        <w:ind w:left="2136" w:right="10" w:hanging="696"/>
        <w:rPr>
          <w:lang w:val="en-US"/>
        </w:rPr>
      </w:pPr>
      <w:r>
        <w:rPr>
          <w:lang w:val="en-US"/>
        </w:rPr>
        <w:t xml:space="preserve">Provider shall establish and maintain a designated Abuse contact to receive reports of Abuse involving Registered Names for which Provider is providing the Services, including reports of Illegal Activity. Provider shall publish (i) </w:t>
      </w:r>
      <w:commentRangeStart w:id="5"/>
      <w:r>
        <w:rPr>
          <w:lang w:val="en-US"/>
        </w:rPr>
        <w:t xml:space="preserve">an email address </w:t>
      </w:r>
      <w:r>
        <w:rPr>
          <w:lang w:val="en-US"/>
        </w:rPr>
      </w:r>
      <w:commentRangeEnd w:id="5"/>
      <w:r>
        <w:commentReference w:id="5"/>
      </w:r>
      <w:r>
        <w:rPr>
          <w:lang w:val="en-US"/>
        </w:rPr>
        <w:t xml:space="preserve">to receive such reports on the home page of Provider’s website or (ii) other mechanisms, such as a telephone number or an electronic form, that are clearly visible on Provider’s website homepage (or, in each case, in another standardized place that may be designated by ICANN from time to time), which shall be monitored 24 hours a day, seven days a week.  </w:t>
      </w:r>
    </w:p>
    <w:p>
      <w:pPr>
        <w:pStyle w:val="Normal"/>
        <w:numPr>
          <w:ilvl w:val="2"/>
          <w:numId w:val="2"/>
        </w:numPr>
        <w:ind w:left="2136" w:right="10" w:hanging="696"/>
        <w:rPr>
          <w:lang w:val="en-US"/>
        </w:rPr>
      </w:pPr>
      <w:r>
        <w:rPr>
          <w:lang w:val="en-US"/>
        </w:rPr>
        <w:t xml:space="preserve">Provider shall take reasonable and prompt steps to investigate and respond appropriately to any reports of Abuse. Well-founded reports of Illegal Activity submitted to Provider’s designated Abuse contact must be reviewed within 24 hours by an individual who is empowered by Provider to take necessary and appropriate actions in response to the report, including reports of Abuse submitted by Persons and their representatives pursuant to the Intellectual Property Disclosure Framework Specification. In responding to any such reports, Provider will not be required to take any action in contravention of applicable law.  </w:t>
      </w:r>
    </w:p>
    <w:p>
      <w:pPr>
        <w:pStyle w:val="Normal"/>
        <w:numPr>
          <w:ilvl w:val="2"/>
          <w:numId w:val="2"/>
        </w:numPr>
        <w:ind w:left="2136" w:right="10" w:hanging="696"/>
        <w:rPr>
          <w:lang w:val="en-US"/>
        </w:rPr>
      </w:pPr>
      <w:r>
        <w:rPr>
          <w:lang w:val="en-US"/>
        </w:rPr>
        <w:t xml:space="preserve">Provider shall publish on its website a description of its procedures for the receipt, handling, and tracking of Abuse reports. Provider shall document its receipt of and response to all such reports. Provider shall maintain the records related to such reports for the shorter of two (2) years or the longest period permitted by applicable law, and during such period, shall provide such records to ICANN upon reasonable notice. </w:t>
      </w:r>
    </w:p>
    <w:p>
      <w:pPr>
        <w:pStyle w:val="Normal"/>
        <w:numPr>
          <w:ilvl w:val="1"/>
          <w:numId w:val="2"/>
        </w:numPr>
        <w:ind w:left="1529" w:right="10" w:hanging="809"/>
        <w:rPr>
          <w:lang w:val="en-US"/>
        </w:rPr>
      </w:pPr>
      <w:r>
        <w:rPr>
          <w:u w:val="single" w:color="000000"/>
          <w:lang w:val="en-US"/>
        </w:rPr>
        <w:t>Law Enforcement Authority Disclosure Framework Specification</w:t>
      </w:r>
      <w:r>
        <w:rPr>
          <w:lang w:val="en-US"/>
        </w:rPr>
        <w:t xml:space="preserve">.  Provider shall comply with the Law Enforcement Authority Disclosure Framework Specification attached hereto. </w:t>
      </w:r>
    </w:p>
    <w:p>
      <w:pPr>
        <w:pStyle w:val="Normal"/>
        <w:numPr>
          <w:ilvl w:val="1"/>
          <w:numId w:val="2"/>
        </w:numPr>
        <w:ind w:left="1529" w:right="10" w:hanging="809"/>
        <w:rPr>
          <w:lang w:val="en-US"/>
        </w:rPr>
      </w:pPr>
      <w:r>
        <w:rPr>
          <w:u w:val="single" w:color="000000"/>
          <w:lang w:val="en-US"/>
        </w:rPr>
        <w:t>Intellectual Property Disclosure Framework Specification</w:t>
      </w:r>
      <w:r>
        <w:rPr>
          <w:lang w:val="en-US"/>
        </w:rPr>
        <w:t xml:space="preserve">.  Provider shall comply with the Intellectual Property Disclosure Framework Specification attached hereto. </w:t>
      </w:r>
    </w:p>
    <w:p>
      <w:pPr>
        <w:pStyle w:val="Normal"/>
        <w:numPr>
          <w:ilvl w:val="1"/>
          <w:numId w:val="2"/>
        </w:numPr>
        <w:spacing w:before="0" w:after="11"/>
        <w:ind w:left="1529" w:right="10" w:hanging="809"/>
        <w:rPr>
          <w:lang w:val="en-US"/>
        </w:rPr>
      </w:pPr>
      <w:r>
        <w:rPr>
          <w:u w:val="single" w:color="000000"/>
          <w:lang w:val="en-US"/>
        </w:rPr>
        <w:t>Labeling</w:t>
      </w:r>
      <w:r>
        <w:rPr>
          <w:lang w:val="en-US"/>
        </w:rPr>
        <w:t xml:space="preserve">.  Provider shall ensure that each Registered Name for which </w:t>
      </w:r>
    </w:p>
    <w:p>
      <w:pPr>
        <w:pStyle w:val="Normal"/>
        <w:ind w:left="0" w:right="10" w:hanging="10"/>
        <w:rPr>
          <w:lang w:val="en-US"/>
        </w:rPr>
      </w:pPr>
      <w:r>
        <w:rPr>
          <w:lang w:val="en-US"/>
        </w:rPr>
        <w:t xml:space="preserve">Provider is providing the Services is clearly labeled as such in the Registration Data Directory Service), as specified in the Labeling Specification attached hereto.  </w:t>
      </w:r>
    </w:p>
    <w:p>
      <w:pPr>
        <w:pStyle w:val="Normal"/>
        <w:numPr>
          <w:ilvl w:val="1"/>
          <w:numId w:val="2"/>
        </w:numPr>
        <w:spacing w:lineRule="auto" w:line="249"/>
        <w:ind w:left="1529" w:right="10" w:hanging="809"/>
        <w:rPr/>
      </w:pPr>
      <w:r>
        <w:rPr>
          <w:u w:val="single" w:color="000000"/>
        </w:rPr>
        <w:t>Relay Requirements</w:t>
      </w:r>
      <w:r>
        <w:rPr/>
        <w:t xml:space="preserve">. </w:t>
      </w:r>
    </w:p>
    <w:p>
      <w:pPr>
        <w:pStyle w:val="Normal"/>
        <w:numPr>
          <w:ilvl w:val="2"/>
          <w:numId w:val="2"/>
        </w:numPr>
        <w:ind w:left="2136" w:right="10" w:hanging="696"/>
        <w:rPr>
          <w:lang w:val="en-US"/>
        </w:rPr>
      </w:pPr>
      <w:r>
        <w:rPr>
          <w:lang w:val="en-US"/>
        </w:rPr>
        <w:t xml:space="preserve">Provider shall Relay to its Customers any notices or communications required under this Agreement, the Registrar Accreditation Agreement or any Specifications and/or Policies.  </w:t>
      </w:r>
    </w:p>
    <w:p>
      <w:pPr>
        <w:pStyle w:val="Normal"/>
        <w:numPr>
          <w:ilvl w:val="2"/>
          <w:numId w:val="2"/>
        </w:numPr>
        <w:ind w:left="2136" w:right="10" w:hanging="696"/>
        <w:rPr>
          <w:lang w:val="en-US"/>
        </w:rPr>
      </w:pPr>
      <w:r>
        <w:rPr>
          <w:lang w:val="en-US"/>
        </w:rPr>
        <w:t xml:space="preserve">For all other electronic communications received by Provider from a third party concerning a Customer, including any Registered Name for which Provider is providing Services to a Customer, Provider shall either:  </w:t>
      </w:r>
    </w:p>
    <w:p>
      <w:pPr>
        <w:pStyle w:val="Normal"/>
        <w:numPr>
          <w:ilvl w:val="3"/>
          <w:numId w:val="2"/>
        </w:numPr>
        <w:spacing w:before="0" w:after="0"/>
        <w:ind w:left="3025" w:right="10" w:hanging="865"/>
        <w:rPr>
          <w:lang w:val="en-US"/>
        </w:rPr>
      </w:pPr>
      <w:r>
        <w:rPr>
          <w:lang w:val="en-US"/>
        </w:rPr>
        <w:t xml:space="preserve">Relay all electronic communications received (including those received via emails and web forms) by Provider to such Customer, but the Provider may implement commercially reasonable </w:t>
      </w:r>
    </w:p>
    <w:p>
      <w:pPr>
        <w:pStyle w:val="Normal"/>
        <w:ind w:left="1450" w:right="10" w:hanging="10"/>
        <w:rPr>
          <w:lang w:val="en-US"/>
        </w:rPr>
      </w:pPr>
      <w:r>
        <w:rPr>
          <w:lang w:val="en-US"/>
        </w:rPr>
        <w:t xml:space="preserve">safeguards to filter out spam and other forms of abusive communications; or </w:t>
      </w:r>
    </w:p>
    <w:p>
      <w:pPr>
        <w:pStyle w:val="Normal"/>
        <w:numPr>
          <w:ilvl w:val="3"/>
          <w:numId w:val="2"/>
        </w:numPr>
        <w:ind w:left="3025" w:right="10" w:hanging="865"/>
        <w:rPr>
          <w:lang w:val="en-US"/>
        </w:rPr>
      </w:pPr>
      <w:r>
        <w:rPr>
          <w:lang w:val="en-US"/>
        </w:rPr>
        <w:t xml:space="preserve">Promptly Relay to such Customer all electronic communications (including those received via emails and web forms) received from Law Enforcement Authorities and third parties containing allegations of Abuse (including Illegal Activity). </w:t>
      </w:r>
    </w:p>
    <w:p>
      <w:pPr>
        <w:pStyle w:val="Normal"/>
        <w:numPr>
          <w:ilvl w:val="2"/>
          <w:numId w:val="2"/>
        </w:numPr>
        <w:ind w:left="2136" w:right="10" w:hanging="696"/>
        <w:rPr>
          <w:lang w:val="en-US"/>
        </w:rPr>
      </w:pPr>
      <w:r>
        <w:rPr>
          <w:lang w:val="en-US"/>
        </w:rPr>
        <w:t xml:space="preserve">Provider shall publish and maintain a mechanism (e.g. designated email point of contact) for a Requester to follow up on or escalate the request made by such Requester.  </w:t>
      </w:r>
    </w:p>
    <w:p>
      <w:pPr>
        <w:pStyle w:val="Normal"/>
        <w:numPr>
          <w:ilvl w:val="2"/>
          <w:numId w:val="2"/>
        </w:numPr>
        <w:spacing w:before="0" w:after="11"/>
        <w:ind w:left="2136" w:right="10" w:hanging="696"/>
        <w:rPr>
          <w:lang w:val="en-US"/>
        </w:rPr>
      </w:pPr>
      <w:r>
        <w:rPr>
          <w:lang w:val="en-US"/>
        </w:rPr>
        <w:t xml:space="preserve">When Provider becomes aware of a Persistent Delivery Failure to a </w:t>
      </w:r>
    </w:p>
    <w:p>
      <w:pPr>
        <w:pStyle w:val="Normal"/>
        <w:ind w:left="730" w:right="10" w:hanging="10"/>
        <w:rPr>
          <w:lang w:val="en-US"/>
        </w:rPr>
      </w:pPr>
      <w:r>
        <w:rPr>
          <w:lang w:val="en-US"/>
        </w:rPr>
        <w:t xml:space="preserve">Customer, Provider shall (a) promptly notify the Requester of the Persistent Delivery Failure and (b) perform the email verification procedure set forth in Section 1.f of the Customer Data Accuracy Program Specification.  </w:t>
      </w:r>
    </w:p>
    <w:p>
      <w:pPr>
        <w:pStyle w:val="Normal"/>
        <w:numPr>
          <w:ilvl w:val="2"/>
          <w:numId w:val="2"/>
        </w:numPr>
        <w:ind w:left="2136" w:right="10" w:hanging="696"/>
        <w:rPr>
          <w:lang w:val="en-US"/>
        </w:rPr>
      </w:pPr>
      <w:r>
        <w:rPr>
          <w:lang w:val="en-US"/>
        </w:rPr>
        <w:t xml:space="preserve">When Provider becomes aware of a Persistent Delivery Failure, Provider shall, upon request of the Requester, Relay a further form of notice to the applicable Customer, provided that (a) Provider shall have the discretion to select the most appropriate means of Relaying such a request to the Customer.  </w:t>
      </w:r>
    </w:p>
    <w:p>
      <w:pPr>
        <w:pStyle w:val="Normal"/>
        <w:numPr>
          <w:ilvl w:val="2"/>
          <w:numId w:val="2"/>
        </w:numPr>
        <w:spacing w:before="0" w:after="0"/>
        <w:ind w:left="2136" w:right="10" w:hanging="696"/>
        <w:rPr>
          <w:lang w:val="en-US"/>
        </w:rPr>
      </w:pPr>
      <w:r>
        <w:rPr>
          <w:lang w:val="en-US"/>
        </w:rPr>
        <w:t xml:space="preserve">Notwithstanding anything to the contrary in this Section 3.17, Provider shall have the right to impose reasonable limits on the number of </w:t>
      </w:r>
    </w:p>
    <w:p>
      <w:pPr>
        <w:pStyle w:val="Normal"/>
        <w:ind w:left="730" w:right="10" w:hanging="10"/>
        <w:rPr>
          <w:lang w:val="en-US"/>
        </w:rPr>
      </w:pPr>
      <w:r>
        <w:rPr>
          <w:lang w:val="en-US"/>
        </w:rPr>
        <w:t xml:space="preserve">Relay requests made by the same Requester for the same Registered Name. </w:t>
      </w:r>
    </w:p>
    <w:p>
      <w:pPr>
        <w:pStyle w:val="Normal"/>
        <w:numPr>
          <w:ilvl w:val="2"/>
          <w:numId w:val="2"/>
        </w:numPr>
        <w:spacing w:before="0" w:after="11"/>
        <w:ind w:left="2136" w:right="10" w:hanging="696"/>
        <w:rPr>
          <w:lang w:val="en-US"/>
        </w:rPr>
      </w:pPr>
      <w:r>
        <w:rPr>
          <w:lang w:val="en-US"/>
        </w:rPr>
        <w:t xml:space="preserve">The requirements set forth in this Section 3.17 shall not preclude </w:t>
      </w:r>
    </w:p>
    <w:p>
      <w:pPr>
        <w:pStyle w:val="Normal"/>
        <w:ind w:left="730" w:right="10" w:hanging="10"/>
        <w:rPr>
          <w:lang w:val="en-US"/>
        </w:rPr>
      </w:pPr>
      <w:r>
        <w:rPr>
          <w:lang w:val="en-US"/>
        </w:rPr>
        <w:t xml:space="preserve">Provider from taking any additional actions in the event of a Persistent Delivery Failure, in accordance with terms and conditions concerning such matter set forth in the terms of service published on Provider’s website.  </w:t>
      </w:r>
    </w:p>
    <w:p>
      <w:pPr>
        <w:pStyle w:val="Normal"/>
        <w:numPr>
          <w:ilvl w:val="1"/>
          <w:numId w:val="2"/>
        </w:numPr>
        <w:spacing w:lineRule="auto" w:line="249"/>
        <w:ind w:left="1529" w:right="10" w:hanging="809"/>
        <w:rPr>
          <w:lang w:val="en-US"/>
        </w:rPr>
      </w:pPr>
      <w:r>
        <w:rPr>
          <w:u w:val="single" w:color="000000"/>
          <w:lang w:val="en-US"/>
        </w:rPr>
        <w:t>Reveal Requirements (Publication and Disclosure)</w:t>
      </w:r>
      <w:r>
        <w:rPr>
          <w:lang w:val="en-US"/>
        </w:rPr>
        <w:t xml:space="preserve">. </w:t>
      </w:r>
    </w:p>
    <w:p>
      <w:pPr>
        <w:pStyle w:val="Normal"/>
        <w:numPr>
          <w:ilvl w:val="2"/>
          <w:numId w:val="2"/>
        </w:numPr>
        <w:spacing w:before="0" w:after="11"/>
        <w:ind w:left="2136" w:right="10" w:hanging="696"/>
        <w:rPr>
          <w:lang w:val="en-US"/>
        </w:rPr>
      </w:pPr>
      <w:r>
        <w:rPr>
          <w:lang w:val="en-US"/>
        </w:rPr>
        <w:t xml:space="preserve">Upon receipt of a Disclosure or Publication request from a Requester, </w:t>
      </w:r>
    </w:p>
    <w:p>
      <w:pPr>
        <w:pStyle w:val="Normal"/>
        <w:ind w:left="730" w:right="10" w:hanging="10"/>
        <w:rPr>
          <w:lang w:val="en-US"/>
        </w:rPr>
      </w:pPr>
      <w:r>
        <w:rPr>
          <w:lang w:val="en-US"/>
        </w:rPr>
        <w:t xml:space="preserve">Provider shall comply with the requirements set forth in the Intellectual Property Disclosure Framework Specification and the Law Enforcement Authority Disclosure Framework Specification attached hereto.  </w:t>
      </w:r>
    </w:p>
    <w:p>
      <w:pPr>
        <w:pStyle w:val="Normal"/>
        <w:numPr>
          <w:ilvl w:val="2"/>
          <w:numId w:val="2"/>
        </w:numPr>
        <w:ind w:left="2136" w:right="10" w:hanging="696"/>
        <w:rPr>
          <w:lang w:val="en-US"/>
        </w:rPr>
      </w:pPr>
      <w:commentRangeStart w:id="6"/>
      <w:r>
        <w:rPr>
          <w:lang w:val="en-US"/>
        </w:rPr>
        <w:t xml:space="preserve">Provider shall not mandate </w:t>
      </w:r>
      <w:r>
        <w:rPr>
          <w:lang w:val="en-US"/>
        </w:rPr>
      </w:r>
      <w:commentRangeEnd w:id="6"/>
      <w:r>
        <w:commentReference w:id="6"/>
      </w:r>
      <w:r>
        <w:rPr>
          <w:lang w:val="en-US"/>
        </w:rPr>
        <w:t xml:space="preserve">that a Requester first make a Relay request before Provider responds to or acts on a Disclosure or Publication request. </w:t>
      </w:r>
    </w:p>
    <w:p>
      <w:pPr>
        <w:pStyle w:val="Normal"/>
        <w:numPr>
          <w:ilvl w:val="2"/>
          <w:numId w:val="2"/>
        </w:numPr>
        <w:ind w:left="2136" w:right="10" w:hanging="696"/>
        <w:rPr>
          <w:lang w:val="en-US"/>
        </w:rPr>
      </w:pPr>
      <w:r>
        <w:rPr>
          <w:lang w:val="en-US"/>
        </w:rPr>
        <w:t xml:space="preserve">To the extent applicable to Provider, nothing in this Agreement should be read as being intended to alter Provider’s prevailing practice to review Disclosure and Publication requests manually or to facilitate direct resolution of an issue between a Requester and a Customer. Disclosure of at least some contact details of the Customer may in some cases be required in order to facilitate such direct resolution. </w:t>
      </w:r>
    </w:p>
    <w:p>
      <w:pPr>
        <w:pStyle w:val="Normal"/>
        <w:numPr>
          <w:ilvl w:val="1"/>
          <w:numId w:val="2"/>
        </w:numPr>
        <w:spacing w:lineRule="auto" w:line="249"/>
        <w:ind w:left="1529" w:right="10" w:hanging="809"/>
        <w:rPr>
          <w:lang w:val="en-US"/>
        </w:rPr>
      </w:pPr>
      <w:r>
        <w:rPr>
          <w:u w:val="single" w:color="000000"/>
          <w:lang w:val="en-US"/>
        </w:rPr>
        <w:t>Transfer of Registered Names Requirements</w:t>
      </w:r>
      <w:r>
        <w:rPr>
          <w:lang w:val="en-US"/>
        </w:rPr>
        <w:t xml:space="preserve">. </w:t>
      </w:r>
    </w:p>
    <w:p>
      <w:pPr>
        <w:pStyle w:val="Normal"/>
        <w:numPr>
          <w:ilvl w:val="2"/>
          <w:numId w:val="2"/>
        </w:numPr>
        <w:ind w:left="2136" w:right="10" w:hanging="696"/>
        <w:rPr>
          <w:lang w:val="en-US"/>
        </w:rPr>
      </w:pPr>
      <w:r>
        <w:rPr>
          <w:lang w:val="en-US"/>
        </w:rPr>
        <w:t xml:space="preserve">Where a </w:t>
      </w:r>
      <w:commentRangeStart w:id="7"/>
      <w:r>
        <w:rPr>
          <w:lang w:val="en-US"/>
        </w:rPr>
        <w:t xml:space="preserve">Change of Registrant </w:t>
      </w:r>
      <w:r>
        <w:rPr>
          <w:lang w:val="en-US"/>
        </w:rPr>
      </w:r>
      <w:commentRangeEnd w:id="7"/>
      <w:r>
        <w:commentReference w:id="7"/>
      </w:r>
      <w:r>
        <w:rPr>
          <w:lang w:val="en-US"/>
        </w:rPr>
        <w:t xml:space="preserve">(as defined under ICANN’s Transfer Policy, as such policy is amended or modified) occurs during the process of de-Accreditation of Provider, a Registrar should lift the mandatory 60-day lock at the express </w:t>
      </w:r>
      <w:commentRangeStart w:id="8"/>
      <w:r>
        <w:rPr>
          <w:lang w:val="en-US"/>
        </w:rPr>
        <w:t>request of the Customer,</w:t>
      </w:r>
      <w:r>
        <w:rPr>
          <w:lang w:val="en-US"/>
        </w:rPr>
      </w:r>
      <w:commentRangeEnd w:id="8"/>
      <w:r>
        <w:commentReference w:id="8"/>
      </w:r>
      <w:r>
        <w:rPr>
          <w:lang w:val="en-US"/>
        </w:rPr>
        <w:t xml:space="preserve"> provided that the Registrar sponsoring the Registered Name for which Provider is providing Services to such Customer has also been notified of the de-Accreditation of Provider. </w:t>
      </w:r>
    </w:p>
    <w:p>
      <w:pPr>
        <w:pStyle w:val="Normal"/>
        <w:numPr>
          <w:ilvl w:val="2"/>
          <w:numId w:val="2"/>
        </w:numPr>
        <w:ind w:left="2136" w:right="10" w:hanging="696"/>
        <w:rPr>
          <w:lang w:val="en-US"/>
        </w:rPr>
      </w:pPr>
      <w:r>
        <w:rPr>
          <w:lang w:val="en-US"/>
        </w:rPr>
        <w:t xml:space="preserve">Provider should facilitate and not hinder (a) a Customer’s request to transfer, renew or restore a domain name for which Provider is or was providing Services to such Customer, including a renewal during a Redemption Grace Period under ICANN’s Expired Registration Recovery Policy (as such policy is be amended or modified) and (b) transfers of a Registered Name from the sponsoring Registrar to another Registrar. </w:t>
      </w:r>
    </w:p>
    <w:p>
      <w:pPr>
        <w:pStyle w:val="Normal"/>
        <w:numPr>
          <w:ilvl w:val="2"/>
          <w:numId w:val="2"/>
        </w:numPr>
        <w:ind w:left="2136" w:right="10" w:hanging="696"/>
        <w:rPr>
          <w:lang w:val="en-US"/>
        </w:rPr>
      </w:pPr>
      <w:r>
        <w:rPr>
          <w:lang w:val="en-US"/>
        </w:rPr>
        <w:t xml:space="preserve">Providers should use commercially reasonable efforts to avoid the need to disclose underlying Customer data in the process of renewing, transferring or restoring a domain name.  </w:t>
      </w:r>
    </w:p>
    <w:p>
      <w:pPr>
        <w:pStyle w:val="Normal"/>
        <w:numPr>
          <w:ilvl w:val="1"/>
          <w:numId w:val="2"/>
        </w:numPr>
        <w:spacing w:lineRule="auto" w:line="249"/>
        <w:ind w:left="1529" w:right="10" w:hanging="809"/>
        <w:rPr/>
      </w:pPr>
      <w:commentRangeStart w:id="9"/>
      <w:r>
        <w:rPr>
          <w:u w:val="single" w:color="000000"/>
        </w:rPr>
        <w:t>Record Keeping</w:t>
      </w:r>
      <w:r>
        <w:rPr/>
        <w:t xml:space="preserve">. </w:t>
      </w:r>
      <w:commentRangeEnd w:id="9"/>
      <w:r>
        <w:commentReference w:id="9"/>
      </w:r>
      <w:r>
        <w:rPr/>
      </w:r>
    </w:p>
    <w:p>
      <w:pPr>
        <w:pStyle w:val="Normal"/>
        <w:numPr>
          <w:ilvl w:val="2"/>
          <w:numId w:val="2"/>
        </w:numPr>
        <w:ind w:left="2136" w:right="10" w:hanging="696"/>
        <w:rPr>
          <w:lang w:val="en-US"/>
        </w:rPr>
      </w:pPr>
      <w:r>
        <w:rPr>
          <w:lang w:val="en-US"/>
        </w:rPr>
        <w:t xml:space="preserve">Provider should maintain statistics on the number of Publication and Disclosure requests received from Requesters, and the number of actual Publications and Disclosure as a result of such requests. </w:t>
      </w:r>
    </w:p>
    <w:p>
      <w:pPr>
        <w:pStyle w:val="Normal"/>
        <w:numPr>
          <w:ilvl w:val="2"/>
          <w:numId w:val="2"/>
        </w:numPr>
        <w:ind w:left="2136" w:right="10" w:hanging="696"/>
        <w:rPr>
          <w:lang w:val="en-US"/>
        </w:rPr>
      </w:pPr>
      <w:r>
        <w:rPr>
          <w:lang w:val="en-US"/>
        </w:rPr>
        <w:t xml:space="preserve">Providers should provide these statistics in aggregate form to ICANN for periodic publication, in the form specified by ICANN as may be amended or modified from time to time. </w:t>
      </w:r>
    </w:p>
    <w:p>
      <w:pPr>
        <w:pStyle w:val="Normal"/>
        <w:numPr>
          <w:ilvl w:val="1"/>
          <w:numId w:val="2"/>
        </w:numPr>
        <w:ind w:left="1529" w:right="10" w:hanging="809"/>
        <w:rPr>
          <w:lang w:val="en-US"/>
        </w:rPr>
      </w:pPr>
      <w:r>
        <w:rPr>
          <w:u w:val="single" w:color="000000"/>
          <w:lang w:val="en-US"/>
        </w:rPr>
        <w:t>Notice of Bankruptcy, Convictions and Security Breaches</w:t>
      </w:r>
      <w:r>
        <w:rPr>
          <w:lang w:val="en-US"/>
        </w:rPr>
        <w:t xml:space="preserve">. Provider will give ICANN notice within seven (7) days of (a) the commencement of any of the proceedings referenced in Section 5.5.8, (b) the occurrence of any of the matters specified in Section 5.5.2 or Section 5.5.3 or (c) any unauthorized access to or disclosure of Customer account information or registration data. The notice required pursuant to Subsection (c) shall include a detailed description of the type of unauthorized access, how it occurred, the number of Customers affected, and any action taken by Provider in response. </w:t>
      </w:r>
    </w:p>
    <w:p>
      <w:pPr>
        <w:pStyle w:val="Normal"/>
        <w:numPr>
          <w:ilvl w:val="1"/>
          <w:numId w:val="2"/>
        </w:numPr>
        <w:spacing w:before="0" w:after="0"/>
        <w:ind w:left="1529" w:right="10" w:hanging="809"/>
        <w:rPr>
          <w:lang w:val="en-US"/>
        </w:rPr>
      </w:pPr>
      <w:r>
        <w:rPr>
          <w:u w:val="single" w:color="000000"/>
          <w:lang w:val="en-US"/>
        </w:rPr>
        <w:t>Obligations of Providers Affiliated with Registrars</w:t>
      </w:r>
      <w:r>
        <w:rPr>
          <w:lang w:val="en-US"/>
        </w:rPr>
        <w:t xml:space="preserve">. In the event Provider is Affiliated with any Affiliated Provider or Affiliated Registrar (an “Affiliated </w:t>
      </w:r>
    </w:p>
    <w:p>
      <w:pPr>
        <w:pStyle w:val="Normal"/>
        <w:ind w:left="0" w:right="10" w:hanging="10"/>
        <w:rPr>
          <w:lang w:val="en-US"/>
        </w:rPr>
      </w:pPr>
      <w:r>
        <w:rPr>
          <w:lang w:val="en-US"/>
        </w:rPr>
        <w:t xml:space="preserve">Relationship”) during the Term of this Agreement, Provider shall comply with all Specifications and Policies that may be developed from time to time with respect to such Affiliated Relationships, and will notify ICANN within thirty (30) days of the occurrence of the event that created the Affiliate Relationship (e.g., the closing of any merger, acquisition or other transaction, or the execution of any agreement, in each case, giving rise to such Affiliated Relationship).  </w:t>
      </w:r>
    </w:p>
    <w:p>
      <w:pPr>
        <w:pStyle w:val="Normal"/>
        <w:numPr>
          <w:ilvl w:val="0"/>
          <w:numId w:val="2"/>
        </w:numPr>
        <w:spacing w:lineRule="auto" w:line="247" w:before="0" w:after="258"/>
        <w:ind w:left="432" w:hanging="432"/>
        <w:rPr>
          <w:lang w:val="en-US"/>
        </w:rPr>
      </w:pPr>
      <w:r>
        <w:rPr>
          <w:b/>
          <w:lang w:val="en-US"/>
        </w:rPr>
        <w:t xml:space="preserve">PROCEDURES FOR ESTABLISHMENT OR REVISION OF SPECIFICATIONS AND POLICIES. </w:t>
      </w:r>
    </w:p>
    <w:p>
      <w:pPr>
        <w:pStyle w:val="Normal"/>
        <w:numPr>
          <w:ilvl w:val="1"/>
          <w:numId w:val="2"/>
        </w:numPr>
        <w:spacing w:lineRule="auto" w:line="249" w:before="0" w:after="9"/>
        <w:ind w:left="1529" w:right="10" w:hanging="809"/>
        <w:rPr/>
      </w:pPr>
      <w:r>
        <w:rPr>
          <w:u w:val="single" w:color="000000"/>
          <w:lang w:val="en-US"/>
        </w:rPr>
        <w:t>Compliance with Consensus Policies and Temporary Policies</w:t>
      </w:r>
      <w:r>
        <w:rPr>
          <w:lang w:val="en-US"/>
        </w:rPr>
        <w:t xml:space="preserve">. </w:t>
      </w:r>
      <w:r>
        <w:rPr/>
        <w:t xml:space="preserve">During the </w:t>
      </w:r>
    </w:p>
    <w:p>
      <w:pPr>
        <w:pStyle w:val="Normal"/>
        <w:ind w:left="0" w:right="10" w:hanging="10"/>
        <w:rPr>
          <w:lang w:val="en-US"/>
        </w:rPr>
      </w:pPr>
      <w:r>
        <w:rPr>
          <w:lang w:val="en-US"/>
        </w:rPr>
        <w:t xml:space="preserve">Term of this Agreement, Provider shall comply with and implement all Consensus Policies and Temporary Policies in existence as of the Effective Date found at http://www.icann.org/general/consensus-policies.htm, and as may in the future be developed and adopted in accordance with ICANN’s Bylaws, provided such future Consensus Policies and Temporary Policies are adopted in accordance with the procedures and relate to those topics and subject to those limitations set forth in the Consensus Policies and Temporary Policies Specification to this Agreement. </w:t>
      </w:r>
    </w:p>
    <w:p>
      <w:pPr>
        <w:pStyle w:val="Normal"/>
        <w:numPr>
          <w:ilvl w:val="0"/>
          <w:numId w:val="2"/>
        </w:numPr>
        <w:spacing w:lineRule="auto" w:line="247" w:before="0" w:after="258"/>
        <w:ind w:left="432" w:hanging="432"/>
        <w:rPr>
          <w:lang w:val="en-US"/>
        </w:rPr>
      </w:pPr>
      <w:r>
        <w:rPr>
          <w:b/>
          <w:lang w:val="en-US"/>
        </w:rPr>
        <w:t xml:space="preserve">TERM, TERMINATION AND DISPUTE RESOLUTION. </w:t>
      </w:r>
    </w:p>
    <w:p>
      <w:pPr>
        <w:pStyle w:val="Normal"/>
        <w:numPr>
          <w:ilvl w:val="1"/>
          <w:numId w:val="2"/>
        </w:numPr>
        <w:ind w:left="1529" w:right="10" w:hanging="809"/>
        <w:rPr>
          <w:lang w:val="en-US"/>
        </w:rPr>
      </w:pPr>
      <w:r>
        <w:rPr>
          <w:u w:val="single" w:color="000000"/>
          <w:lang w:val="en-US"/>
        </w:rPr>
        <w:t>Term of Agreement</w:t>
      </w:r>
      <w:r>
        <w:rPr>
          <w:lang w:val="en-US"/>
        </w:rPr>
        <w:t xml:space="preserve">. This Agreement shall be effective on the Effective Date and shall have an initial term running until the five year anniversary of the Effective Date (the “Expiration Date”), unless sooner terminated.  </w:t>
      </w:r>
    </w:p>
    <w:p>
      <w:pPr>
        <w:pStyle w:val="Normal"/>
        <w:numPr>
          <w:ilvl w:val="1"/>
          <w:numId w:val="2"/>
        </w:numPr>
        <w:ind w:left="1529" w:right="10" w:hanging="809"/>
        <w:rPr>
          <w:lang w:val="en-US"/>
        </w:rPr>
      </w:pPr>
      <w:r>
        <w:rPr>
          <w:u w:val="single" w:color="000000"/>
          <w:lang w:val="en-US"/>
        </w:rPr>
        <w:t>Renewal</w:t>
      </w:r>
      <w:r>
        <w:rPr>
          <w:lang w:val="en-US"/>
        </w:rPr>
        <w:t xml:space="preserve">. This Agreement and Provider’s Accreditation will be renewed for successive periods of five (5) years upon the Expiration Date and the expiration of each successive five-year term thereafter under the terms and conditions of this Agreement, unless: </w:t>
      </w:r>
    </w:p>
    <w:p>
      <w:pPr>
        <w:pStyle w:val="Normal"/>
        <w:numPr>
          <w:ilvl w:val="2"/>
          <w:numId w:val="2"/>
        </w:numPr>
        <w:ind w:left="2136" w:right="10" w:hanging="696"/>
        <w:rPr>
          <w:lang w:val="en-US"/>
        </w:rPr>
      </w:pPr>
      <w:r>
        <w:rPr>
          <w:lang w:val="en-US"/>
        </w:rPr>
        <w:t xml:space="preserve">at the time of such renewal, Provider no longer meets the ICANN provider Accreditation criteria then in effect;  </w:t>
      </w:r>
    </w:p>
    <w:p>
      <w:pPr>
        <w:pStyle w:val="Normal"/>
        <w:numPr>
          <w:ilvl w:val="2"/>
          <w:numId w:val="2"/>
        </w:numPr>
        <w:spacing w:before="0" w:after="0"/>
        <w:ind w:left="2136" w:right="10" w:hanging="696"/>
        <w:rPr>
          <w:lang w:val="en-US"/>
        </w:rPr>
      </w:pPr>
      <w:r>
        <w:rPr>
          <w:lang w:val="en-US"/>
        </w:rPr>
        <w:t xml:space="preserve">Provider is not in compliance with its obligations under this Agreement at the time of the Expiration Date or at the expiration of any successive five </w:t>
      </w:r>
    </w:p>
    <w:p>
      <w:pPr>
        <w:pStyle w:val="Normal"/>
        <w:ind w:left="730" w:right="10" w:hanging="10"/>
        <w:rPr/>
      </w:pPr>
      <w:r>
        <w:rPr/>
        <w:t xml:space="preserve">(5) year term thereafter;  </w:t>
      </w:r>
    </w:p>
    <w:p>
      <w:pPr>
        <w:pStyle w:val="Normal"/>
        <w:numPr>
          <w:ilvl w:val="2"/>
          <w:numId w:val="2"/>
        </w:numPr>
        <w:ind w:left="2136" w:right="10" w:hanging="696"/>
        <w:rPr>
          <w:lang w:val="en-US"/>
        </w:rPr>
      </w:pPr>
      <w:r>
        <w:rPr>
          <w:lang w:val="en-US"/>
        </w:rPr>
        <w:t xml:space="preserve">Provider has been given notice by ICANN of three (3) or more material breaches of this Agreement within the two (2) years preceding the Expiration Date or the date of expiration of any successive five (5) year term thereafter; or </w:t>
      </w:r>
    </w:p>
    <w:p>
      <w:pPr>
        <w:pStyle w:val="Normal"/>
        <w:numPr>
          <w:ilvl w:val="2"/>
          <w:numId w:val="2"/>
        </w:numPr>
        <w:spacing w:before="0" w:after="229"/>
        <w:ind w:left="2136" w:right="10" w:hanging="696"/>
        <w:rPr>
          <w:lang w:val="en-US"/>
        </w:rPr>
      </w:pPr>
      <w:r>
        <w:rPr>
          <w:lang w:val="en-US"/>
        </w:rPr>
        <w:t xml:space="preserve">this Agreement has terminated prior to the Expiration Date or the expiration date of any successive five (5) year term thereafter. </w:t>
      </w:r>
    </w:p>
    <w:p>
      <w:pPr>
        <w:pStyle w:val="Normal"/>
        <w:ind w:left="0" w:right="10" w:hanging="10"/>
        <w:rPr>
          <w:lang w:val="en-US"/>
        </w:rPr>
      </w:pPr>
      <w:r>
        <w:rPr>
          <w:lang w:val="en-US"/>
        </w:rPr>
        <w:t xml:space="preserve">In the event Provider intends to renew this Agreement pursuant to this Section 5.2, Provider shall provide ICANN written notice thereof during the period that is no more than ninety (90) days and no less than sixty (60) days prior to the Expiration Date and each successive five (5) year term thereafter. The provision of such notice shall not be a condition to renewal hereunder. Pursuant to its customary practices (as may be modified by ICANN), ICANN will provide notice to Provider of the Expiration Date and the date of expiration of any subsequent term hereunder. </w:t>
      </w:r>
    </w:p>
    <w:p>
      <w:pPr>
        <w:pStyle w:val="Normal"/>
        <w:numPr>
          <w:ilvl w:val="1"/>
          <w:numId w:val="2"/>
        </w:numPr>
        <w:ind w:left="1529" w:right="10" w:hanging="809"/>
        <w:rPr>
          <w:lang w:val="en-US"/>
        </w:rPr>
      </w:pPr>
      <w:r>
        <w:rPr>
          <w:u w:val="single" w:color="000000"/>
          <w:lang w:val="en-US"/>
        </w:rPr>
        <w:t>Right to Substitute Updated Agreement</w:t>
      </w:r>
      <w:r>
        <w:rPr>
          <w:lang w:val="en-US"/>
        </w:rPr>
        <w:t xml:space="preserve">. In the event that, during the term of this Agreement, ICANN adopts a revised form accreditation agreement for the provision of the Services (the “Updated PPAA”), Provider (provided Provider has not received (a) a notice of breach that it has not cured or (b) a notice of termination or suspension of this Agreement under this Section 5) may elect, by giving ICANN written notice, to enter into the Updated PPAA. In the event of such election, Provider and ICANN shall as soon as practicable enter into the Updated PPAA for the term specified in the Updated PPAA, and this Agreement will be deemed terminated.  </w:t>
      </w:r>
    </w:p>
    <w:p>
      <w:pPr>
        <w:pStyle w:val="Normal"/>
        <w:numPr>
          <w:ilvl w:val="1"/>
          <w:numId w:val="2"/>
        </w:numPr>
        <w:ind w:left="1529" w:right="10" w:hanging="809"/>
        <w:rPr>
          <w:lang w:val="en-US"/>
        </w:rPr>
      </w:pPr>
      <w:r>
        <w:rPr>
          <w:u w:val="single" w:color="000000"/>
          <w:lang w:val="en-US"/>
        </w:rPr>
        <w:t>Termination of Agreement by Provider</w:t>
      </w:r>
      <w:r>
        <w:rPr>
          <w:lang w:val="en-US"/>
        </w:rPr>
        <w:t xml:space="preserve">. This Agreement may be terminated before its expiration by Provider by giving ICANN thirty (30) days advanced written notice. Upon such termination by Provider, Provider shall not be entitled to any refund of fees paid to ICANN pursuant to this Agreement.  </w:t>
      </w:r>
    </w:p>
    <w:p>
      <w:pPr>
        <w:pStyle w:val="Normal"/>
        <w:numPr>
          <w:ilvl w:val="1"/>
          <w:numId w:val="2"/>
        </w:numPr>
        <w:ind w:left="1529" w:right="10" w:hanging="809"/>
        <w:rPr>
          <w:lang w:val="en-US"/>
        </w:rPr>
      </w:pPr>
      <w:r>
        <w:rPr>
          <w:u w:val="single" w:color="000000"/>
          <w:lang w:val="en-US"/>
        </w:rPr>
        <w:t>Termination of Agreement by ICANN</w:t>
      </w:r>
      <w:r>
        <w:rPr>
          <w:lang w:val="en-US"/>
        </w:rPr>
        <w:t xml:space="preserve">. This Agreement may be terminated before its expiration by ICANN in any of the following circumstances: </w:t>
      </w:r>
    </w:p>
    <w:p>
      <w:pPr>
        <w:pStyle w:val="Normal"/>
        <w:numPr>
          <w:ilvl w:val="2"/>
          <w:numId w:val="2"/>
        </w:numPr>
        <w:ind w:left="2136" w:right="10" w:hanging="696"/>
        <w:rPr>
          <w:lang w:val="en-US"/>
        </w:rPr>
      </w:pPr>
      <w:r>
        <w:rPr>
          <w:lang w:val="en-US"/>
        </w:rPr>
        <w:t xml:space="preserve">There was a material misrepresentation, material inaccuracy, or materially misleading statement in Provider’s application for Accreditation or renewal of Accreditation or any material accompanying the application. </w:t>
      </w:r>
    </w:p>
    <w:p>
      <w:pPr>
        <w:pStyle w:val="Normal"/>
        <w:numPr>
          <w:ilvl w:val="2"/>
          <w:numId w:val="2"/>
        </w:numPr>
        <w:ind w:left="2136" w:right="10" w:hanging="696"/>
        <w:rPr/>
      </w:pPr>
      <w:r>
        <w:rPr/>
        <w:t xml:space="preserve">Provider: </w:t>
      </w:r>
    </w:p>
    <w:p>
      <w:pPr>
        <w:pStyle w:val="Normal"/>
        <w:numPr>
          <w:ilvl w:val="3"/>
          <w:numId w:val="2"/>
        </w:numPr>
        <w:ind w:left="3025" w:right="10" w:hanging="865"/>
        <w:rPr>
          <w:lang w:val="en-US"/>
        </w:rPr>
      </w:pPr>
      <w:r>
        <w:rPr>
          <w:lang w:val="en-US"/>
        </w:rPr>
        <w:t xml:space="preserve">is convicted by a court of competent jurisdiction of a felony or other serious offense related to financial activities, or is judged by a court of competent jurisdiction to have:  </w:t>
      </w:r>
    </w:p>
    <w:p>
      <w:pPr>
        <w:pStyle w:val="Normal"/>
        <w:numPr>
          <w:ilvl w:val="4"/>
          <w:numId w:val="2"/>
        </w:numPr>
        <w:ind w:left="3169" w:right="10" w:hanging="1008"/>
        <w:rPr/>
      </w:pPr>
      <w:r>
        <w:rPr/>
        <w:t xml:space="preserve">committed fraud,  </w:t>
      </w:r>
    </w:p>
    <w:p>
      <w:pPr>
        <w:pStyle w:val="Normal"/>
        <w:numPr>
          <w:ilvl w:val="4"/>
          <w:numId w:val="2"/>
        </w:numPr>
        <w:ind w:left="3169" w:right="10" w:hanging="1008"/>
        <w:rPr>
          <w:lang w:val="en-US"/>
        </w:rPr>
      </w:pPr>
      <w:r>
        <w:rPr>
          <w:lang w:val="en-US"/>
        </w:rPr>
        <w:t xml:space="preserve">committed a breach of fiduciary duty, or  </w:t>
      </w:r>
    </w:p>
    <w:p>
      <w:pPr>
        <w:pStyle w:val="Normal"/>
        <w:numPr>
          <w:ilvl w:val="4"/>
          <w:numId w:val="2"/>
        </w:numPr>
        <w:ind w:left="3169" w:right="10" w:hanging="1008"/>
        <w:rPr>
          <w:lang w:val="en-US"/>
        </w:rPr>
      </w:pPr>
      <w:r>
        <w:rPr>
          <w:lang w:val="en-US"/>
        </w:rPr>
        <w:t xml:space="preserve">with actual knowledge (or through gross negligence) permitted Illegal Activity in the registration or use of domain names or in the provision to Provider by any Customer of inaccurate WHOIS or Customer information; or </w:t>
      </w:r>
    </w:p>
    <w:p>
      <w:pPr>
        <w:pStyle w:val="Normal"/>
        <w:numPr>
          <w:ilvl w:val="4"/>
          <w:numId w:val="2"/>
        </w:numPr>
        <w:spacing w:before="0" w:after="0"/>
        <w:ind w:left="3169" w:right="10" w:hanging="1008"/>
        <w:rPr>
          <w:lang w:val="en-US"/>
        </w:rPr>
      </w:pPr>
      <w:r>
        <w:rPr>
          <w:lang w:val="en-US"/>
        </w:rPr>
        <w:t xml:space="preserve">failed to comply with the terms of an order issued by a court of competent jurisdiction relating to the use of a </w:t>
      </w:r>
    </w:p>
    <w:p>
      <w:pPr>
        <w:pStyle w:val="Normal"/>
        <w:spacing w:before="0" w:after="225"/>
        <w:ind w:left="2171" w:right="10" w:hanging="10"/>
        <w:rPr>
          <w:lang w:val="en-US"/>
        </w:rPr>
      </w:pPr>
      <w:r>
        <w:rPr>
          <w:lang w:val="en-US"/>
        </w:rPr>
        <w:t xml:space="preserve">Registered Name for which Provider is Providing the Services; </w:t>
      </w:r>
    </w:p>
    <w:p>
      <w:pPr>
        <w:pStyle w:val="Normal"/>
        <w:ind w:left="1450" w:right="10" w:hanging="10"/>
        <w:rPr>
          <w:lang w:val="en-US"/>
        </w:rPr>
      </w:pPr>
      <w:r>
        <w:rPr>
          <w:lang w:val="en-US"/>
        </w:rPr>
        <w:t xml:space="preserve">or is the subject of a judicial determination that ICANN reasonably deems as the substantive equivalent of any of the foregoing; or  </w:t>
      </w:r>
    </w:p>
    <w:p>
      <w:pPr>
        <w:pStyle w:val="Normal"/>
        <w:numPr>
          <w:ilvl w:val="3"/>
          <w:numId w:val="2"/>
        </w:numPr>
        <w:ind w:left="3025" w:right="10" w:hanging="865"/>
        <w:rPr>
          <w:lang w:val="en-US"/>
        </w:rPr>
      </w:pPr>
      <w:r>
        <w:rPr>
          <w:lang w:val="en-US"/>
        </w:rPr>
        <w:t xml:space="preserve">is disciplined by the government of its domicile for conduct involving dishonesty or misuse of funds of others; or </w:t>
      </w:r>
    </w:p>
    <w:p>
      <w:pPr>
        <w:pStyle w:val="Normal"/>
        <w:numPr>
          <w:ilvl w:val="3"/>
          <w:numId w:val="2"/>
        </w:numPr>
        <w:ind w:left="3025" w:right="10" w:hanging="865"/>
        <w:rPr>
          <w:lang w:val="en-US"/>
        </w:rPr>
      </w:pPr>
      <w:r>
        <w:rPr>
          <w:lang w:val="en-US"/>
        </w:rPr>
        <w:t xml:space="preserve">is the subject of a non-interlocutory order issued by a court or arbitral tribunal, in each case of competent jurisdiction, finding that Provider has, directly or through an Affiliate, committed a specific violation(s) of applicable national law or governmental regulation relating to cybersquatting or its equivalent; or </w:t>
      </w:r>
    </w:p>
    <w:p>
      <w:pPr>
        <w:pStyle w:val="Normal"/>
        <w:numPr>
          <w:ilvl w:val="3"/>
          <w:numId w:val="2"/>
        </w:numPr>
        <w:ind w:left="3025" w:right="10" w:hanging="865"/>
        <w:rPr>
          <w:lang w:val="en-US"/>
        </w:rPr>
      </w:pPr>
      <w:r>
        <w:rPr>
          <w:lang w:val="en-US"/>
        </w:rPr>
        <w:t xml:space="preserve">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Customer has no rights or legitimate interest, which trademarks have been registered and are being used in bad faith. </w:t>
      </w:r>
    </w:p>
    <w:p>
      <w:pPr>
        <w:pStyle w:val="Normal"/>
        <w:numPr>
          <w:ilvl w:val="2"/>
          <w:numId w:val="2"/>
        </w:numPr>
        <w:ind w:left="2136" w:right="10" w:hanging="696"/>
        <w:rPr>
          <w:lang w:val="en-US"/>
        </w:rPr>
      </w:pPr>
      <w:r>
        <w:rPr>
          <w:lang w:val="en-US"/>
        </w:rPr>
        <w:t xml:space="preserve">Provider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Provider’s knowledge of the foregoing; or any member of Provider’s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Provider’s board of directors or similar governing body within thirty (30) days of Provider’s knowledge of the foregoing.  </w:t>
      </w:r>
    </w:p>
    <w:p>
      <w:pPr>
        <w:pStyle w:val="Normal"/>
        <w:numPr>
          <w:ilvl w:val="2"/>
          <w:numId w:val="2"/>
        </w:numPr>
        <w:spacing w:before="0" w:after="11"/>
        <w:ind w:left="2136" w:right="10" w:hanging="696"/>
        <w:rPr>
          <w:lang w:val="en-US"/>
        </w:rPr>
      </w:pPr>
      <w:r>
        <w:rPr>
          <w:lang w:val="en-US"/>
        </w:rPr>
        <w:t xml:space="preserve">Provider fails to cure any breach of this Agreement within twenty-one </w:t>
      </w:r>
    </w:p>
    <w:p>
      <w:pPr>
        <w:pStyle w:val="Normal"/>
        <w:ind w:left="730" w:right="10" w:hanging="10"/>
        <w:rPr>
          <w:lang w:val="en-US"/>
        </w:rPr>
      </w:pPr>
      <w:r>
        <w:rPr>
          <w:lang w:val="en-US"/>
        </w:rPr>
        <w:t xml:space="preserve">(21) days after ICANN gives Provider notice of the breach. </w:t>
      </w:r>
    </w:p>
    <w:p>
      <w:pPr>
        <w:pStyle w:val="Normal"/>
        <w:numPr>
          <w:ilvl w:val="2"/>
          <w:numId w:val="2"/>
        </w:numPr>
        <w:ind w:left="2136" w:right="10" w:hanging="696"/>
        <w:rPr>
          <w:lang w:val="en-US"/>
        </w:rPr>
      </w:pPr>
      <w:r>
        <w:rPr>
          <w:lang w:val="en-US"/>
        </w:rPr>
        <w:t xml:space="preserve">Provider fails to comply with a ruling granting specific performance under Sections 5.7 or 7.1. </w:t>
      </w:r>
    </w:p>
    <w:p>
      <w:pPr>
        <w:pStyle w:val="Normal"/>
        <w:numPr>
          <w:ilvl w:val="2"/>
          <w:numId w:val="2"/>
        </w:numPr>
        <w:ind w:left="2136" w:right="10" w:hanging="696"/>
        <w:rPr>
          <w:lang w:val="en-US"/>
        </w:rPr>
      </w:pPr>
      <w:r>
        <w:rPr>
          <w:lang w:val="en-US"/>
        </w:rPr>
        <w:t xml:space="preserve">Provider has been in fundamental and material breach of its obligations under this Agreement at least three (3) times within a twelve (12) month period. </w:t>
      </w:r>
    </w:p>
    <w:p>
      <w:pPr>
        <w:pStyle w:val="Normal"/>
        <w:numPr>
          <w:ilvl w:val="2"/>
          <w:numId w:val="2"/>
        </w:numPr>
        <w:ind w:left="2136" w:right="10" w:hanging="696"/>
        <w:rPr>
          <w:lang w:val="en-US"/>
        </w:rPr>
      </w:pPr>
      <w:r>
        <w:rPr>
          <w:lang w:val="en-US"/>
        </w:rPr>
        <w:t xml:space="preserve">Provider continues acting in a manner that ICANN has reasonably determined endangers the stability or operational integrity of the Internet after receiving three (3) days notice of that determination. </w:t>
      </w:r>
    </w:p>
    <w:p>
      <w:pPr>
        <w:pStyle w:val="Normal"/>
        <w:numPr>
          <w:ilvl w:val="2"/>
          <w:numId w:val="2"/>
        </w:numPr>
        <w:ind w:left="2136" w:right="10" w:hanging="696"/>
        <w:rPr>
          <w:lang w:val="en-US"/>
        </w:rPr>
      </w:pPr>
      <w:r>
        <w:rPr>
          <w:lang w:val="en-US"/>
        </w:rPr>
        <w:t xml:space="preserve">(a) Provider makes an assignment for the benefit of creditors or similar act; (b) attachment, garnishment or similar proceedings are commenced against Provider, which proceedings are a material threat to Provider’s ability to provide the Services, and are not dismissed within sixty (60) calendar days of their commencement; (c) a trustee, receiver, liquidator or equivalent is appointed in place of Provider or maintains control over any of Provider’s property; (d) execution is levied upon any material property of Property, (e) proceedings are instituted by or against Provider under any bankruptcy, insolvency, reorganization or other laws relating to the relief of debtors and such proceedings are not dismissed within sixty (60) calendar days of their commencement, or (f) Provider files for protection under the United States Bankruptcy Code, 11 U.S.C. Section 101 et seq., or a foreign equivalent or liquidates, dissolves or otherwise discontinues its operations. </w:t>
      </w:r>
    </w:p>
    <w:p>
      <w:pPr>
        <w:pStyle w:val="Normal"/>
        <w:numPr>
          <w:ilvl w:val="1"/>
          <w:numId w:val="2"/>
        </w:numPr>
        <w:ind w:left="1529" w:right="10" w:hanging="809"/>
        <w:rPr>
          <w:lang w:val="en-US"/>
        </w:rPr>
      </w:pPr>
      <w:r>
        <w:rPr>
          <w:u w:val="single" w:color="000000"/>
          <w:lang w:val="en-US"/>
        </w:rPr>
        <w:t>Termination Procedures</w:t>
      </w:r>
      <w:r>
        <w:rPr>
          <w:lang w:val="en-US"/>
        </w:rPr>
        <w:t xml:space="preserve">. This Agreement may be terminated in circumstances described in Subsections 5.5.1 though 5.5.6 above only upon fifteen (15) days written notice to Provider (in the case of Subsection 5.5.4 occurring after Provider’s failure to cure), with Provider being given an opportunity during that time to initiate arbitration under Subsection 5.8 to determine the appropriateness of termination under this Agreement. This Agreement may be terminated immediately upon notice to Provider in circumstances described in Subsections 5.5.7 and 5.5.8. </w:t>
      </w:r>
    </w:p>
    <w:p>
      <w:pPr>
        <w:pStyle w:val="Normal"/>
        <w:numPr>
          <w:ilvl w:val="1"/>
          <w:numId w:val="2"/>
        </w:numPr>
        <w:spacing w:lineRule="auto" w:line="249"/>
        <w:ind w:left="1529" w:right="10" w:hanging="809"/>
        <w:rPr/>
      </w:pPr>
      <w:r>
        <w:rPr>
          <w:u w:val="single" w:color="000000"/>
        </w:rPr>
        <w:t>Suspension</w:t>
      </w:r>
      <w:r>
        <w:rPr/>
        <w:t xml:space="preserve">.  </w:t>
      </w:r>
    </w:p>
    <w:p>
      <w:pPr>
        <w:pStyle w:val="Normal"/>
        <w:numPr>
          <w:ilvl w:val="2"/>
          <w:numId w:val="2"/>
        </w:numPr>
        <w:ind w:left="2136" w:right="10" w:hanging="696"/>
        <w:rPr>
          <w:lang w:val="en-US"/>
        </w:rPr>
      </w:pPr>
      <w:r>
        <w:rPr>
          <w:lang w:val="en-US"/>
        </w:rPr>
        <w:t xml:space="preserve">Upon the occurrence of any of the circumstances set forth in Section 5.5, ICANN may, in ICANN’s sole discretion, upon delivery of a notice pursuant to Subsection 5.7.2, elect to suspend Provider’s Accreditation and ability to provide the Services for any new registrations following the delivery of such notice for a period of up to twelve (12) months following the effectiveness of such suspension. Suspension of a Provider does not preclude ICANN’s ability to issue a notice of termination in accordance with the notice requirements of Section 5.6. </w:t>
      </w:r>
    </w:p>
    <w:p>
      <w:pPr>
        <w:pStyle w:val="Normal"/>
        <w:numPr>
          <w:ilvl w:val="2"/>
          <w:numId w:val="2"/>
        </w:numPr>
        <w:ind w:left="2136" w:right="10" w:hanging="696"/>
        <w:rPr>
          <w:lang w:val="en-US"/>
        </w:rPr>
      </w:pPr>
      <w:r>
        <w:rPr>
          <w:lang w:val="en-US"/>
        </w:rPr>
        <w:t xml:space="preserve">Any suspension under Subsections 5.7.1 will be effective upon fifteen (15) days written notice to Provider, with Provider being given an opportunity during that time to initiate arbitration under Subsection 5.8 to determine the appropriateness of suspension under this Agreement. </w:t>
      </w:r>
    </w:p>
    <w:p>
      <w:pPr>
        <w:pStyle w:val="Normal"/>
        <w:numPr>
          <w:ilvl w:val="2"/>
          <w:numId w:val="2"/>
        </w:numPr>
        <w:ind w:left="2136" w:right="10" w:hanging="696"/>
        <w:rPr>
          <w:lang w:val="en-US"/>
        </w:rPr>
      </w:pPr>
      <w:r>
        <w:rPr>
          <w:lang w:val="en-US"/>
        </w:rPr>
        <w:t xml:space="preserve">Upon suspension, Provider shall notify Customers and other users, by posting a prominent notice on its web site, that it is unable to offer or provide the Services. Provider’s notice shall include a link to the notice of suspension from ICANN. </w:t>
      </w:r>
    </w:p>
    <w:p>
      <w:pPr>
        <w:pStyle w:val="Normal"/>
        <w:numPr>
          <w:ilvl w:val="2"/>
          <w:numId w:val="2"/>
        </w:numPr>
        <w:ind w:left="2136" w:right="10" w:hanging="696"/>
        <w:rPr/>
      </w:pPr>
      <w:r>
        <w:rPr>
          <w:lang w:val="en-US"/>
        </w:rPr>
        <w:t xml:space="preserve">If Provider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5.7.4 may, at ICANN’s sole discretion, preclude Provider from providing the Services. </w:t>
      </w:r>
      <w:r>
        <w:rPr/>
        <w:t xml:space="preserve">Provider must also post the statement specified in Subsection 5.7.3. </w:t>
      </w:r>
    </w:p>
    <w:p>
      <w:pPr>
        <w:pStyle w:val="Normal"/>
        <w:numPr>
          <w:ilvl w:val="1"/>
          <w:numId w:val="2"/>
        </w:numPr>
        <w:ind w:left="1529" w:right="10" w:hanging="809"/>
        <w:rPr>
          <w:lang w:val="en-US"/>
        </w:rPr>
      </w:pPr>
      <w:r>
        <w:rPr>
          <w:u w:val="single" w:color="000000"/>
          <w:lang w:val="en-US"/>
        </w:rPr>
        <w:t>Resolution of Disputes Under this Agreement</w:t>
      </w:r>
      <w:r>
        <w:rPr>
          <w:lang w:val="en-US"/>
        </w:rPr>
        <w:t xml:space="preserve">. Subject to the limitations set forth in Section 6 and Section 7.4, disputes arising under or in connection with this Agreement, including (a) disputes arising from ICANN's failure to renew Provider’s Accreditation and (b) requests for specific performance, shall be resolved in a court of competent jurisdiction or, at the election of either party, by an arbitration conducted as provided in this Subsection 5.8 pursuant to the International Arbitration Rules of the American Arbitration Association (“AAA”). The arbitration shall be conducted in English and shall occur in Los Angeles County, California, USA. Except as set forth in Section 7.4.5, there shall be one (1) arbitrator agreed by the parties from a list of AAA arbitrators, or if parties do not agree on an arbitrator within fifteen (15) days of the AAA request that the parties designate an arbitrator, the AAA shall choose and appoint an arbitrator, paying due regard to the arbitrator’s knowledge of the DNS. The parties shall bear the costs of the arbitration in equal shares, subject to the right of the arbitrator to reallocate the costs in their award as provided in the AAA rules. The parties shall bear their own attorneys' fees in connection with the arbitration, and the arbitrator may not reallocate the attorneys' fees in conjunction with their award. The arbitrator shall render its decision within ninety (90) days of the conclusion of the arbitration hearing. In the event Provider initiates arbitration to contest the appropriateness of termination of this Agreement by ICANN pursuant to Section 5.5 or suspension of Provider by ICANN pursuant to Section 5.7.1, Provider may at the same time request that the arbitrator stay the termination or suspension until the arbitration decision is rendered. The arbitrator shall order a stay: (i) upon showing by Provider that continued operations would not be harmful to consumers or the public interest, or (ii) upon appointment by the arbitrator of a qualified third party to manage the operations of Provider until the arbitration decision is rendered. In furtherance of sub-clause (ii) above, the arbitrator is hereby granted all necessary authority to appoint a qualified thirdparty to manage the operations of Provider upon Provider’s request and if the panel deems it appropriate. In selecting the third-party manager, the arbitrator shall take into consideration, but shall not be bound by, any expressed preferences of Provider. Any order granting a request for a stay must be issued within fourteen (14) days after the filing of the arbitration. If an order granting a request for a stay is not issued within fourteen (14) days, ICANN has the right to proceed with the termination of this Agreement pursuant to Section 5.5 or suspension of the Provider pursuant to Section 5.7.1. In the event Provider initiates arbitration pursuant to and in accordance with ICANN’s Bylaws to contest an Independent Standing Panel's decision  sustaining the ICANN Board of Director's determination that a specification or policy is supported by consensus, Provider may at the same time request that the arbitrator stay the requirement that it comply with the policy until the arbitration decision is rendered, and that request shall have the effect of staying the requirement until the decision or until the arbitrator has granted an ICANN request for lifting of the stay. In all litigation involving ICANN concerning this Agreement (whether in a case where arbitration has not been elected or to enforce an arbitration award), jurisdiction and exclusive venue for such litigation shall be in a court located in Los Angeles, California, USA; however, the parties shall also have the right to enforce a judgment of such a court in any court of competent jurisdiction. For the purpose of aiding the arbitration or preserving the rights of the parties during the pendency of an arbitration, the parties shall have the right to seek temporary or preliminary injunctive relief from the arbitrator or in a court located in Los Angeles, California, USA, which shall not be a waiver of this arbitration agreement. </w:t>
      </w:r>
    </w:p>
    <w:p>
      <w:pPr>
        <w:pStyle w:val="Normal"/>
        <w:numPr>
          <w:ilvl w:val="1"/>
          <w:numId w:val="2"/>
        </w:numPr>
        <w:ind w:left="1529" w:right="10" w:hanging="809"/>
        <w:rPr>
          <w:lang w:val="en-US"/>
        </w:rPr>
      </w:pPr>
      <w:r>
        <w:rPr>
          <w:u w:val="single" w:color="000000"/>
          <w:lang w:val="en-US"/>
        </w:rPr>
        <w:t>Limitations on Monetary Remedies for Violations of this Agreement</w:t>
      </w:r>
      <w:r>
        <w:rPr>
          <w:lang w:val="en-US"/>
        </w:rPr>
        <w:t xml:space="preserve">. ICANN's aggregate monetary liability for violations of this Agreement shall not exceed an amount equal to the Accreditation fees paid by Provider to ICANN under Subsection 3.6 of this Agreement during the preceding twelve-month period. Provider’s monetary liability to ICANN for violations of this Agreement shall be limited to Accreditation fees owing to ICANN under this Agreement and, except in the case of a good faith disagreement concerning the interpretation of this agreement, reasonable payment to ICANN for the reasonable and direct costs including attorneys’ fees, staff time, and other related expenses associated with legitimate efforts to enforce Provider’s compliance with this Agreement and costs incurred by ICANN to respond to or mitigate the negative consequences of such behavior for Customers and the Internet community. In the event of repeated willful material breaches of the Agreement, Provider shall be liable for sanctions of up to five (5) times ICANN's enforcement costs, but otherwise in no event shall either party be liable for special, indirect, incidental, punitive, exemplary, or consequential damages for any violation of this Agreement. </w:t>
      </w:r>
    </w:p>
    <w:p>
      <w:pPr>
        <w:pStyle w:val="Normal"/>
        <w:numPr>
          <w:ilvl w:val="0"/>
          <w:numId w:val="2"/>
        </w:numPr>
        <w:spacing w:lineRule="auto" w:line="247" w:before="0" w:after="258"/>
        <w:ind w:left="432" w:hanging="432"/>
        <w:rPr/>
      </w:pPr>
      <w:r>
        <w:rPr>
          <w:b/>
        </w:rPr>
        <w:t xml:space="preserve">AMENDMENT AND WAIVER. </w:t>
      </w:r>
    </w:p>
    <w:p>
      <w:pPr>
        <w:pStyle w:val="Normal"/>
        <w:numPr>
          <w:ilvl w:val="1"/>
          <w:numId w:val="2"/>
        </w:numPr>
        <w:spacing w:before="0" w:after="11"/>
        <w:ind w:left="1529" w:right="10" w:hanging="809"/>
        <w:rPr>
          <w:lang w:val="en-US"/>
        </w:rPr>
      </w:pPr>
      <w:r>
        <w:rPr>
          <w:lang w:val="en-US"/>
        </w:rPr>
        <w:t xml:space="preserve">If the ICANN Board of Directors determines that an amendment to this </w:t>
      </w:r>
    </w:p>
    <w:p>
      <w:pPr>
        <w:pStyle w:val="Normal"/>
        <w:ind w:left="0" w:right="10" w:hanging="10"/>
        <w:rPr>
          <w:lang w:val="en-US"/>
        </w:rPr>
      </w:pPr>
      <w:r>
        <w:rPr>
          <w:lang w:val="en-US"/>
        </w:rPr>
        <w:t xml:space="preserve">Agreement (including to the Specifications referred to herein, unless such Specifications expressly do not permit amendment thereto) and all other provider agreements between ICANN and the Service Providers (the “Service Provider Agreements”) is desirable (each, a “Special Amendment”), ICANN may adopt a Special Amendment pursuant to the requirements of and process set forth in this Section 6; provided that a Special Amendment may not be a Restricted Amendment.  </w:t>
      </w:r>
    </w:p>
    <w:p>
      <w:pPr>
        <w:pStyle w:val="Normal"/>
        <w:numPr>
          <w:ilvl w:val="1"/>
          <w:numId w:val="2"/>
        </w:numPr>
        <w:ind w:left="1529" w:right="10" w:hanging="809"/>
        <w:rPr>
          <w:lang w:val="en-US"/>
        </w:rPr>
      </w:pPr>
      <w:r>
        <w:rPr>
          <w:lang w:val="en-US"/>
        </w:rPr>
        <w:t xml:space="preserve">Prior to submitting a Special Amendment for Provider Approval, ICANN shall first consult in good faith with the Working Group regarding the form and substance of such Special Amendment. The duration of such consultation shall be reasonably determined by ICANN based on the substance of the Special Amendment. Following such consultation, ICANN may propose the adoption of a Special Amendment by publicly posting such Special Amendment on its website for no less than thirty (30) calendar days (the “Posting Period”) and providing notice of such proposed amendment to the Service Providers in accordance with Section 7.6. ICANN will consider the public comments submitted on a Special Amendment during the Posting Period (including comments submitted by the Service Providers).  </w:t>
      </w:r>
    </w:p>
    <w:p>
      <w:pPr>
        <w:pStyle w:val="Normal"/>
        <w:numPr>
          <w:ilvl w:val="1"/>
          <w:numId w:val="2"/>
        </w:numPr>
        <w:spacing w:before="0" w:after="0"/>
        <w:ind w:left="1529" w:right="10" w:hanging="809"/>
        <w:rPr>
          <w:lang w:val="en-US"/>
        </w:rPr>
      </w:pPr>
      <w:r>
        <w:rPr>
          <w:lang w:val="en-US"/>
        </w:rPr>
        <w:t xml:space="preserve">If, within one hundred eighty (180) calendar days following the expiration of the Posting Period (the “Approval Period”), the ICANN Board of Directors approves a Special Amendment (which may be in a form different than submitted for public comment, but must address the subject matter of the Special Amendment posted for public comment, as modified to reflect or address input from the Working Group and public comments), ICANN shall provide notice of, and submit, such Special Amendment for approval or disapproval by the Service Providers. If, during the sixty (60) calendar day period following the date ICANN provides such notice to the Service Providers, such Special Amendment receives Provider Approval, such </w:t>
      </w:r>
    </w:p>
    <w:p>
      <w:pPr>
        <w:pStyle w:val="Normal"/>
        <w:spacing w:before="0" w:after="11"/>
        <w:ind w:left="0" w:hanging="10"/>
        <w:rPr>
          <w:lang w:val="en-US"/>
        </w:rPr>
      </w:pPr>
      <w:r>
        <w:rPr>
          <w:lang w:val="en-US"/>
        </w:rPr>
        <w:t xml:space="preserve">Special Amendment shall be deemed approved (an “Approved Amendment”) by the </w:t>
      </w:r>
    </w:p>
    <w:p>
      <w:pPr>
        <w:pStyle w:val="Normal"/>
        <w:ind w:left="0" w:right="10" w:hanging="10"/>
        <w:rPr>
          <w:lang w:val="en-US"/>
        </w:rPr>
      </w:pPr>
      <w:r>
        <w:rPr>
          <w:lang w:val="en-US"/>
        </w:rPr>
        <w:t xml:space="preserve">Applicable Registrars, and shall be effective and deemed an amendment to this Agreement on the date that is sixty (60) calendar days following the date ICANN provided notice of the approval of such Approved Amendment to Provider (the “Amendment Effective Date”). In the event that a Special Amendment does not receive Provider Approval, the Special Amendment shall be deemed not approved by the Service Providers (a “Rejected Amendment”). A Rejected Amendment will have no effect on the terms and conditions of this Agreement, except as set forth below. </w:t>
      </w:r>
    </w:p>
    <w:p>
      <w:pPr>
        <w:pStyle w:val="Normal"/>
        <w:numPr>
          <w:ilvl w:val="1"/>
          <w:numId w:val="2"/>
        </w:numPr>
        <w:spacing w:before="0" w:after="11"/>
        <w:ind w:left="1529" w:right="10" w:hanging="809"/>
        <w:rPr>
          <w:lang w:val="en-US"/>
        </w:rPr>
      </w:pPr>
      <w:r>
        <w:rPr>
          <w:lang w:val="en-US"/>
        </w:rPr>
        <w:t xml:space="preserve">If the ICANN Board of Directors reasonably determines that a Rejected </w:t>
      </w:r>
    </w:p>
    <w:p>
      <w:pPr>
        <w:pStyle w:val="Normal"/>
        <w:spacing w:before="0" w:after="11"/>
        <w:ind w:left="0" w:right="10" w:hanging="10"/>
        <w:rPr>
          <w:lang w:val="en-US"/>
        </w:rPr>
      </w:pPr>
      <w:r>
        <w:rPr>
          <w:lang w:val="en-US"/>
        </w:rPr>
        <w:t xml:space="preserve">Amendment falls within the subject matter categories set forth in Section 1.2 of the </w:t>
      </w:r>
    </w:p>
    <w:p>
      <w:pPr>
        <w:pStyle w:val="Normal"/>
        <w:spacing w:before="0" w:after="0"/>
        <w:ind w:left="0" w:right="10" w:hanging="10"/>
        <w:rPr>
          <w:lang w:val="en-US"/>
        </w:rPr>
      </w:pPr>
      <w:r>
        <w:rPr>
          <w:lang w:val="en-US"/>
        </w:rPr>
        <w:t xml:space="preserve">Consensus Policies and Temporary Policies Specification, the ICANN Board of Directors may adopt a resolution (the date such resolution is adopted is referred to herein as the “Resolution Adoption Date”) requesting an Issue Report (as such term is defined in ICANN’s Bylaws) by the GNSO regarding the substance of such Rejected Amendment. The policy development process undertaken by the GNSO pursuant to such requested Issue Report is referred to herein as a “PDP.” If such PDP results in a Final Report supported by a GNSO Supermajority (as defined in ICANN’s Bylaws) that either (i) recommends adoption of the Rejected Amendment as Consensus Policy or (ii) recommends against adoption of the Rejected Amendment as Consensus Policy, and, in the case of (i) above, the ICANN Board of Directors adopts such Consensus Policy, Provider shall comply with its obligations pursuant to Section 4 of this Agreement. In either case, ICANN will abandon the Rejected </w:t>
      </w:r>
    </w:p>
    <w:p>
      <w:pPr>
        <w:pStyle w:val="Normal"/>
        <w:spacing w:before="0" w:after="11"/>
        <w:ind w:left="0" w:right="10" w:hanging="10"/>
        <w:rPr>
          <w:lang w:val="en-US"/>
        </w:rPr>
      </w:pPr>
      <w:r>
        <w:rPr>
          <w:lang w:val="en-US"/>
        </w:rPr>
        <w:t xml:space="preserve">Amendment and it will have no effect on the terms and conditions of this </w:t>
      </w:r>
    </w:p>
    <w:p>
      <w:pPr>
        <w:pStyle w:val="Normal"/>
        <w:spacing w:before="0" w:after="11"/>
        <w:ind w:left="0" w:right="10" w:hanging="10"/>
        <w:rPr>
          <w:lang w:val="en-US"/>
        </w:rPr>
      </w:pPr>
      <w:r>
        <w:rPr>
          <w:lang w:val="en-US"/>
        </w:rPr>
        <w:t xml:space="preserve">Agreement. Notwithstanding the foregoing provisions of this Section 6.4, the ICANN </w:t>
      </w:r>
    </w:p>
    <w:p>
      <w:pPr>
        <w:pStyle w:val="Normal"/>
        <w:ind w:left="0" w:right="10" w:hanging="10"/>
        <w:rPr>
          <w:lang w:val="en-US"/>
        </w:rPr>
      </w:pPr>
      <w:r>
        <w:rPr>
          <w:lang w:val="en-US"/>
        </w:rPr>
        <w:t xml:space="preserve">Board of Directors shall not be required to initiate a PDP with respect to a Rejected Amendment if, at any time in the twelve (12) month period preceding the submission of such Rejected Amendment for Provider Approval pursuant to Section 6.3, the subject matter of such Rejected Amendment was the subject of a concluded or otherwise abandoned or terminated PDP that did not result in a GNSO Supermajority recommendation. </w:t>
      </w:r>
    </w:p>
    <w:p>
      <w:pPr>
        <w:pStyle w:val="Normal"/>
        <w:ind w:left="0" w:right="10" w:hanging="10"/>
        <w:rPr>
          <w:lang w:val="en-US"/>
        </w:rPr>
      </w:pPr>
      <w:r>
        <w:rPr>
          <w:lang w:val="en-US"/>
        </w:rPr>
        <w:t>6.5</w:t>
      </w:r>
      <w:r>
        <w:rPr>
          <w:rFonts w:eastAsia="Arial" w:cs="Arial" w:ascii="Arial" w:hAnsi="Arial"/>
          <w:lang w:val="en-US"/>
        </w:rPr>
        <w:t xml:space="preserve"> </w:t>
        <w:tab/>
      </w:r>
      <w:r>
        <w:rPr>
          <w:lang w:val="en-US"/>
        </w:rPr>
        <w:t xml:space="preserve">If (a) a Rejected Amendment does not fall within the subject matter categories set forth in Section 1.2 of the Consensus Policies and Temporary Policies Specification , (b) the subject matter of a Rejected Amendment was, at any time in the twelve (12) month period preceding the submission of such Rejected Amendment for Provider Approval pursuant to Section 6.3, the subject of a concluded or otherwise abandoned or terminated PDP that did not result in a GNSO Supermajority recommendation, or (c) a PDP does not result in a Final Report supported by a GNSO Supermajority that either (i) recommended adoption of the Rejected Amendment as Consensus Policy or (ii) recommended against adoption of the Rejected Amendment as Consensus Policy (or such PDP has otherwise been abandoned or terminated for any reason), then, in any such case, such Rejected Amendment may still be adopted and become effective in the manner described below. In order for the Rejected Amendment to be adopted, the following requirements must be satisfied: </w:t>
      </w:r>
    </w:p>
    <w:p>
      <w:pPr>
        <w:pStyle w:val="Normal"/>
        <w:ind w:left="730" w:hanging="10"/>
        <w:rPr>
          <w:lang w:val="en-US"/>
        </w:rPr>
      </w:pPr>
      <w:r>
        <w:rPr>
          <w:lang w:val="en-US"/>
        </w:rPr>
        <w:t>6.5.1</w:t>
      </w:r>
      <w:r>
        <w:rPr>
          <w:rFonts w:eastAsia="Arial" w:cs="Arial" w:ascii="Arial" w:hAnsi="Arial"/>
          <w:lang w:val="en-US"/>
        </w:rPr>
        <w:t xml:space="preserve"> </w:t>
      </w:r>
      <w:r>
        <w:rPr>
          <w:lang w:val="en-US"/>
        </w:rPr>
        <w:t xml:space="preserve">the subject matter of the Rejected Amendment must be within the scope of ICANN’s mission and consistent with a balanced application of its core values (as described in ICANN’s Bylaws); </w:t>
      </w:r>
    </w:p>
    <w:p>
      <w:pPr>
        <w:pStyle w:val="Normal"/>
        <w:ind w:left="730" w:right="10" w:hanging="10"/>
        <w:rPr>
          <w:lang w:val="en-US"/>
        </w:rPr>
      </w:pPr>
      <w:r>
        <w:rPr>
          <w:lang w:val="en-US"/>
        </w:rPr>
        <w:t>6.5.2</w:t>
      </w:r>
      <w:r>
        <w:rPr>
          <w:rFonts w:eastAsia="Arial" w:cs="Arial" w:ascii="Arial" w:hAnsi="Arial"/>
          <w:lang w:val="en-US"/>
        </w:rPr>
        <w:t xml:space="preserve"> </w:t>
      </w:r>
      <w:r>
        <w:rPr>
          <w:lang w:val="en-US"/>
        </w:rPr>
        <w:t xml:space="preserve">the Rejected Amendment must be justified by a Substantial and Compelling Reason in the Public Interest, must be likely to promote such interest, taking into account competing public and private interests that are likely to be affected by the Rejected Amendment, and must be narrowly tailored and no broader than reasonably necessary to address such Substantial and Compelling Reason in the Public Interest; </w:t>
      </w:r>
    </w:p>
    <w:p>
      <w:pPr>
        <w:pStyle w:val="Normal"/>
        <w:ind w:left="730" w:right="10" w:hanging="10"/>
        <w:rPr>
          <w:lang w:val="en-US"/>
        </w:rPr>
      </w:pPr>
      <w:r>
        <w:rPr>
          <w:lang w:val="en-US"/>
        </w:rPr>
        <w:t>6.5.3</w:t>
      </w:r>
      <w:r>
        <w:rPr>
          <w:rFonts w:eastAsia="Arial" w:cs="Arial" w:ascii="Arial" w:hAnsi="Arial"/>
          <w:lang w:val="en-US"/>
        </w:rPr>
        <w:t xml:space="preserve"> </w:t>
      </w:r>
      <w:r>
        <w:rPr>
          <w:lang w:val="en-US"/>
        </w:rPr>
        <w:t xml:space="preserve">to the extent the Rejected Amendment prohibits or requires conduct or activities, imposes material costs on the Service Providers, or materially reduces public access to domain name services, the Rejected Amendment must be the least restrictive means reasonably available to address the Substantial and Compelling Reason in the Public Interest; </w:t>
      </w:r>
    </w:p>
    <w:p>
      <w:pPr>
        <w:pStyle w:val="Normal"/>
        <w:ind w:left="730" w:right="10" w:hanging="10"/>
        <w:rPr>
          <w:lang w:val="en-US"/>
        </w:rPr>
      </w:pPr>
      <w:r>
        <w:rPr>
          <w:lang w:val="en-US"/>
        </w:rPr>
        <w:t>6.5.4</w:t>
      </w:r>
      <w:r>
        <w:rPr>
          <w:rFonts w:eastAsia="Arial" w:cs="Arial" w:ascii="Arial" w:hAnsi="Arial"/>
          <w:lang w:val="en-US"/>
        </w:rPr>
        <w:t xml:space="preserve"> </w:t>
      </w:r>
      <w:r>
        <w:rPr>
          <w:lang w:val="en-US"/>
        </w:rPr>
        <w:t xml:space="preserve">the ICANN Board of Directors must submit the Rejected Amendment, along with a written explanation of the reasoning related to its determination that the Rejected Amendment meets the requirements set out in Sections 6.5.1 through 6.5.3 for public comment for a period of no less than thirty (30) calendar days; and </w:t>
      </w:r>
    </w:p>
    <w:p>
      <w:pPr>
        <w:pStyle w:val="Normal"/>
        <w:spacing w:before="0" w:after="0"/>
        <w:ind w:left="730" w:right="10" w:hanging="10"/>
        <w:rPr>
          <w:lang w:val="en-US"/>
        </w:rPr>
      </w:pPr>
      <w:r>
        <w:rPr>
          <w:lang w:val="en-US"/>
        </w:rPr>
        <w:t>6.5.5</w:t>
      </w:r>
      <w:r>
        <w:rPr>
          <w:rFonts w:eastAsia="Arial" w:cs="Arial" w:ascii="Arial" w:hAnsi="Arial"/>
          <w:lang w:val="en-US"/>
        </w:rPr>
        <w:t xml:space="preserve"> </w:t>
      </w:r>
      <w:r>
        <w:rPr>
          <w:lang w:val="en-US"/>
        </w:rPr>
        <w:t xml:space="preserve">following such public comment period, the ICANN Board of Directors must (i) engage in consultation (or direct ICANN management to engage in consultation) with the Working Group, subject matter experts, members of the GNSO, relevant advisory committees and other interested stakeholders with respect to such Rejected Amendment for a period of no less than sixty (60) calendar days; and (ii) following such consultation, reapprove the </w:t>
      </w:r>
    </w:p>
    <w:p>
      <w:pPr>
        <w:pStyle w:val="Normal"/>
        <w:spacing w:before="0" w:after="11"/>
        <w:ind w:left="730" w:right="10" w:hanging="10"/>
        <w:rPr>
          <w:lang w:val="en-US"/>
        </w:rPr>
      </w:pPr>
      <w:r>
        <w:rPr>
          <w:lang w:val="en-US"/>
        </w:rPr>
        <w:t xml:space="preserve">Rejected Amendment (which may be in a form different than submitted for </w:t>
      </w:r>
    </w:p>
    <w:p>
      <w:pPr>
        <w:pStyle w:val="Normal"/>
        <w:spacing w:before="0" w:after="229"/>
        <w:ind w:left="730" w:right="10" w:hanging="10"/>
        <w:rPr>
          <w:lang w:val="en-US"/>
        </w:rPr>
      </w:pPr>
      <w:r>
        <w:rPr>
          <w:lang w:val="en-US"/>
        </w:rPr>
        <w:t xml:space="preserve">Provider Approval, but must address the subject matter of the Rejected Amendment, as modified to reflect or address input from the Working Group and public comments) by the affirmative vote of at least two-thirds of the members of the ICANN Board of Directors eligible to vote on such matter, taking into account any ICANN policy affecting such eligibility, including ICANN’s Conflict of Interest Policy (a “Board Amendment”).  </w:t>
      </w:r>
    </w:p>
    <w:p>
      <w:pPr>
        <w:pStyle w:val="Normal"/>
        <w:ind w:left="190" w:right="10" w:hanging="10"/>
        <w:rPr>
          <w:lang w:val="en-US"/>
        </w:rPr>
      </w:pPr>
      <w:r>
        <w:rPr>
          <w:lang w:val="en-US"/>
        </w:rPr>
        <w:t xml:space="preserve">Such Board Amendment shall, subject to Section 6.6, be deemed an Approved Amendment, and shall be effective and deemed an amendment to this Agreement on the date that is sixty (60) calendar days following the date ICANN provided notice of the approval of such Board Amendment to Provider (which effective date shall be deemed the Amendment Effective Date hereunder). Notwithstanding the foregoing, a Board Amendment may not amend the provider fees charged by ICANN hereunder, or amend this Section 6. </w:t>
      </w:r>
    </w:p>
    <w:p>
      <w:pPr>
        <w:pStyle w:val="Normal"/>
        <w:ind w:left="0" w:right="10" w:hanging="10"/>
        <w:rPr>
          <w:lang w:val="en-US"/>
        </w:rPr>
      </w:pPr>
      <w:r>
        <w:rPr>
          <w:lang w:val="en-US"/>
        </w:rPr>
        <w:t>6.6</w:t>
      </w:r>
      <w:r>
        <w:rPr>
          <w:rFonts w:eastAsia="Arial" w:cs="Arial" w:ascii="Arial" w:hAnsi="Arial"/>
          <w:lang w:val="en-US"/>
        </w:rPr>
        <w:t xml:space="preserve"> </w:t>
        <w:tab/>
      </w:r>
      <w:r>
        <w:rPr>
          <w:lang w:val="en-US"/>
        </w:rPr>
        <w:t xml:space="preserve">Notwithstanding the provisions of Section 6.5, a Board Amendment shall not be deemed an Approved Amendment if, during the thirty (30) calendar day period following the approval by the ICANN Board of Directors of the Board Amendment, the Working Group, on the behalf of the Service Providers, submits to the ICANN Board of Directors an alternative to the Board Amendment (an “Alternative Amendment”) that meets the following requirements: </w:t>
      </w:r>
    </w:p>
    <w:p>
      <w:pPr>
        <w:pStyle w:val="Normal"/>
        <w:ind w:left="730" w:right="10" w:hanging="10"/>
        <w:rPr>
          <w:lang w:val="en-US"/>
        </w:rPr>
      </w:pPr>
      <w:r>
        <w:rPr>
          <w:lang w:val="en-US"/>
        </w:rPr>
        <w:t>6.6.1</w:t>
      </w:r>
      <w:r>
        <w:rPr>
          <w:rFonts w:eastAsia="Arial" w:cs="Arial" w:ascii="Arial" w:hAnsi="Arial"/>
          <w:lang w:val="en-US"/>
        </w:rPr>
        <w:t xml:space="preserve"> </w:t>
      </w:r>
      <w:r>
        <w:rPr>
          <w:lang w:val="en-US"/>
        </w:rPr>
        <w:t xml:space="preserve">sets forth the precise text proposed by the Working Group to amend this Agreement in lieu of the Board Amendment;  </w:t>
      </w:r>
    </w:p>
    <w:p>
      <w:pPr>
        <w:pStyle w:val="Normal"/>
        <w:ind w:left="730" w:right="10" w:hanging="10"/>
        <w:rPr>
          <w:lang w:val="en-US"/>
        </w:rPr>
      </w:pPr>
      <w:r>
        <w:rPr>
          <w:lang w:val="en-US"/>
        </w:rPr>
        <w:t>6.6.2</w:t>
      </w:r>
      <w:r>
        <w:rPr>
          <w:rFonts w:eastAsia="Arial" w:cs="Arial" w:ascii="Arial" w:hAnsi="Arial"/>
          <w:lang w:val="en-US"/>
        </w:rPr>
        <w:t xml:space="preserve"> </w:t>
      </w:r>
      <w:r>
        <w:rPr>
          <w:lang w:val="en-US"/>
        </w:rPr>
        <w:t xml:space="preserve">addresses the Substantial and Compelling Reason in the Public Interest identified by the ICANN Board of Directors as the justification for the Board Amendment; and </w:t>
      </w:r>
    </w:p>
    <w:p>
      <w:pPr>
        <w:pStyle w:val="Normal"/>
        <w:spacing w:before="0" w:after="229"/>
        <w:ind w:left="730" w:right="10" w:hanging="10"/>
        <w:rPr>
          <w:lang w:val="en-US"/>
        </w:rPr>
      </w:pPr>
      <w:r>
        <w:rPr>
          <w:lang w:val="en-US"/>
        </w:rPr>
        <w:t>6.6.3</w:t>
      </w:r>
      <w:r>
        <w:rPr>
          <w:rFonts w:eastAsia="Arial" w:cs="Arial" w:ascii="Arial" w:hAnsi="Arial"/>
          <w:lang w:val="en-US"/>
        </w:rPr>
        <w:t xml:space="preserve"> </w:t>
      </w:r>
      <w:r>
        <w:rPr>
          <w:lang w:val="en-US"/>
        </w:rPr>
        <w:t xml:space="preserve">compared to the Board Amendment is: (a) more narrowly tailored to address such Substantial and Compelling Reason in the Public Interest, and (b) to the extent the Alternative Amendment prohibits or requires conduct or activities, imposes material costs on Affected Registrars, or materially reduces access to domain name services, is a less restrictive means to address the Substantial and Compelling Reason in the Public Interest. </w:t>
      </w:r>
    </w:p>
    <w:p>
      <w:pPr>
        <w:pStyle w:val="Normal"/>
        <w:spacing w:before="0" w:after="0"/>
        <w:ind w:left="190" w:right="10" w:hanging="10"/>
        <w:rPr>
          <w:lang w:val="en-US"/>
        </w:rPr>
      </w:pPr>
      <w:r>
        <w:rPr>
          <w:lang w:val="en-US"/>
        </w:rPr>
        <w:t xml:space="preserve">Any proposed amendment that does not meet the requirements of Sections 6.6.1 through 6.6.3 in the immediately preceding sentence shall not be considered an Alternative Amendment hereunder and therefore shall not supersede or delay the effectiveness of the Board Amendment. If, following the submission of the Alternative Amendment to the ICANN Board of Directors, the Alternative Amendment receives Provider Approval, the Alternative Amendment shall supersede the Board Amendment and shall be deemed an Approved Amendment hereunder (and shall be effective and deemed an amendment to this Agreement on the date that is sixty (60) calendar days following the date ICANN provided notice of the approval of such Alternative Amendment to Provider, which effective date shall deemed the Amendment Effective Date hereunder), unless, within a period of sixty (60) calendar days following the date that the Working Group notifies the ICANN Board of Directors of Provider Approval of such Alternative Amendment (during which time ICANN shall engage with the Working Group with respect to the Alternative Amendment), the ICANN Board of Directors by the affirmative vote of at least two-thirds of the members of the ICANN Board of Directors eligible to vote on such matter, taking into account any ICANN policy affecting such eligibility, including ICANN’s Conflict of Interest Policy, rejects the Alternative Amendment. If (A) the Alternative Amendment does not receive </w:t>
      </w:r>
    </w:p>
    <w:p>
      <w:pPr>
        <w:pStyle w:val="Normal"/>
        <w:ind w:left="190" w:right="10" w:hanging="10"/>
        <w:rPr>
          <w:lang w:val="en-US"/>
        </w:rPr>
      </w:pPr>
      <w:r>
        <w:rPr>
          <w:lang w:val="en-US"/>
        </w:rPr>
        <w:t xml:space="preserve">Provider Approval within thirty (30) days of submission of such Alternative Amendment to the Service Provider (and the Working Group shall notify ICANN of the date of such submission), or (B) the ICANN Board of Directors rejects the Alternative Amendment by such two-thirds vote, the Board Amendment (and not the Alternative Amendment) shall be effective and deemed an amendment to this Agreement on the date that is sixty (60) calendar days following the date ICANN provided notice to Provider (which effective date shall deemed the Amendment Effective Date hereunder). If the ICANN Board of Directors rejects an Alternative Amendment, the ICANN Board of Directors shall publish a written rationale setting forth its analysis of the criteria set forth in Sections 6.6.1 through 6.6.3. The ability of the ICANN Board of Directors to reject an Alternative Amendment hereunder does not relieve the ICANN Board of Directors of its obligation to ensure that any Board Amendment meets the criteria set forth in Section 6.5.1 through 6.5.5. </w:t>
      </w:r>
    </w:p>
    <w:p>
      <w:pPr>
        <w:pStyle w:val="Normal"/>
        <w:ind w:left="0" w:right="10" w:hanging="10"/>
        <w:rPr>
          <w:lang w:val="en-US"/>
        </w:rPr>
      </w:pPr>
      <w:r>
        <w:rPr>
          <w:lang w:val="en-US"/>
        </w:rPr>
        <w:t>6.7</w:t>
      </w:r>
      <w:r>
        <w:rPr>
          <w:rFonts w:eastAsia="Arial" w:cs="Arial" w:ascii="Arial" w:hAnsi="Arial"/>
          <w:lang w:val="en-US"/>
        </w:rPr>
        <w:t xml:space="preserve"> </w:t>
        <w:tab/>
      </w:r>
      <w:r>
        <w:rPr>
          <w:lang w:val="en-US"/>
        </w:rPr>
        <w:t xml:space="preserve">In the event that Provider believes an Approved Amendment does not meet the substantive requirements set out in this Section 6 or has been adopted in contravention of any of the procedural provisions of this Section 6, Provider may challenge the adoption of such Special Amendment pursuant to the dispute resolution provisions set forth in Section 5.8, except that such arbitration shall be conducted by a three-person arbitration panel. Any such challenge must be brought within sixty (60) calendar days following the date ICANN provided notice to Provider of the Approved Amendment, and ICANN may consolidate all challenges brought by providers (including Provider) into a single proceeding. The Approved Amendment will be deemed not to have amended this Agreement during the pendency of the dispute resolution process. </w:t>
      </w:r>
    </w:p>
    <w:p>
      <w:pPr>
        <w:pStyle w:val="Normal"/>
        <w:tabs>
          <w:tab w:val="right" w:pos="8637" w:leader="none"/>
        </w:tabs>
        <w:spacing w:before="0" w:after="11"/>
        <w:ind w:left="0" w:hanging="0"/>
        <w:rPr>
          <w:lang w:val="en-US"/>
        </w:rPr>
      </w:pPr>
      <w:r>
        <w:rPr>
          <w:lang w:val="en-US"/>
        </w:rPr>
        <w:t>6.8</w:t>
      </w:r>
      <w:r>
        <w:rPr>
          <w:rFonts w:eastAsia="Arial" w:cs="Arial" w:ascii="Arial" w:hAnsi="Arial"/>
          <w:lang w:val="en-US"/>
        </w:rPr>
        <w:t xml:space="preserve"> </w:t>
        <w:tab/>
      </w:r>
      <w:r>
        <w:rPr>
          <w:lang w:val="en-US"/>
        </w:rPr>
        <w:t xml:space="preserve">Provider may apply in writing to ICANN for an exemption from the Approved </w:t>
      </w:r>
    </w:p>
    <w:p>
      <w:pPr>
        <w:pStyle w:val="Normal"/>
        <w:ind w:left="0" w:right="10" w:hanging="10"/>
        <w:rPr>
          <w:lang w:val="en-US"/>
        </w:rPr>
      </w:pPr>
      <w:r>
        <w:rPr>
          <w:lang w:val="en-US"/>
        </w:rPr>
        <w:t xml:space="preserve">Amendment (each such request submitted by Provider hereunder, an “Exemption Request”) during the thirty (30) calendar day period following the date ICANN provided notice to Provider of such Approved Amendment.  </w:t>
      </w:r>
    </w:p>
    <w:p>
      <w:pPr>
        <w:pStyle w:val="Normal"/>
        <w:ind w:left="730" w:right="10" w:hanging="10"/>
        <w:rPr>
          <w:lang w:val="en-US"/>
        </w:rPr>
      </w:pPr>
      <w:r>
        <w:rPr>
          <w:lang w:val="en-US"/>
        </w:rPr>
        <w:t>6.8.1</w:t>
      </w:r>
      <w:r>
        <w:rPr>
          <w:rFonts w:eastAsia="Arial" w:cs="Arial" w:ascii="Arial" w:hAnsi="Arial"/>
          <w:lang w:val="en-US"/>
        </w:rPr>
        <w:t xml:space="preserve"> </w:t>
      </w:r>
      <w:r>
        <w:rPr>
          <w:lang w:val="en-US"/>
        </w:rPr>
        <w:t xml:space="preserve">Each Exemption Request will set forth the basis for such request and provide detailed support for an exemption from the Approved Amendment. An Exemption Request may also include a detailed description and support for any alternatives to, or a variation of, the Approved Amendment proposed by Provider.  </w:t>
      </w:r>
    </w:p>
    <w:p>
      <w:pPr>
        <w:pStyle w:val="Normal"/>
        <w:ind w:left="730" w:right="10" w:hanging="10"/>
        <w:rPr>
          <w:lang w:val="en-US"/>
        </w:rPr>
      </w:pPr>
      <w:r>
        <w:rPr>
          <w:lang w:val="en-US"/>
        </w:rPr>
        <w:t>6.8.2</w:t>
      </w:r>
      <w:r>
        <w:rPr>
          <w:rFonts w:eastAsia="Arial" w:cs="Arial" w:ascii="Arial" w:hAnsi="Arial"/>
          <w:lang w:val="en-US"/>
        </w:rPr>
        <w:t xml:space="preserve"> </w:t>
      </w:r>
      <w:r>
        <w:rPr>
          <w:lang w:val="en-US"/>
        </w:rPr>
        <w:t xml:space="preserve">An Exemption Request may only be granted upon a clear and convincing showing by Provider that compliance with the Approved Amendment conflicts with applicable laws or would have a material adverse effect on the long-term financial condition or results of operations of Provider. No Exemption Request will be granted if ICANN determines, in its reasonable discretion, that granting such Exemption Request would be materially harmful to Customers or result in the denial of a direct benefit to Customers.  </w:t>
      </w:r>
    </w:p>
    <w:p>
      <w:pPr>
        <w:pStyle w:val="Normal"/>
        <w:ind w:left="730" w:right="10" w:hanging="10"/>
        <w:rPr>
          <w:lang w:val="en-US"/>
        </w:rPr>
      </w:pPr>
      <w:r>
        <w:rPr>
          <w:lang w:val="en-US"/>
        </w:rPr>
        <w:t>6.8.3</w:t>
      </w:r>
      <w:r>
        <w:rPr>
          <w:rFonts w:eastAsia="Arial" w:cs="Arial" w:ascii="Arial" w:hAnsi="Arial"/>
          <w:lang w:val="en-US"/>
        </w:rPr>
        <w:t xml:space="preserve"> </w:t>
      </w:r>
      <w:r>
        <w:rPr>
          <w:lang w:val="en-US"/>
        </w:rPr>
        <w:t xml:space="preserve">Within ninety (90) calendar days of ICANN’s receipt of an Exemption Request, ICANN shall either approve (which approval may be conditioned or consist of alternatives to or a variation of the Approved Amendment) or deny the Exemption Request in writing, during which time the Approved Amendment will not amend this Agreement.  </w:t>
      </w:r>
    </w:p>
    <w:p>
      <w:pPr>
        <w:pStyle w:val="Normal"/>
        <w:spacing w:before="0" w:after="0"/>
        <w:ind w:left="730" w:right="10" w:hanging="10"/>
        <w:rPr>
          <w:lang w:val="en-US"/>
        </w:rPr>
      </w:pPr>
      <w:r>
        <w:rPr>
          <w:lang w:val="en-US"/>
        </w:rPr>
        <w:t>6.8.4</w:t>
      </w:r>
      <w:r>
        <w:rPr>
          <w:rFonts w:eastAsia="Arial" w:cs="Arial" w:ascii="Arial" w:hAnsi="Arial"/>
          <w:lang w:val="en-US"/>
        </w:rPr>
        <w:t xml:space="preserve"> </w:t>
      </w:r>
      <w:r>
        <w:rPr>
          <w:lang w:val="en-US"/>
        </w:rPr>
        <w:t xml:space="preserve">If the Exemption Request is approved by ICANN, the Approved Amendment will not amend this Agreement; provided, that any conditions, alternatives or variations of the Approved Amendment required by ICANN shall be effective and, to the extent applicable, will amend this Agreement as of the Amendment Effective Date. If such Exemption Request is denied by ICANN, the Approved Amendment will amend this Agreement as of the </w:t>
      </w:r>
    </w:p>
    <w:p>
      <w:pPr>
        <w:pStyle w:val="Normal"/>
        <w:ind w:left="730" w:right="10" w:hanging="10"/>
        <w:rPr>
          <w:lang w:val="en-US"/>
        </w:rPr>
      </w:pPr>
      <w:r>
        <w:rPr>
          <w:lang w:val="en-US"/>
        </w:rPr>
        <w:t xml:space="preserve">Amendment Effective Date (or, if such date has passed, such Approved Amendment shall be deemed effective immediately on the date of such denial), provided that Provider may, within thirty (30) calendar days following receipt of ICANN’s determination, appeal ICANN’s decision to deny the Exemption Request pursuant to the dispute resolution procedures set forth in Section 5.8.  </w:t>
      </w:r>
    </w:p>
    <w:p>
      <w:pPr>
        <w:pStyle w:val="Normal"/>
        <w:ind w:left="730" w:right="10" w:hanging="10"/>
        <w:rPr>
          <w:lang w:val="en-US"/>
        </w:rPr>
      </w:pPr>
      <w:r>
        <w:rPr>
          <w:lang w:val="en-US"/>
        </w:rPr>
        <w:t>6.8.5</w:t>
      </w:r>
      <w:r>
        <w:rPr>
          <w:rFonts w:eastAsia="Arial" w:cs="Arial" w:ascii="Arial" w:hAnsi="Arial"/>
          <w:lang w:val="en-US"/>
        </w:rPr>
        <w:t xml:space="preserve"> </w:t>
      </w:r>
      <w:r>
        <w:rPr>
          <w:lang w:val="en-US"/>
        </w:rPr>
        <w:t xml:space="preserve">The Approved Amendment will be deemed not to have amended this Agreement during the pendency of the dispute resolution process. For the avoidance of doubt, only Exemption Requests submitted by Provider that are approved by ICANN pursuant to this Article 6 or through an arbitration decision pursuant to Section 5.8 shall exempt Provider from any Approved Amendment, and no Exemption Request granted to any other Service Provider (whether by ICANN or through arbitration), shall have any effect under this Agreement or exempt Provider from any Approved Amendment.  </w:t>
      </w:r>
    </w:p>
    <w:p>
      <w:pPr>
        <w:pStyle w:val="Normal"/>
        <w:ind w:left="0" w:right="10" w:hanging="10"/>
        <w:rPr>
          <w:lang w:val="en-US"/>
        </w:rPr>
      </w:pPr>
      <w:r>
        <w:rPr>
          <w:lang w:val="en-US"/>
        </w:rPr>
        <w:t>6.9</w:t>
      </w:r>
      <w:r>
        <w:rPr>
          <w:rFonts w:eastAsia="Arial" w:cs="Arial" w:ascii="Arial" w:hAnsi="Arial"/>
          <w:lang w:val="en-US"/>
        </w:rPr>
        <w:t xml:space="preserve"> </w:t>
        <w:tab/>
      </w:r>
      <w:r>
        <w:rPr>
          <w:lang w:val="en-US"/>
        </w:rPr>
        <w:t xml:space="preserve">Except as set forth in Section 4, Subsection 5.3, this Section 6, Section 7.4 and as otherwise set forth in this Agreement and the Specifications hereto, no amendment, supplement or modification of this Agreement or any provision hereof shall be binding unless executed in writing by both parties, and nothing in this Section 6 or Section 7.4 shall restrict ICANN and Provider from entering into bilateral amendments and modifications to this Agreement negotiated solely between the two parties. No waiver of any provision of this Agreement shall be binding unless evidenced by a writing signed by the party waiving compliance with such provision. No waiver of any of the provisions of this Agreement or failure to enforce any of the provisions hereof shall be deemed or shall constitute a waiver of any other provision hereof, nor shall any such waiver constitute a continuing waiver unless otherwise expressly provided. For the avoidance of doubt, nothing in this Section 6 or Section 7.4 shall be deemed to limit Registrar’s obligation to comply with Section 4.  </w:t>
      </w:r>
    </w:p>
    <w:p>
      <w:pPr>
        <w:pStyle w:val="Normal"/>
        <w:spacing w:before="0" w:after="0"/>
        <w:ind w:left="0" w:right="10" w:hanging="10"/>
        <w:rPr>
          <w:lang w:val="en-US"/>
        </w:rPr>
      </w:pPr>
      <w:r>
        <w:rPr>
          <w:lang w:val="en-US"/>
        </w:rPr>
        <w:t>6.10</w:t>
      </w:r>
      <w:r>
        <w:rPr>
          <w:rFonts w:eastAsia="Arial" w:cs="Arial" w:ascii="Arial" w:hAnsi="Arial"/>
          <w:lang w:val="en-US"/>
        </w:rPr>
        <w:t xml:space="preserve"> </w:t>
        <w:tab/>
      </w:r>
      <w:r>
        <w:rPr>
          <w:lang w:val="en-US"/>
        </w:rPr>
        <w:t xml:space="preserve">Notwithstanding anything in this Section 6 to the contrary, (a) if Provider provides evidence to ICANN’s reasonable satisfaction that the Approved Amendment would materially increase the cost of providing the Services, then </w:t>
      </w:r>
    </w:p>
    <w:p>
      <w:pPr>
        <w:pStyle w:val="Normal"/>
        <w:spacing w:before="0" w:after="11"/>
        <w:ind w:left="0" w:right="10" w:hanging="10"/>
        <w:rPr>
          <w:lang w:val="en-US"/>
        </w:rPr>
      </w:pPr>
      <w:r>
        <w:rPr>
          <w:lang w:val="en-US"/>
        </w:rPr>
        <w:t xml:space="preserve">ICANN will allow up to one-hundred eighty (180) calendar days for the Approved </w:t>
      </w:r>
    </w:p>
    <w:p>
      <w:pPr>
        <w:pStyle w:val="Normal"/>
        <w:spacing w:before="0" w:after="11"/>
        <w:ind w:left="0" w:right="10" w:hanging="10"/>
        <w:rPr>
          <w:lang w:val="en-US"/>
        </w:rPr>
      </w:pPr>
      <w:r>
        <w:rPr>
          <w:lang w:val="en-US"/>
        </w:rPr>
        <w:t xml:space="preserve">Amendment to become effective with respect to Provider, and (b) no Approved </w:t>
      </w:r>
    </w:p>
    <w:p>
      <w:pPr>
        <w:pStyle w:val="Normal"/>
        <w:ind w:left="0" w:right="10" w:hanging="10"/>
        <w:rPr>
          <w:lang w:val="en-US"/>
        </w:rPr>
      </w:pPr>
      <w:r>
        <w:rPr>
          <w:lang w:val="en-US"/>
        </w:rPr>
        <w:t xml:space="preserve">Amendment adopted pursuant to Section 6 shall become effective with respect to Provider if Provider provides ICANN with an irrevocable notice of termination pursuant to Section 5.4. </w:t>
      </w:r>
    </w:p>
    <w:p>
      <w:pPr>
        <w:pStyle w:val="Normal"/>
        <w:numPr>
          <w:ilvl w:val="0"/>
          <w:numId w:val="3"/>
        </w:numPr>
        <w:spacing w:lineRule="auto" w:line="247" w:before="0" w:after="258"/>
        <w:ind w:left="432" w:hanging="432"/>
        <w:rPr/>
      </w:pPr>
      <w:r>
        <w:rPr>
          <w:b/>
        </w:rPr>
        <w:t xml:space="preserve">MISCELLANEOUS PROVISIONS. </w:t>
      </w:r>
    </w:p>
    <w:p>
      <w:pPr>
        <w:pStyle w:val="Normal"/>
        <w:numPr>
          <w:ilvl w:val="1"/>
          <w:numId w:val="3"/>
        </w:numPr>
        <w:ind w:left="1351" w:right="10" w:hanging="631"/>
        <w:rPr>
          <w:lang w:val="en-US"/>
        </w:rPr>
      </w:pPr>
      <w:r>
        <w:rPr>
          <w:u w:val="single" w:color="000000"/>
          <w:lang w:val="en-US"/>
        </w:rPr>
        <w:t>Specific Performance</w:t>
      </w:r>
      <w:r>
        <w:rPr>
          <w:lang w:val="en-US"/>
        </w:rPr>
        <w:t xml:space="preserve">. While this Agreement is in effect, either party may seek specific performance of any provision of this Agreement in the manner provided in Section 5.8, provided the party seeking such performance is not then in material breach of its obligations under this Agreement. </w:t>
      </w:r>
    </w:p>
    <w:p>
      <w:pPr>
        <w:pStyle w:val="Normal"/>
        <w:numPr>
          <w:ilvl w:val="1"/>
          <w:numId w:val="3"/>
        </w:numPr>
        <w:ind w:left="1351" w:right="10" w:hanging="631"/>
        <w:rPr>
          <w:lang w:val="en-US"/>
        </w:rPr>
      </w:pPr>
      <w:r>
        <w:rPr>
          <w:u w:val="single" w:color="000000"/>
          <w:lang w:val="en-US"/>
        </w:rPr>
        <w:t>Handling by ICANN of Provider-Supplied Data</w:t>
      </w:r>
      <w:r>
        <w:rPr>
          <w:lang w:val="en-US"/>
        </w:rPr>
        <w:t xml:space="preserve">. Before receiving any Personal Data from Provider, ICANN shall specify to Provider in writing the purposes for and conditions under which ICANN intends to use the Personal Data. ICANN may from time to time provide Provider with a revised specification of such purposes and conditions, which specification shall become effective no sooner than thirty (30) days after it is provided to Provider. ICANN shall not use Personal Data provided by Provider for a purpose or under conditions inconsistent with the specification in effect when the Personal Data was provided. ICANN shall take reasonable steps to avoid uses of the Personal Data by third parties inconsistent with the specification. </w:t>
      </w:r>
    </w:p>
    <w:p>
      <w:pPr>
        <w:pStyle w:val="Normal"/>
        <w:numPr>
          <w:ilvl w:val="1"/>
          <w:numId w:val="3"/>
        </w:numPr>
        <w:spacing w:lineRule="auto" w:line="249"/>
        <w:ind w:left="1351" w:right="10" w:hanging="631"/>
        <w:rPr>
          <w:lang w:val="en-US"/>
        </w:rPr>
      </w:pPr>
      <w:r>
        <w:rPr>
          <w:u w:val="single" w:color="000000"/>
          <w:lang w:val="en-US"/>
        </w:rPr>
        <w:t>Assignment; Change of Ownership or Management</w:t>
      </w:r>
      <w:r>
        <w:rPr>
          <w:lang w:val="en-US"/>
        </w:rPr>
        <w:t xml:space="preserve">. </w:t>
      </w:r>
    </w:p>
    <w:p>
      <w:pPr>
        <w:pStyle w:val="Normal"/>
        <w:numPr>
          <w:ilvl w:val="2"/>
          <w:numId w:val="3"/>
        </w:numPr>
        <w:ind w:left="1450" w:right="10" w:hanging="360"/>
        <w:rPr>
          <w:lang w:val="en-US"/>
        </w:rPr>
      </w:pPr>
      <w:r>
        <w:rPr>
          <w:lang w:val="en-US"/>
        </w:rPr>
        <w:t xml:space="preserve">Except as set forth in this Section 7.3.1, either party may assign or transfer this Agreement only with the prior written consent of the other party, which shall not be unreasonably withheld. If ICANN fails to expressly provide or withhold its consent to any requested assignment (an “Assignment Request”) of this Agreement by Provider within thirty (30) calendar days of ICANN’s receipt of notice of such Assignment Request (or, if ICANN has requested additional information from Provider in connection with its review of such request, sixty (60) calendar days of the receipt of all requested written information regarding such request) from Provider, ICANN shall be deemed to have consented to such requested assignment. Notwithstanding the foregoing, (i) ICANN may assign this Agreement without the consent of Provider upon approval of the ICANN Board of Directors in conjunction with a reorganization, reconstitution or re-incorporation of ICANN upon such assignee’s express assumption of the terms and conditions of this Agreement, (ii) Provider may assign this Agreement without the consent of ICANN to a wholly-owned subsidiary of Provider upon such subsidiary’s express assumption of the terms and conditions of this Agreement, and (iii) ICANN shall be deemed to have consented to an Assignment Request in which the assignee associated with such Assignment Request is a party to a Provider Accreditation Agreement with ICANN on the terms set forth in this Agreement (provided that such assignee is then in compliance with the terms and conditions of such Registrar Accreditation Agreement in all material respects), unless ICANN provides to Registrar a written objection to such Assignment Request within ten (10) calendar days of ICANN’s receipt of notice of such Assignment Request pursuant to this Section 7.3.1. </w:t>
      </w:r>
    </w:p>
    <w:p>
      <w:pPr>
        <w:pStyle w:val="Normal"/>
        <w:numPr>
          <w:ilvl w:val="2"/>
          <w:numId w:val="3"/>
        </w:numPr>
        <w:ind w:left="1450" w:right="10" w:hanging="360"/>
        <w:rPr>
          <w:lang w:val="en-US"/>
        </w:rPr>
      </w:pPr>
      <w:r>
        <w:rPr>
          <w:lang w:val="en-US"/>
        </w:rPr>
        <w:t xml:space="preserve">To the extent that an entity acquires a Controlling interest in Provider’s stock, assets or business, Provider shall provide ICANN notice within seven (7) days of such an acquisition. Such notification shall include a statement that affirms that Provider meets the Specification or Policy on Accreditation criteria then in effect, and is in compliance with its obligations under this Agreement. Within thirty (30) days of such notification, ICANN may request additional information from Provider establishing compliance with this Agreement, in which case Provider must supply the requested information within fifteen (15) days. Any disputes concerning Provider’s continued Accreditation shall be resolved pursuant to Section 5.8. </w:t>
      </w:r>
    </w:p>
    <w:p>
      <w:pPr>
        <w:pStyle w:val="Normal"/>
        <w:numPr>
          <w:ilvl w:val="1"/>
          <w:numId w:val="3"/>
        </w:numPr>
        <w:spacing w:lineRule="auto" w:line="249"/>
        <w:ind w:left="1351" w:right="10" w:hanging="631"/>
        <w:rPr/>
      </w:pPr>
      <w:r>
        <w:rPr>
          <w:u w:val="single" w:color="000000"/>
        </w:rPr>
        <w:t>Negotiation Process</w:t>
      </w:r>
      <w:r>
        <w:rPr/>
        <w:t xml:space="preserve">.  </w:t>
      </w:r>
    </w:p>
    <w:p>
      <w:pPr>
        <w:pStyle w:val="Normal"/>
        <w:numPr>
          <w:ilvl w:val="2"/>
          <w:numId w:val="3"/>
        </w:numPr>
        <w:spacing w:before="0" w:after="0"/>
        <w:ind w:left="1450" w:right="10" w:hanging="360"/>
        <w:rPr/>
      </w:pPr>
      <w:r>
        <w:rPr>
          <w:lang w:val="en-US"/>
        </w:rPr>
        <w:t xml:space="preserve">If either the Chief Executive Officer of ICANN (“CEO”) or the Chairperson of the Working Group or, if it exists, the Provider Stakeholder Group (“Chair”) desires to discuss any revision(s) to this Agreement, the CEO or Chair, as applicable, shall provide written notice to the other person, which shall set forth in reasonable detail the proposed revisions to this Agreement (a “Negotiation Notice”). </w:t>
      </w:r>
      <w:r>
        <w:rPr/>
        <w:t xml:space="preserve">Notwithstanding the foregoing, neither the CEO nor the </w:t>
      </w:r>
    </w:p>
    <w:p>
      <w:pPr>
        <w:pStyle w:val="Normal"/>
        <w:spacing w:before="0" w:after="11"/>
        <w:ind w:left="641" w:right="10" w:hanging="10"/>
        <w:rPr>
          <w:lang w:val="en-US"/>
        </w:rPr>
      </w:pPr>
      <w:r>
        <w:rPr>
          <w:lang w:val="en-US"/>
        </w:rPr>
        <w:t xml:space="preserve">Chair may (i) propose revisions to this Agreement that modify any Consensus </w:t>
      </w:r>
    </w:p>
    <w:p>
      <w:pPr>
        <w:pStyle w:val="Normal"/>
        <w:ind w:left="641" w:right="10" w:hanging="10"/>
        <w:rPr>
          <w:lang w:val="en-US"/>
        </w:rPr>
      </w:pPr>
      <w:r>
        <w:rPr>
          <w:lang w:val="en-US"/>
        </w:rPr>
        <w:t xml:space="preserve">Policy then existing, (ii) propose revisions to this Agreement pursuant to this Section 7.4 on or before [DATE TO BE INSERTED], or (iii) propose revisions or submit a Negotiation Notice more than once during any twelve month period beginning on [DATE TO BE INSERTED].  </w:t>
      </w:r>
    </w:p>
    <w:p>
      <w:pPr>
        <w:pStyle w:val="Normal"/>
        <w:numPr>
          <w:ilvl w:val="2"/>
          <w:numId w:val="3"/>
        </w:numPr>
        <w:ind w:left="1450" w:right="10" w:hanging="360"/>
        <w:rPr>
          <w:lang w:val="en-US"/>
        </w:rPr>
      </w:pPr>
      <w:r>
        <w:rPr>
          <w:lang w:val="en-US"/>
        </w:rPr>
        <w:t xml:space="preserve">Following receipt of the Negotiation Notice by either the CEO or the Chair, ICANN and the Working Group shall consult in good faith negotiations regarding the form and substance of the proposed revisions to this Agreement, which shall be in the form of a proposed amendment to this Agreement (the “Proposed Revisions”), for a period of at least ninety (90) calendar days (unless a resolution is earlier reached) and attempt to reach a mutually acceptable agreement relating to the Proposed Revisions (the “Discussion Period”). </w:t>
      </w:r>
    </w:p>
    <w:p>
      <w:pPr>
        <w:pStyle w:val="Normal"/>
        <w:numPr>
          <w:ilvl w:val="2"/>
          <w:numId w:val="3"/>
        </w:numPr>
        <w:spacing w:before="0" w:after="0"/>
        <w:ind w:left="1450" w:right="10" w:hanging="360"/>
        <w:rPr>
          <w:lang w:val="en-US"/>
        </w:rPr>
      </w:pPr>
      <w:r>
        <w:rPr>
          <w:lang w:val="en-US"/>
        </w:rPr>
        <w:t xml:space="preserve">If, following the conclusion of the Discussion Period, an agreement is reached on the Proposed Revisions, ICANN shall post the mutually agreed Proposed Revisions on its website for public comment for no less than thirty (30) calendar days (the “Posting Period”) and provide notice of such revisions to all Service Providers in accordance with Section 7.6. ICANN and the Working Group will consider the public comments submitted on the Proposed </w:t>
      </w:r>
    </w:p>
    <w:p>
      <w:pPr>
        <w:pStyle w:val="Normal"/>
        <w:spacing w:before="0" w:after="11"/>
        <w:ind w:left="641" w:right="10" w:hanging="10"/>
        <w:rPr>
          <w:lang w:val="en-US"/>
        </w:rPr>
      </w:pPr>
      <w:r>
        <w:rPr>
          <w:lang w:val="en-US"/>
        </w:rPr>
        <w:t xml:space="preserve">Revisions during the Posting Period (including comments submitted by the </w:t>
      </w:r>
    </w:p>
    <w:p>
      <w:pPr>
        <w:pStyle w:val="Normal"/>
        <w:ind w:left="641" w:right="10" w:hanging="10"/>
        <w:rPr>
          <w:lang w:val="en-US"/>
        </w:rPr>
      </w:pPr>
      <w:r>
        <w:rPr>
          <w:lang w:val="en-US"/>
        </w:rPr>
        <w:t xml:space="preserve">Service Providers). Following the conclusion of the Posting Period, the Proposed Revisions shall be submitted for Provider Approval and approval by the ICANN Board of Directors. If such approvals are obtained, the Proposed Revisions shall be deemed an Approved Amendment by the Service Providers and ICANN, and shall be effective and deemed an amendment to this Agreement upon sixty (60) calendar days notice from ICANN to Provider.  </w:t>
      </w:r>
    </w:p>
    <w:p>
      <w:pPr>
        <w:pStyle w:val="Normal"/>
        <w:numPr>
          <w:ilvl w:val="2"/>
          <w:numId w:val="3"/>
        </w:numPr>
        <w:ind w:left="1450" w:right="10" w:hanging="360"/>
        <w:rPr>
          <w:lang w:val="en-US"/>
        </w:rPr>
      </w:pPr>
      <w:r>
        <w:rPr>
          <w:lang w:val="en-US"/>
        </w:rPr>
        <w:t xml:space="preserve">If, following the conclusion of the Discussion Period, an agreement is not reached between ICANN and the Working Group on the Proposed Revisions, either the CEO or the Chair may provide the other person written notice (the “Mediation Notice”) requiring ICANN and the Working Group to attempt to resolve the disagreements related to the Proposed Revisions through impartial, facilitative (non-evaluative) mediation in accordance with the terms and conditions set forth below. In the event that a Mediation Notice is provided, ICANN and the Working Group shall, within fifteen (15) calendar days thereof, simultaneously post the text of their desired version of the Proposed Revisions and a position paper with respect thereto on ICANN’s website.  </w:t>
      </w:r>
    </w:p>
    <w:p>
      <w:pPr>
        <w:pStyle w:val="Normal"/>
        <w:numPr>
          <w:ilvl w:val="3"/>
          <w:numId w:val="3"/>
        </w:numPr>
        <w:ind w:left="3152" w:right="10" w:hanging="992"/>
        <w:rPr>
          <w:lang w:val="en-US"/>
        </w:rPr>
      </w:pPr>
      <w:r>
        <w:rPr>
          <w:lang w:val="en-US"/>
        </w:rPr>
        <w:t xml:space="preserve">The mediation shall be conducted by a single mediator selected by ICANN and the Working Group. If ICANN and the Working Group cannot agree on a mediator within fifteen (15) calendar days following receipt by the CEO or Chair, as applicable, of the Mediation Notice, ICANN and the Working Group will promptly select a mutually acceptable mediation provider entity, which entity shall, as soon as practicable following such entity’s selection, designate a mediator, who is a licensed attorney with general knowledge of contract law and, to the extent necessary to mediate the particular dispute, general knowledge of the domain name system. Any mediator must confirm in writing that he or she is not, and will not become during the term of the mediation, an employee, partner, executive officer, director, or security holder of ICANN or an Service Provider. If such confirmation is not provided by the appointed mediator, then a replacement mediator shall be appointed pursuant to this Section 7.4.4.1. </w:t>
      </w:r>
    </w:p>
    <w:p>
      <w:pPr>
        <w:pStyle w:val="Normal"/>
        <w:numPr>
          <w:ilvl w:val="3"/>
          <w:numId w:val="3"/>
        </w:numPr>
        <w:ind w:left="3152" w:right="10" w:hanging="992"/>
        <w:rPr>
          <w:lang w:val="en-US"/>
        </w:rPr>
      </w:pPr>
      <w:r>
        <w:rPr>
          <w:lang w:val="en-US"/>
        </w:rPr>
        <w:t xml:space="preserve">The mediator shall conduct the mediation in accordance with the rules and procedures for facilitative mediation that he or she determines following consultation with ICANN and the Working Group. ICANN and the Working Group shall discuss the dispute in good faith and attempt, with the mediator’s assistance, to reach an amicable resolution of the dispute.  </w:t>
      </w:r>
    </w:p>
    <w:p>
      <w:pPr>
        <w:pStyle w:val="Normal"/>
        <w:numPr>
          <w:ilvl w:val="3"/>
          <w:numId w:val="3"/>
        </w:numPr>
        <w:ind w:left="3152" w:right="10" w:hanging="992"/>
        <w:rPr>
          <w:lang w:val="en-US"/>
        </w:rPr>
      </w:pPr>
      <w:r>
        <w:rPr>
          <w:lang w:val="en-US"/>
        </w:rPr>
        <w:t xml:space="preserve">ICANN and the Working Group shall bear their own costs in the mediation. ICANN and the Working Group shall share equally the fees and expenses of the mediator.  </w:t>
      </w:r>
    </w:p>
    <w:p>
      <w:pPr>
        <w:pStyle w:val="Normal"/>
        <w:numPr>
          <w:ilvl w:val="3"/>
          <w:numId w:val="3"/>
        </w:numPr>
        <w:spacing w:before="0" w:after="0"/>
        <w:ind w:left="3152" w:right="10" w:hanging="992"/>
        <w:rPr/>
      </w:pPr>
      <w:r>
        <w:rPr>
          <w:lang w:val="en-US"/>
        </w:rPr>
        <w:t xml:space="preserve">If an agreement is reached during the mediation, ICANN shall post the mutually agreed Proposed Revisions on its website for the Posting Period and provide notice to all Service Providers in accordance with Section 7.6. ICANN and the Working Group will consider the public comments submitted on the agreed Proposed Revisions during the Posting Period (including comments submitted by the Applicable Registrars). </w:t>
      </w:r>
      <w:r>
        <w:rPr/>
        <w:t xml:space="preserve">Following the conclusion of the Posting </w:t>
      </w:r>
    </w:p>
    <w:p>
      <w:pPr>
        <w:pStyle w:val="Normal"/>
        <w:ind w:left="1450" w:right="10" w:hanging="10"/>
        <w:rPr>
          <w:lang w:val="en-US"/>
        </w:rPr>
      </w:pPr>
      <w:r>
        <w:rPr>
          <w:lang w:val="en-US"/>
        </w:rPr>
        <w:t xml:space="preserve">Period, the Proposed Revisions shall be submitted for Provider Approval and approval by the ICANN Board of Directors. If such approvals are obtained, the Proposed Revisions shall be deemed an Approved Amendment by the Service Providers and ICANN, and shall be effective and deemed an amendment to this Agreement upon sixty (60) days notice from ICANN to Registrar. </w:t>
      </w:r>
    </w:p>
    <w:p>
      <w:pPr>
        <w:pStyle w:val="Normal"/>
        <w:numPr>
          <w:ilvl w:val="3"/>
          <w:numId w:val="3"/>
        </w:numPr>
        <w:ind w:left="3152" w:right="10" w:hanging="992"/>
        <w:rPr>
          <w:lang w:val="en-US"/>
        </w:rPr>
      </w:pPr>
      <w:r>
        <w:rPr>
          <w:lang w:val="en-US"/>
        </w:rPr>
        <w:t xml:space="preserve">If ICANN and the Working Group have not resolved the dispute for any reason by the date that is ninety (90) calendar days following receipt by the CEO or Chair, as applicable, of the Mediation Notice, the mediation shall automatically terminate (unless extended by agreement of the parties). The mediator shall deliver to ICANN and the Working Group a definition of the issues that could be considered in future arbitration, if invoked. Those issues are subject to the limitations set forth in Section 7.4.5.2 below. </w:t>
      </w:r>
    </w:p>
    <w:p>
      <w:pPr>
        <w:pStyle w:val="Normal"/>
        <w:numPr>
          <w:ilvl w:val="2"/>
          <w:numId w:val="3"/>
        </w:numPr>
        <w:ind w:left="1450" w:right="10" w:hanging="360"/>
        <w:rPr>
          <w:lang w:val="en-US"/>
        </w:rPr>
      </w:pPr>
      <w:r>
        <w:rPr>
          <w:lang w:val="en-US"/>
        </w:rPr>
        <w:t xml:space="preserve">If, following mediation, ICANN and the Working Group have not reached an agreement on the Proposed Revisions, either the CEO or the Chair may provide the other person written notice (an “Arbitration Notice”) requiring ICANN and the Service Providers to resolve the dispute through binding arbitration in accordance with the arbitration provisions of Section 5.8, subject to the requirements and limitations of this Section 7.4.5. </w:t>
      </w:r>
    </w:p>
    <w:p>
      <w:pPr>
        <w:pStyle w:val="Normal"/>
        <w:numPr>
          <w:ilvl w:val="3"/>
          <w:numId w:val="3"/>
        </w:numPr>
        <w:ind w:left="3152" w:right="10" w:hanging="992"/>
        <w:rPr>
          <w:lang w:val="en-US"/>
        </w:rPr>
      </w:pPr>
      <w:r>
        <w:rPr>
          <w:lang w:val="en-US"/>
        </w:rPr>
        <w:t xml:space="preserve">If an Arbitration Notice is sent, the mediator’s definition of issues, along with the Proposed Revisions (be those from ICANN, Working Group or both) shall be posted for public comment on ICANN’s website for a period of no less than thirty (30) calendar days. ICANN and the Working Group will consider the public comments submitted on the Proposed Revisions during the Posting Period (including comments submitted by the Applicable Registrars), and information regarding such comments and consideration shall be provided to the a three (3) person arbitrator panel. Each party may modify its Proposed Revisions before and after the Posting Period. The arbitration proceeding may not commence prior to the closing of such public comment period, and ICANN may consolidate all challenges brought by providers (including Providers) into a single proceeding. Except as set forth in this Section 7.4.5.1, the arbitration shall be conducted pursuant to Section 5.8. </w:t>
      </w:r>
    </w:p>
    <w:p>
      <w:pPr>
        <w:pStyle w:val="Normal"/>
        <w:numPr>
          <w:ilvl w:val="3"/>
          <w:numId w:val="3"/>
        </w:numPr>
        <w:spacing w:before="0" w:after="0"/>
        <w:ind w:left="3152" w:right="10" w:hanging="992"/>
        <w:rPr>
          <w:lang w:val="en-US"/>
        </w:rPr>
      </w:pPr>
      <w:r>
        <w:rPr>
          <w:lang w:val="en-US"/>
        </w:rPr>
        <w:t xml:space="preserve">No dispute regarding the Proposed Revisions may be submitted for arbitration to the extent the subject matter of the Proposed Revisions (i) relates to Consensus Policy, (ii) falls within the subject matter categories set forth in Section 1.2 of the Consensus Policies and Temporary Policies Specification, or (iii) seeks to amend any of the following provisions or Specifications of this Agreement: Sections 2, .1, 3.2, 3.3, 3.5, 3.6, 3.22, 4, 5.1, 5.2, 5.3 and 6; and the </w:t>
      </w:r>
    </w:p>
    <w:p>
      <w:pPr>
        <w:pStyle w:val="Normal"/>
        <w:ind w:left="1450" w:right="10" w:hanging="10"/>
        <w:rPr>
          <w:lang w:val="en-US"/>
        </w:rPr>
      </w:pPr>
      <w:r>
        <w:rPr>
          <w:lang w:val="en-US"/>
        </w:rPr>
        <w:t xml:space="preserve">Consensus Policies and Temporary Policies Specification, Data Retention Specification or the Customer Data Accuracy Program Specification. </w:t>
      </w:r>
    </w:p>
    <w:p>
      <w:pPr>
        <w:pStyle w:val="Normal"/>
        <w:numPr>
          <w:ilvl w:val="3"/>
          <w:numId w:val="3"/>
        </w:numPr>
        <w:ind w:left="3152" w:right="10" w:hanging="992"/>
        <w:rPr>
          <w:lang w:val="en-US"/>
        </w:rPr>
      </w:pPr>
      <w:r>
        <w:rPr>
          <w:lang w:val="en-US"/>
        </w:rPr>
        <w:t xml:space="preserve">The mediator will brief the arbitrator panel regarding ICANN and the Working Group’s respective proposals relating to the Proposed Revisions. </w:t>
      </w:r>
    </w:p>
    <w:p>
      <w:pPr>
        <w:pStyle w:val="Normal"/>
        <w:numPr>
          <w:ilvl w:val="3"/>
          <w:numId w:val="3"/>
        </w:numPr>
        <w:spacing w:lineRule="auto" w:line="259" w:before="0" w:after="0"/>
        <w:ind w:left="3152" w:right="10" w:hanging="992"/>
        <w:rPr>
          <w:lang w:val="en-US"/>
        </w:rPr>
      </w:pPr>
      <w:r>
        <w:rPr>
          <w:lang w:val="en-US"/>
        </w:rPr>
        <w:t xml:space="preserve">No amendment to this Agreement relating to the Proposed </w:t>
      </w:r>
    </w:p>
    <w:p>
      <w:pPr>
        <w:pStyle w:val="Normal"/>
        <w:ind w:left="1450" w:right="10" w:hanging="10"/>
        <w:rPr>
          <w:lang w:val="en-US"/>
        </w:rPr>
      </w:pPr>
      <w:r>
        <w:rPr>
          <w:lang w:val="en-US"/>
        </w:rPr>
        <w:t xml:space="preserve">Revisions may be submitted for arbitration by either the Working Group or ICANN, unless, in the case of the Working Group, the proposed amendment has received Provider Approval and, in the case of ICANN, the proposed amendment has been approved by the ICANN Board of Directors. </w:t>
      </w:r>
    </w:p>
    <w:p>
      <w:pPr>
        <w:pStyle w:val="Normal"/>
        <w:numPr>
          <w:ilvl w:val="3"/>
          <w:numId w:val="3"/>
        </w:numPr>
        <w:ind w:left="3152" w:right="10" w:hanging="992"/>
        <w:rPr>
          <w:lang w:val="en-US"/>
        </w:rPr>
      </w:pPr>
      <w:r>
        <w:rPr>
          <w:lang w:val="en-US"/>
        </w:rPr>
        <w:t xml:space="preserve">In order for the arbitrator panel to approve either ICANN or the Working Group’s proposed amendment relating to the Proposed Revisions, the arbitrator panel must conclude that such proposed amendment is consistent with a balanced application of ICANN’s core values (as described in ICANN’s Bylaws) and reasonable in light of the balancing of the costs and benefits to the business interests of the Applicable Registrars and ICANN (as applicable), and the public benefit sought to be achieved by the Proposed Revisions as set forth in such amendment. If the arbitrator panel concludes that either ICANN or the Working Group’s proposed amendment relating to the Proposed Revisions meets the foregoing standard, such amendment shall be effective and deemed an amendment to this Agreement upon sixty (60) calendar days notice from ICANN to Provider and deemed an Approved Amendment hereunder.  </w:t>
      </w:r>
    </w:p>
    <w:p>
      <w:pPr>
        <w:pStyle w:val="Normal"/>
        <w:numPr>
          <w:ilvl w:val="2"/>
          <w:numId w:val="3"/>
        </w:numPr>
        <w:ind w:left="1450" w:right="10" w:hanging="360"/>
        <w:rPr>
          <w:lang w:val="en-US"/>
        </w:rPr>
      </w:pPr>
      <w:r>
        <w:rPr>
          <w:lang w:val="en-US"/>
        </w:rPr>
        <w:t xml:space="preserve">With respect to an Approved Amendment relating to an amendment proposed by ICANN, Provider may apply in writing to ICANN for an exemption from such amendment pursuant to the provisions of Section 6.8. </w:t>
      </w:r>
    </w:p>
    <w:p>
      <w:pPr>
        <w:pStyle w:val="Normal"/>
        <w:numPr>
          <w:ilvl w:val="2"/>
          <w:numId w:val="3"/>
        </w:numPr>
        <w:spacing w:before="0" w:after="0"/>
        <w:ind w:left="1450" w:right="10" w:hanging="360"/>
        <w:rPr>
          <w:lang w:val="en-US"/>
        </w:rPr>
      </w:pPr>
      <w:r>
        <w:rPr>
          <w:lang w:val="en-US"/>
        </w:rPr>
        <w:t xml:space="preserve">Notwithstanding anything in this Section 7.4 to the contrary, (a) if Provider provides evidence to ICANN’s reasonable satisfaction that the </w:t>
      </w:r>
    </w:p>
    <w:p>
      <w:pPr>
        <w:pStyle w:val="Normal"/>
        <w:ind w:left="641" w:right="10" w:hanging="10"/>
        <w:rPr>
          <w:lang w:val="en-US"/>
        </w:rPr>
      </w:pPr>
      <w:r>
        <w:rPr>
          <w:lang w:val="en-US"/>
        </w:rPr>
        <w:t xml:space="preserve">Approved Amendment would materially increase the cost of providing the Services, then ICANN will allow up to one-hundred eighty (180) calendar days for the Approved Amendment to become effective with respect to Provider, and (b) no Approved Amendment adopted pursuant to this Section 7.4 shall become effective with respect to Provider if Provider provides ICANN with an irrevocable notice of termination pursuant to Section 5.4. </w:t>
      </w:r>
    </w:p>
    <w:p>
      <w:pPr>
        <w:pStyle w:val="Normal"/>
        <w:numPr>
          <w:ilvl w:val="1"/>
          <w:numId w:val="3"/>
        </w:numPr>
        <w:ind w:left="1351" w:right="10" w:hanging="631"/>
        <w:rPr>
          <w:lang w:val="en-US"/>
        </w:rPr>
      </w:pPr>
      <w:r>
        <w:rPr>
          <w:u w:val="single" w:color="000000"/>
          <w:lang w:val="en-US"/>
        </w:rPr>
        <w:t>No Third-Party Beneficiaries</w:t>
      </w:r>
      <w:r>
        <w:rPr>
          <w:lang w:val="en-US"/>
        </w:rPr>
        <w:t xml:space="preserve">. This Agreement shall not be construed to create any obligation by either ICANN or Provider to any non-party to this Agreement, including any Customer. </w:t>
      </w:r>
    </w:p>
    <w:p>
      <w:pPr>
        <w:pStyle w:val="Normal"/>
        <w:numPr>
          <w:ilvl w:val="1"/>
          <w:numId w:val="3"/>
        </w:numPr>
        <w:spacing w:before="0" w:after="0"/>
        <w:ind w:left="1351" w:right="10" w:hanging="631"/>
        <w:rPr/>
      </w:pPr>
      <w:r>
        <w:rPr>
          <w:u w:val="single" w:color="000000"/>
          <w:lang w:val="en-US"/>
        </w:rPr>
        <w:t>Notices and Designations</w:t>
      </w:r>
      <w:r>
        <w:rPr>
          <w:lang w:val="en-US"/>
        </w:rPr>
        <w:t xml:space="preserve">. Except as provided in Section 7.4 and Section 6, all notices to be given under this Agreement shall be given in writing at the address of the appropriate party as set forth below, unless that party has given a notice of change of address in writing. Each party shall notify the other party within thirty (30) days of any change to its contact information. Any written notice required by this Agreement shall be deemed to have been properly given when delivered in person, when sent by electronic facsimile with receipt of confirmation of delivery, when scheduled for delivery by internationally recognized courier service, or when delivered by electronic means followed by an affirmative confirmation of receipt by the recipient’s facsimile machine or email server. </w:t>
      </w:r>
      <w:r>
        <w:rPr/>
        <w:t xml:space="preserve">For any notice of a new </w:t>
      </w:r>
    </w:p>
    <w:p>
      <w:pPr>
        <w:pStyle w:val="Normal"/>
        <w:spacing w:before="0" w:after="229"/>
        <w:ind w:left="0" w:right="10" w:hanging="10"/>
        <w:rPr>
          <w:lang w:val="en-US"/>
        </w:rPr>
      </w:pPr>
      <w:r>
        <w:rPr>
          <w:lang w:val="en-US"/>
        </w:rPr>
        <w:t xml:space="preserve">Specification or Policy established in accordance with this Agreement, Provider shall be afforded a reasonable period of time after notice of the establishment of such Specification or Policy is e-mailed to Provider and posted on the ICANN website in which to comply with that Specification or Policy, taking into account any urgency involved. Notices and designations by ICANN under this Agreement shall be effective when written notice of them is deemed given to Provider. </w:t>
      </w:r>
    </w:p>
    <w:p>
      <w:pPr>
        <w:pStyle w:val="Normal"/>
        <w:spacing w:before="0" w:after="105"/>
        <w:ind w:left="730" w:right="10" w:hanging="10"/>
        <w:rPr>
          <w:lang w:val="en-US"/>
        </w:rPr>
      </w:pPr>
      <w:r>
        <w:rPr>
          <w:lang w:val="en-US"/>
        </w:rPr>
        <w:t xml:space="preserve">If to ICANN, addressed to: </w:t>
      </w:r>
    </w:p>
    <w:p>
      <w:pPr>
        <w:pStyle w:val="Normal"/>
        <w:spacing w:before="0" w:after="11"/>
        <w:ind w:left="730" w:right="10" w:hanging="10"/>
        <w:rPr>
          <w:lang w:val="en-US"/>
        </w:rPr>
      </w:pPr>
      <w:r>
        <w:rPr>
          <w:lang w:val="en-US"/>
        </w:rPr>
        <w:t xml:space="preserve">Internet Corporation for Assigned Names and Numbers </w:t>
      </w:r>
    </w:p>
    <w:p>
      <w:pPr>
        <w:pStyle w:val="Normal"/>
        <w:spacing w:before="0" w:after="0"/>
        <w:ind w:left="730" w:right="3791" w:hanging="10"/>
        <w:rPr>
          <w:lang w:val="en-US"/>
        </w:rPr>
      </w:pPr>
      <w:r>
        <w:rPr>
          <w:lang w:val="en-US"/>
        </w:rPr>
        <w:t xml:space="preserve">12025 Waterfront Drive, Suite 300 Los Angeles, California 90094-2536 USA Attention:  </w:t>
      </w:r>
    </w:p>
    <w:p>
      <w:pPr>
        <w:pStyle w:val="Normal"/>
        <w:spacing w:before="0" w:after="11"/>
        <w:ind w:left="730" w:right="10" w:hanging="10"/>
        <w:rPr>
          <w:lang w:val="en-US"/>
        </w:rPr>
      </w:pPr>
      <w:r>
        <w:rPr>
          <w:lang w:val="en-US"/>
        </w:rPr>
        <w:t xml:space="preserve">Telephone: 1-310-301-5800 </w:t>
      </w:r>
    </w:p>
    <w:p>
      <w:pPr>
        <w:pStyle w:val="Normal"/>
        <w:spacing w:before="0" w:after="11"/>
        <w:ind w:left="730" w:right="10" w:hanging="10"/>
        <w:rPr>
          <w:lang w:val="en-US"/>
        </w:rPr>
      </w:pPr>
      <w:r>
        <w:rPr>
          <w:lang w:val="en-US"/>
        </w:rPr>
        <w:t xml:space="preserve">Facsimile: 1-310-823-8649 </w:t>
      </w:r>
    </w:p>
    <w:p>
      <w:pPr>
        <w:pStyle w:val="Normal"/>
        <w:spacing w:lineRule="auto" w:line="259" w:before="0" w:after="0"/>
        <w:ind w:left="720" w:hanging="0"/>
        <w:rPr>
          <w:lang w:val="en-US"/>
        </w:rPr>
      </w:pPr>
      <w:r>
        <w:rPr>
          <w:lang w:val="en-US"/>
        </w:rPr>
        <w:t xml:space="preserve"> </w:t>
      </w:r>
    </w:p>
    <w:p>
      <w:pPr>
        <w:pStyle w:val="Normal"/>
        <w:spacing w:before="0" w:after="105"/>
        <w:ind w:left="730" w:right="10" w:hanging="10"/>
        <w:rPr>
          <w:lang w:val="en-US"/>
        </w:rPr>
      </w:pPr>
      <w:r>
        <w:rPr>
          <w:lang w:val="en-US"/>
        </w:rPr>
        <w:t xml:space="preserve">If to Provider, addressed to: </w:t>
      </w:r>
    </w:p>
    <w:p>
      <w:pPr>
        <w:pStyle w:val="Normal"/>
        <w:spacing w:before="0" w:after="11"/>
        <w:ind w:left="730" w:right="10" w:hanging="10"/>
        <w:rPr>
          <w:lang w:val="en-US"/>
        </w:rPr>
      </w:pPr>
      <w:r>
        <w:rPr>
          <w:lang w:val="en-US"/>
        </w:rPr>
        <w:t xml:space="preserve">[Provider Name] </w:t>
      </w:r>
    </w:p>
    <w:p>
      <w:pPr>
        <w:pStyle w:val="Normal"/>
        <w:spacing w:before="0" w:after="11"/>
        <w:ind w:left="730" w:right="10" w:hanging="10"/>
        <w:rPr>
          <w:lang w:val="en-US"/>
        </w:rPr>
      </w:pPr>
      <w:r>
        <w:rPr>
          <w:lang w:val="en-US"/>
        </w:rPr>
        <w:t xml:space="preserve">[Courier Address] </w:t>
      </w:r>
    </w:p>
    <w:p>
      <w:pPr>
        <w:pStyle w:val="Normal"/>
        <w:spacing w:before="0" w:after="11"/>
        <w:ind w:left="730" w:right="10" w:hanging="10"/>
        <w:rPr>
          <w:lang w:val="en-US"/>
        </w:rPr>
      </w:pPr>
      <w:r>
        <w:rPr>
          <w:lang w:val="en-US"/>
        </w:rPr>
        <w:t xml:space="preserve">[Mailing Address] </w:t>
      </w:r>
    </w:p>
    <w:p>
      <w:pPr>
        <w:pStyle w:val="Normal"/>
        <w:spacing w:before="0" w:after="11"/>
        <w:ind w:left="730" w:right="10" w:hanging="10"/>
        <w:rPr>
          <w:lang w:val="en-US"/>
        </w:rPr>
      </w:pPr>
      <w:r>
        <w:rPr>
          <w:lang w:val="en-US"/>
        </w:rPr>
        <w:t xml:space="preserve">Attention: [contact person] </w:t>
      </w:r>
    </w:p>
    <w:p>
      <w:pPr>
        <w:pStyle w:val="Normal"/>
        <w:spacing w:before="0" w:after="11"/>
        <w:ind w:left="730" w:right="10" w:hanging="10"/>
        <w:rPr>
          <w:lang w:val="en-US"/>
        </w:rPr>
      </w:pPr>
      <w:r>
        <w:rPr>
          <w:lang w:val="en-US"/>
        </w:rPr>
        <w:t xml:space="preserve">Provider Website URL: [URL] </w:t>
      </w:r>
    </w:p>
    <w:p>
      <w:pPr>
        <w:pStyle w:val="Normal"/>
        <w:ind w:left="730" w:right="4657" w:hanging="10"/>
        <w:rPr>
          <w:lang w:val="en-US"/>
        </w:rPr>
      </w:pPr>
      <w:r>
        <w:rPr>
          <w:lang w:val="en-US"/>
        </w:rPr>
        <w:t xml:space="preserve">Telephone: [telephone number] Facsimile: [fax number] e-mail: [e-mail address] </w:t>
      </w:r>
    </w:p>
    <w:p>
      <w:pPr>
        <w:pStyle w:val="Normal"/>
        <w:ind w:left="0" w:right="10" w:hanging="10"/>
        <w:rPr>
          <w:lang w:val="en-US"/>
        </w:rPr>
      </w:pPr>
      <w:r>
        <w:rPr>
          <w:lang w:val="en-US"/>
        </w:rPr>
        <w:t>7.7</w:t>
      </w:r>
      <w:r>
        <w:rPr>
          <w:rFonts w:eastAsia="Arial" w:cs="Arial" w:ascii="Arial" w:hAnsi="Arial"/>
          <w:lang w:val="en-US"/>
        </w:rPr>
        <w:t xml:space="preserve"> </w:t>
        <w:tab/>
      </w:r>
      <w:r>
        <w:rPr>
          <w:lang w:val="en-US"/>
        </w:rPr>
        <w:t xml:space="preserve"> </w:t>
      </w:r>
      <w:r>
        <w:rPr>
          <w:u w:val="single" w:color="000000"/>
          <w:lang w:val="en-US"/>
        </w:rPr>
        <w:t>Dates and Times</w:t>
      </w:r>
      <w:r>
        <w:rPr>
          <w:lang w:val="en-US"/>
        </w:rPr>
        <w:t xml:space="preserve">. All dates and times relevant to this Agreement or its performance shall be computed based on the date and time observed in Los Angeles, California, USA. </w:t>
      </w:r>
    </w:p>
    <w:p>
      <w:pPr>
        <w:pStyle w:val="Normal"/>
        <w:ind w:left="0" w:right="10" w:hanging="10"/>
        <w:rPr>
          <w:lang w:val="en-US"/>
        </w:rPr>
      </w:pPr>
      <w:r>
        <w:rPr>
          <w:lang w:val="en-US"/>
        </w:rPr>
        <w:t>7.8</w:t>
      </w:r>
      <w:r>
        <w:rPr>
          <w:rFonts w:eastAsia="Arial" w:cs="Arial" w:ascii="Arial" w:hAnsi="Arial"/>
          <w:lang w:val="en-US"/>
        </w:rPr>
        <w:t xml:space="preserve"> </w:t>
        <w:tab/>
      </w:r>
      <w:r>
        <w:rPr>
          <w:lang w:val="en-US"/>
        </w:rPr>
        <w:t xml:space="preserve"> </w:t>
      </w:r>
      <w:r>
        <w:rPr>
          <w:u w:val="single" w:color="000000"/>
          <w:lang w:val="en-US"/>
        </w:rPr>
        <w:t>Language</w:t>
      </w:r>
      <w:r>
        <w:rPr>
          <w:lang w:val="en-US"/>
        </w:rPr>
        <w:t xml:space="preserve">. All notices, designations, and Specifications and/or Policies made under this Agreement shall be in the English language. </w:t>
      </w:r>
    </w:p>
    <w:p>
      <w:pPr>
        <w:pStyle w:val="Normal"/>
        <w:ind w:left="0" w:right="10" w:hanging="10"/>
        <w:rPr>
          <w:lang w:val="en-US"/>
        </w:rPr>
      </w:pPr>
      <w:r>
        <w:rPr>
          <w:lang w:val="en-US"/>
        </w:rPr>
        <w:t>7.9</w:t>
      </w:r>
      <w:r>
        <w:rPr>
          <w:rFonts w:eastAsia="Arial" w:cs="Arial" w:ascii="Arial" w:hAnsi="Arial"/>
          <w:lang w:val="en-US"/>
        </w:rPr>
        <w:t xml:space="preserve"> </w:t>
        <w:tab/>
      </w:r>
      <w:r>
        <w:rPr>
          <w:lang w:val="en-US"/>
        </w:rPr>
        <w:t xml:space="preserve"> </w:t>
      </w:r>
      <w:r>
        <w:rPr>
          <w:u w:val="single" w:color="000000"/>
          <w:lang w:val="en-US"/>
        </w:rPr>
        <w:t>Counterparts</w:t>
      </w:r>
      <w:r>
        <w:rPr>
          <w:lang w:val="en-US"/>
        </w:rPr>
        <w:t xml:space="preserve">. This Agreement may be executed in one or more counterparts, each of which shall be deemed an original, but all of which together shall constitute one and the same instrument. </w:t>
      </w:r>
    </w:p>
    <w:p>
      <w:pPr>
        <w:pStyle w:val="Normal"/>
        <w:ind w:left="0" w:right="10" w:hanging="10"/>
        <w:rPr>
          <w:lang w:val="en-US"/>
        </w:rPr>
      </w:pPr>
      <w:r>
        <w:rPr>
          <w:lang w:val="en-US"/>
        </w:rPr>
        <w:t>7.10</w:t>
      </w:r>
      <w:r>
        <w:rPr>
          <w:rFonts w:eastAsia="Arial" w:cs="Arial" w:ascii="Arial" w:hAnsi="Arial"/>
          <w:lang w:val="en-US"/>
        </w:rPr>
        <w:t xml:space="preserve"> </w:t>
        <w:tab/>
      </w:r>
      <w:r>
        <w:rPr>
          <w:lang w:val="en-US"/>
        </w:rPr>
        <w:t xml:space="preserve"> </w:t>
      </w:r>
      <w:r>
        <w:rPr>
          <w:u w:val="single" w:color="000000"/>
          <w:lang w:val="en-US"/>
        </w:rPr>
        <w:t>Entire Agreement</w:t>
      </w:r>
      <w:r>
        <w:rPr>
          <w:lang w:val="en-US"/>
        </w:rPr>
        <w:t xml:space="preserve">. Except to the extent (a) expressly provided in a written agreement executed by both parties concurrently herewith or (b) of written assurances provided by Registrar to ICANN in connection with its Accreditation, this Agreement (including the Specifications, which form part of it) constitutes the entire agreement of the parties pertaining to the Accreditation of Provider and supersedes all prior agreements, understandings, negotiations and discussions, whether oral or written, between the parties on that subject. </w:t>
      </w:r>
    </w:p>
    <w:p>
      <w:pPr>
        <w:pStyle w:val="Normal"/>
        <w:ind w:left="0" w:right="10" w:hanging="10"/>
        <w:rPr>
          <w:lang w:val="en-US"/>
        </w:rPr>
      </w:pPr>
      <w:r>
        <w:rPr>
          <w:lang w:val="en-US"/>
        </w:rPr>
        <w:t>7.11</w:t>
      </w:r>
      <w:r>
        <w:rPr>
          <w:rFonts w:eastAsia="Arial" w:cs="Arial" w:ascii="Arial" w:hAnsi="Arial"/>
          <w:lang w:val="en-US"/>
        </w:rPr>
        <w:t xml:space="preserve"> </w:t>
        <w:tab/>
      </w:r>
      <w:r>
        <w:rPr>
          <w:u w:val="single" w:color="000000"/>
          <w:lang w:val="en-US"/>
        </w:rPr>
        <w:t>Severability</w:t>
      </w:r>
      <w:r>
        <w:rPr>
          <w:lang w:val="en-US"/>
        </w:rPr>
        <w:t xml:space="preserve">. If one or more provisions of this Agreement are held to be unenforceable under applicable law, the parties agree to renegotiate such provision in good faith. In the event that the parties cannot reach a mutually agreeable and enforceable replacement for such provision, then (a) such provision shall be excluded from this Agreement; (b) the balance of this Agreement shall be interpreted as if such provision were so excluded; and (c) the balance of this Agreement shall be enforceable in accordance with its terms. </w:t>
      </w:r>
    </w:p>
    <w:p>
      <w:pPr>
        <w:pStyle w:val="Normal"/>
        <w:spacing w:before="0" w:after="0"/>
        <w:ind w:left="0" w:right="10" w:hanging="10"/>
        <w:rPr>
          <w:lang w:val="en-US"/>
        </w:rPr>
      </w:pPr>
      <w:r>
        <w:rPr>
          <w:lang w:val="en-US"/>
        </w:rPr>
        <w:t>7.12</w:t>
      </w:r>
      <w:r>
        <w:rPr>
          <w:rFonts w:eastAsia="Arial" w:cs="Arial" w:ascii="Arial" w:hAnsi="Arial"/>
          <w:lang w:val="en-US"/>
        </w:rPr>
        <w:t xml:space="preserve"> </w:t>
        <w:tab/>
      </w:r>
      <w:r>
        <w:rPr>
          <w:u w:val="single" w:color="000000"/>
          <w:lang w:val="en-US"/>
        </w:rPr>
        <w:t>Interpretation</w:t>
      </w:r>
      <w:r>
        <w:rPr>
          <w:lang w:val="en-US"/>
        </w:rPr>
        <w:t xml:space="preserve">.  In this Agreement, except to the extent otherwise provided or that the context otherwise requires: (a) references made in this Agreement to an </w:t>
      </w:r>
    </w:p>
    <w:p>
      <w:pPr>
        <w:pStyle w:val="Normal"/>
        <w:spacing w:before="0" w:after="0"/>
        <w:ind w:left="0" w:right="10" w:hanging="10"/>
        <w:rPr>
          <w:lang w:val="en-US"/>
        </w:rPr>
      </w:pPr>
      <w:r>
        <w:rPr>
          <w:lang w:val="en-US"/>
        </w:rPr>
        <w:t xml:space="preserve">Article, Section, Exhibit or Schedule are references to an Article, Section, Exhibit, or Schedule of this Agreement; (b) all Exhibits and Schedules annexed hereto or referred to herein are hereby incorporated in and made a part of this Agreement as if set forth herein; (c) the headings in this Agreement are for reference purposes only and do not affect in any way the meaning or interpretation of this Agreement; (d) whenever the words “include,” “includes” or “including” are used in this </w:t>
      </w:r>
    </w:p>
    <w:p>
      <w:pPr>
        <w:pStyle w:val="Normal"/>
        <w:spacing w:before="0" w:after="232"/>
        <w:ind w:left="0" w:right="10" w:hanging="10"/>
        <w:rPr>
          <w:lang w:val="en-US"/>
        </w:rPr>
      </w:pPr>
      <w:r>
        <w:rPr>
          <w:lang w:val="en-US"/>
        </w:rPr>
        <w:t xml:space="preserve">Agreement, they are deemed to be followed by the words “without limitation”; (e) the words “hereof,” “herein” and “hereunder” and words of similar import, when used in this Agreement, refer to this Agreement as a whole and not to any particular provision of this Agreement; (f)  the singular number will include the plural, and vice versa; (g) references to a Person are also to its successors and permitted assigns; and (h) the use of “or” is not intended to be exclusive unless expressly indicated otherwise. </w:t>
      </w:r>
    </w:p>
    <w:p>
      <w:pPr>
        <w:pStyle w:val="Normal"/>
        <w:spacing w:lineRule="auto" w:line="247" w:before="0" w:after="227"/>
        <w:ind w:left="79" w:right="66" w:hanging="10"/>
        <w:jc w:val="center"/>
        <w:rPr>
          <w:lang w:val="en-US"/>
        </w:rPr>
      </w:pPr>
      <w:r>
        <w:rPr>
          <w:lang w:val="en-US"/>
        </w:rPr>
        <w:t xml:space="preserve">[signature page follows] </w:t>
      </w:r>
    </w:p>
    <w:p>
      <w:pPr>
        <w:pStyle w:val="Normal"/>
        <w:spacing w:before="0" w:after="238"/>
        <w:ind w:left="0" w:right="10" w:hanging="10"/>
        <w:rPr>
          <w:lang w:val="en-US"/>
        </w:rPr>
      </w:pPr>
      <w:r>
        <w:rPr>
          <w:lang w:val="en-US"/>
        </w:rPr>
        <w:t xml:space="preserve">IN WITNESS WHEREOF, the parties hereto have caused this Agreement to be executed in duplicate by their duly authorized representatives. </w:t>
      </w:r>
    </w:p>
    <w:p>
      <w:pPr>
        <w:pStyle w:val="Kop1"/>
        <w:tabs>
          <w:tab w:val="center" w:pos="4998" w:leader="none"/>
        </w:tabs>
        <w:spacing w:lineRule="auto" w:line="247" w:before="0" w:after="122"/>
        <w:ind w:left="0" w:hanging="0"/>
        <w:jc w:val="left"/>
        <w:rPr>
          <w:lang w:val="en-US"/>
        </w:rPr>
      </w:pPr>
      <w:r>
        <w:rPr>
          <w:lang w:val="en-US"/>
        </w:rPr>
        <w:t xml:space="preserve">ICANN </w:t>
        <w:tab/>
        <w:t xml:space="preserve">[Provider] </w:t>
      </w:r>
    </w:p>
    <w:p>
      <w:pPr>
        <w:pStyle w:val="Normal"/>
        <w:spacing w:lineRule="auto" w:line="259" w:before="0" w:after="109"/>
        <w:ind w:left="108" w:hanging="0"/>
        <w:rPr>
          <w:lang w:val="en-US"/>
        </w:rPr>
      </w:pPr>
      <w:r>
        <w:rPr>
          <w:lang w:val="en-US"/>
        </w:rPr>
        <w:t xml:space="preserve"> </w:t>
      </w:r>
      <w:r>
        <w:rPr>
          <w:lang w:val="en-US"/>
        </w:rPr>
        <w:tab/>
      </w:r>
      <w:r>
        <w:rPr>
          <w:b/>
          <w:lang w:val="en-US"/>
        </w:rPr>
        <w:t xml:space="preserve"> </w:t>
      </w:r>
    </w:p>
    <w:p>
      <w:pPr>
        <w:pStyle w:val="Normal"/>
        <w:tabs>
          <w:tab w:val="center" w:pos="828" w:leader="none"/>
          <w:tab w:val="center" w:pos="1548" w:leader="none"/>
          <w:tab w:val="center" w:pos="2269" w:leader="none"/>
          <w:tab w:val="center" w:pos="2989" w:leader="none"/>
          <w:tab w:val="center" w:pos="3709" w:leader="none"/>
          <w:tab w:val="center" w:pos="4586" w:leader="none"/>
          <w:tab w:val="center" w:pos="5142" w:leader="none"/>
          <w:tab w:val="center" w:pos="5862" w:leader="none"/>
          <w:tab w:val="center" w:pos="6582" w:leader="none"/>
          <w:tab w:val="center" w:pos="7302" w:leader="none"/>
          <w:tab w:val="center" w:pos="8022" w:leader="none"/>
        </w:tabs>
        <w:spacing w:before="0" w:after="110"/>
        <w:ind w:left="0" w:hanging="0"/>
        <w:rPr>
          <w:lang w:val="en-US"/>
        </w:rPr>
      </w:pPr>
      <w:r>
        <w:rPr>
          <w:lang w:val="en-US"/>
        </w:rPr>
        <w:t xml:space="preserve">By:   </w:t>
        <w:tab/>
        <w:t xml:space="preserve"> </w:t>
        <w:tab/>
        <w:t xml:space="preserve"> </w:t>
        <w:tab/>
        <w:t xml:space="preserve"> </w:t>
        <w:tab/>
        <w:t xml:space="preserve"> </w:t>
        <w:tab/>
        <w:t xml:space="preserve"> </w:t>
        <w:tab/>
        <w:t xml:space="preserve">By:   </w:t>
        <w:tab/>
        <w:t xml:space="preserve"> </w:t>
        <w:tab/>
        <w:t xml:space="preserve"> </w:t>
        <w:tab/>
        <w:t xml:space="preserve"> </w:t>
        <w:tab/>
        <w:t xml:space="preserve"> </w:t>
        <w:tab/>
        <w:t xml:space="preserve"> </w:t>
      </w:r>
    </w:p>
    <w:p>
      <w:pPr>
        <w:sectPr>
          <w:footerReference w:type="default" r:id="rId3"/>
          <w:type w:val="nextPage"/>
          <w:pgSz w:w="12240" w:h="15840"/>
          <w:pgMar w:left="1800" w:right="1802" w:header="0" w:top="1475" w:footer="703" w:bottom="1498" w:gutter="0"/>
          <w:pgNumType w:fmt="decimal"/>
          <w:formProt w:val="false"/>
          <w:textDirection w:val="lrTb"/>
          <w:docGrid w:type="default" w:linePitch="240" w:charSpace="4294961151"/>
        </w:sectPr>
        <w:pStyle w:val="Normal"/>
        <w:spacing w:lineRule="auto" w:line="338"/>
        <w:ind w:left="118" w:right="10" w:hanging="10"/>
        <w:rPr/>
      </w:pPr>
      <w:r>
        <mc:AlternateContent>
          <mc:Choice Requires="wpg">
            <w:drawing>
              <wp:anchor behindDoc="0" distT="0" distB="0" distL="114300" distR="114300" simplePos="0" locked="0" layoutInCell="1" allowOverlap="1" relativeHeight="3" wp14:anchorId="7ECD736C">
                <wp:simplePos x="0" y="0"/>
                <wp:positionH relativeFrom="column">
                  <wp:posOffset>346075</wp:posOffset>
                </wp:positionH>
                <wp:positionV relativeFrom="paragraph">
                  <wp:posOffset>-126365</wp:posOffset>
                </wp:positionV>
                <wp:extent cx="2009140" cy="518795"/>
                <wp:effectExtent l="0" t="0" r="0" b="0"/>
                <wp:wrapSquare wrapText="bothSides"/>
                <wp:docPr id="3" name="Group 62124"/>
                <a:graphic xmlns:a="http://schemas.openxmlformats.org/drawingml/2006/main">
                  <a:graphicData uri="http://schemas.microsoft.com/office/word/2010/wordprocessingGroup">
                    <wpg:wgp>
                      <wpg:cNvGrpSpPr/>
                      <wpg:grpSpPr>
                        <a:xfrm>
                          <a:off x="0" y="0"/>
                          <a:ext cx="2008440" cy="518040"/>
                        </a:xfrm>
                      </wpg:grpSpPr>
                      <wps:wsp>
                        <wps:cNvSpPr/>
                        <wps:spPr>
                          <a:xfrm>
                            <a:off x="0" y="0"/>
                            <a:ext cx="2008440" cy="8280"/>
                          </a:xfrm>
                          <a:custGeom>
                            <a:avLst/>
                            <a:gdLst/>
                            <a:ahLst/>
                            <a:rect l="l" t="t" r="r" b="b"/>
                            <a:pathLst>
                              <a:path w="2008886" h="9144">
                                <a:moveTo>
                                  <a:pt x="0" y="0"/>
                                </a:moveTo>
                                <a:lnTo>
                                  <a:pt x="2008886" y="0"/>
                                </a:lnTo>
                                <a:lnTo>
                                  <a:pt x="2008886"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175320" y="254520"/>
                            <a:ext cx="1833120" cy="9000"/>
                          </a:xfrm>
                          <a:custGeom>
                            <a:avLst/>
                            <a:gdLst/>
                            <a:ahLst/>
                            <a:rect l="l" t="t" r="r" b="b"/>
                            <a:pathLst>
                              <a:path w="1833626" h="9144">
                                <a:moveTo>
                                  <a:pt x="0" y="0"/>
                                </a:moveTo>
                                <a:lnTo>
                                  <a:pt x="1833626" y="0"/>
                                </a:lnTo>
                                <a:lnTo>
                                  <a:pt x="1833626"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179640" y="509760"/>
                            <a:ext cx="1828080" cy="8280"/>
                          </a:xfrm>
                          <a:custGeom>
                            <a:avLst/>
                            <a:gdLst/>
                            <a:ahLst/>
                            <a:rect l="l" t="t" r="r" b="b"/>
                            <a:pathLst>
                              <a:path w="1829054" h="9144">
                                <a:moveTo>
                                  <a:pt x="0" y="0"/>
                                </a:moveTo>
                                <a:lnTo>
                                  <a:pt x="1829054" y="0"/>
                                </a:lnTo>
                                <a:lnTo>
                                  <a:pt x="1829054" y="9144"/>
                                </a:lnTo>
                                <a:lnTo>
                                  <a:pt x="0" y="9144"/>
                                </a:lnTo>
                                <a:lnTo>
                                  <a:pt x="0" y="0"/>
                                </a:lnTo>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62124" style="position:absolute;margin-left:27.25pt;margin-top:-9.95pt;width:158.15pt;height:40.8pt" coordorigin="545,-199" coordsize="3163,816"/>
            </w:pict>
          </mc:Fallback>
        </mc:AlternateContent>
        <mc:AlternateContent>
          <mc:Choice Requires="wpg">
            <w:drawing>
              <wp:anchor behindDoc="0" distT="0" distB="0" distL="114300" distR="114300" simplePos="0" locked="0" layoutInCell="1" allowOverlap="1" relativeHeight="4" wp14:anchorId="52E82405">
                <wp:simplePos x="0" y="0"/>
                <wp:positionH relativeFrom="column">
                  <wp:posOffset>3085465</wp:posOffset>
                </wp:positionH>
                <wp:positionV relativeFrom="paragraph">
                  <wp:posOffset>-126365</wp:posOffset>
                </wp:positionV>
                <wp:extent cx="2009140" cy="518795"/>
                <wp:effectExtent l="0" t="0" r="0" b="0"/>
                <wp:wrapSquare wrapText="bothSides"/>
                <wp:docPr id="4" name="Group 62125"/>
                <a:graphic xmlns:a="http://schemas.openxmlformats.org/drawingml/2006/main">
                  <a:graphicData uri="http://schemas.microsoft.com/office/word/2010/wordprocessingGroup">
                    <wpg:wgp>
                      <wpg:cNvGrpSpPr/>
                      <wpg:grpSpPr>
                        <a:xfrm>
                          <a:off x="0" y="0"/>
                          <a:ext cx="2008440" cy="518040"/>
                        </a:xfrm>
                      </wpg:grpSpPr>
                      <wps:wsp>
                        <wps:cNvSpPr/>
                        <wps:spPr>
                          <a:xfrm>
                            <a:off x="0" y="0"/>
                            <a:ext cx="2008440" cy="8280"/>
                          </a:xfrm>
                          <a:custGeom>
                            <a:avLst/>
                            <a:gdLst/>
                            <a:ahLst/>
                            <a:rect l="l" t="t" r="r" b="b"/>
                            <a:pathLst>
                              <a:path w="2008886" h="9144">
                                <a:moveTo>
                                  <a:pt x="0" y="0"/>
                                </a:moveTo>
                                <a:lnTo>
                                  <a:pt x="2008886" y="0"/>
                                </a:lnTo>
                                <a:lnTo>
                                  <a:pt x="2008886"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175320" y="254520"/>
                            <a:ext cx="1833120" cy="9000"/>
                          </a:xfrm>
                          <a:custGeom>
                            <a:avLst/>
                            <a:gdLst/>
                            <a:ahLst/>
                            <a:rect l="l" t="t" r="r" b="b"/>
                            <a:pathLst>
                              <a:path w="1833626" h="9144">
                                <a:moveTo>
                                  <a:pt x="0" y="0"/>
                                </a:moveTo>
                                <a:lnTo>
                                  <a:pt x="1833626" y="0"/>
                                </a:lnTo>
                                <a:lnTo>
                                  <a:pt x="1833626"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179640" y="509760"/>
                            <a:ext cx="1828080" cy="8280"/>
                          </a:xfrm>
                          <a:custGeom>
                            <a:avLst/>
                            <a:gdLst/>
                            <a:ahLst/>
                            <a:rect l="l" t="t" r="r" b="b"/>
                            <a:pathLst>
                              <a:path w="1829054" h="9144">
                                <a:moveTo>
                                  <a:pt x="0" y="0"/>
                                </a:moveTo>
                                <a:lnTo>
                                  <a:pt x="1829054" y="0"/>
                                </a:lnTo>
                                <a:lnTo>
                                  <a:pt x="1829054" y="9144"/>
                                </a:lnTo>
                                <a:lnTo>
                                  <a:pt x="0" y="9144"/>
                                </a:lnTo>
                                <a:lnTo>
                                  <a:pt x="0" y="0"/>
                                </a:lnTo>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62125" style="position:absolute;margin-left:242.95pt;margin-top:-9.95pt;width:158.15pt;height:40.8pt" coordorigin="4859,-199" coordsize="3163,816"/>
            </w:pict>
          </mc:Fallback>
        </mc:AlternateContent>
      </w:r>
      <w:r>
        <w:rPr>
          <w:lang w:val="en-US"/>
        </w:rPr>
        <w:t xml:space="preserve">Name:       Name:       Title:        Title:       </w:t>
      </w:r>
      <w:r>
        <w:rPr>
          <w:b/>
          <w:lang w:val="en-US"/>
        </w:rPr>
        <w:t xml:space="preserve"> </w:t>
      </w:r>
    </w:p>
    <w:p>
      <w:pPr>
        <w:pStyle w:val="Kop1"/>
        <w:ind w:left="129" w:right="112" w:hanging="10"/>
        <w:rPr>
          <w:lang w:val="en-US"/>
        </w:rPr>
      </w:pPr>
      <w:r>
        <w:rPr>
          <w:lang w:val="en-US"/>
        </w:rPr>
        <w:t xml:space="preserve">SPECIFICATION 1: DATA ESCROW SPECIFICATION </w:t>
      </w:r>
    </w:p>
    <w:p>
      <w:pPr>
        <w:pStyle w:val="Normal"/>
        <w:spacing w:lineRule="auto" w:line="259" w:before="0" w:after="212"/>
        <w:ind w:left="60" w:hanging="0"/>
        <w:jc w:val="center"/>
        <w:rPr>
          <w:lang w:val="en-US"/>
        </w:rPr>
      </w:pPr>
      <w:r>
        <w:rPr>
          <w:b/>
          <w:lang w:val="en-US"/>
        </w:rPr>
        <w:t xml:space="preserve"> </w:t>
      </w:r>
    </w:p>
    <w:p>
      <w:pPr>
        <w:pStyle w:val="Normal"/>
        <w:spacing w:before="0" w:after="0"/>
        <w:ind w:left="111" w:right="10" w:hanging="10"/>
        <w:rPr>
          <w:lang w:val="en-US"/>
        </w:rPr>
      </w:pPr>
      <w:r>
        <w:rPr>
          <w:lang w:val="en-US"/>
        </w:rPr>
        <w:t xml:space="preserve">Provider will engage an independent entity to act as data escrow agent (“Escrow Agent”) for the provision of data escrow services related to the Agreement. The following Technical Specifications set forth in Part A, and Legal Requirements set forth in Part B, will be included in any data escrow agreement between Provider and the Escrow Agent, under which ICANN must be named a third-party beneficiary. In addition to the following requirements, the data escrow agreement may contain other provisions that are not contradictory or intended to subvert the required terms provided below. </w:t>
      </w:r>
    </w:p>
    <w:p>
      <w:pPr>
        <w:pStyle w:val="Normal"/>
        <w:spacing w:lineRule="auto" w:line="259" w:before="0" w:after="0"/>
        <w:ind w:left="0" w:hanging="0"/>
        <w:rPr>
          <w:lang w:val="en-US"/>
        </w:rPr>
      </w:pPr>
      <w:r>
        <w:rPr>
          <w:lang w:val="en-US"/>
        </w:rPr>
        <w:t xml:space="preserve"> </w:t>
      </w:r>
    </w:p>
    <w:p>
      <w:pPr>
        <w:pStyle w:val="Kop1"/>
        <w:spacing w:lineRule="auto" w:line="247" w:before="0" w:after="258"/>
        <w:ind w:left="103" w:hanging="10"/>
        <w:jc w:val="left"/>
        <w:rPr/>
      </w:pPr>
      <w:r>
        <w:rPr/>
        <w:t xml:space="preserve">PART A – TECHNICAL SPECIFICATIONS </w:t>
      </w:r>
    </w:p>
    <w:p>
      <w:pPr>
        <w:pStyle w:val="Normal"/>
        <w:numPr>
          <w:ilvl w:val="0"/>
          <w:numId w:val="4"/>
        </w:numPr>
        <w:spacing w:before="0" w:after="0"/>
        <w:ind w:left="360" w:right="10" w:hanging="360"/>
        <w:rPr>
          <w:lang w:val="en-US"/>
        </w:rPr>
      </w:pPr>
      <w:r>
        <w:rPr>
          <w:b/>
          <w:u w:val="single" w:color="000000"/>
          <w:lang w:val="en-US"/>
        </w:rPr>
        <w:t>Deposits</w:t>
      </w:r>
      <w:r>
        <w:rPr>
          <w:lang w:val="en-US"/>
        </w:rPr>
        <w:t xml:space="preserve">. There will be two types of Deposits: Full and Differential. For both types, the universe of Provider objects to be considered for data escrow are those objects defined in section 3.2 of this Specification. </w:t>
      </w:r>
    </w:p>
    <w:p>
      <w:pPr>
        <w:pStyle w:val="Normal"/>
        <w:spacing w:lineRule="auto" w:line="259" w:before="0" w:after="5"/>
        <w:ind w:left="0" w:hanging="0"/>
        <w:rPr>
          <w:lang w:val="en-US"/>
        </w:rPr>
      </w:pPr>
      <w:r>
        <w:rPr>
          <w:lang w:val="en-US"/>
        </w:rPr>
        <w:t xml:space="preserve"> </w:t>
      </w:r>
    </w:p>
    <w:p>
      <w:pPr>
        <w:pStyle w:val="Normal"/>
        <w:numPr>
          <w:ilvl w:val="1"/>
          <w:numId w:val="4"/>
        </w:numPr>
        <w:spacing w:lineRule="auto" w:line="237" w:before="0" w:after="4"/>
        <w:ind w:left="792" w:right="207" w:hanging="432"/>
        <w:rPr>
          <w:lang w:val="en-US"/>
        </w:rPr>
      </w:pPr>
      <w:r>
        <w:rPr>
          <w:lang w:val="en-US"/>
        </w:rPr>
        <w:t>“</w:t>
      </w:r>
      <w:r>
        <w:rPr>
          <w:b/>
          <w:lang w:val="en-US"/>
        </w:rPr>
        <w:t>Full Deposit</w:t>
      </w:r>
      <w:r>
        <w:rPr>
          <w:lang w:val="en-US"/>
        </w:rPr>
        <w:t xml:space="preserve">” will consist of data that reflects the state of the Provider objects as of 00:00:00 UTC (Coordinated Universal Time) on the day that such Full Deposit is submitted to Escrow Agent. </w:t>
      </w:r>
    </w:p>
    <w:p>
      <w:pPr>
        <w:pStyle w:val="Normal"/>
        <w:spacing w:lineRule="auto" w:line="259" w:before="0" w:after="7"/>
        <w:ind w:left="0" w:hanging="0"/>
        <w:rPr>
          <w:lang w:val="en-US"/>
        </w:rPr>
      </w:pPr>
      <w:r>
        <w:rPr>
          <w:lang w:val="en-US"/>
        </w:rPr>
        <w:t xml:space="preserve"> </w:t>
      </w:r>
    </w:p>
    <w:p>
      <w:pPr>
        <w:pStyle w:val="Normal"/>
        <w:numPr>
          <w:ilvl w:val="1"/>
          <w:numId w:val="4"/>
        </w:numPr>
        <w:spacing w:before="0" w:after="0"/>
        <w:ind w:left="792" w:right="207" w:hanging="432"/>
        <w:rPr>
          <w:lang w:val="en-US"/>
        </w:rPr>
      </w:pPr>
      <w:r>
        <w:rPr>
          <w:lang w:val="en-US"/>
        </w:rPr>
        <w:t>“</w:t>
      </w:r>
      <w:r>
        <w:rPr>
          <w:b/>
          <w:lang w:val="en-US"/>
        </w:rPr>
        <w:t>Differential Deposit</w:t>
      </w:r>
      <w:r>
        <w:rPr>
          <w:lang w:val="en-US"/>
        </w:rPr>
        <w:t xml:space="preserve">” means data that reflects all transactions that were not reflected in the last previous Full or Differential Deposit, as the case may be. Each Differential Deposit will contain all database transactions since the previous Deposit was completed as of 00:00:00 UTC of each day, but Sunday. Differential Deposits must include complete Escrow Records as specified below that were not included or changed since the most recent full or Differential Deposit (i.e., all additions, modifications or removals of data). </w:t>
      </w:r>
    </w:p>
    <w:p>
      <w:pPr>
        <w:pStyle w:val="Normal"/>
        <w:spacing w:lineRule="auto" w:line="259" w:before="0" w:after="7"/>
        <w:ind w:left="0" w:hanging="0"/>
        <w:rPr>
          <w:lang w:val="en-US"/>
        </w:rPr>
      </w:pPr>
      <w:r>
        <w:rPr>
          <w:lang w:val="en-US"/>
        </w:rPr>
        <w:t xml:space="preserve"> </w:t>
      </w:r>
    </w:p>
    <w:p>
      <w:pPr>
        <w:pStyle w:val="Normal"/>
        <w:numPr>
          <w:ilvl w:val="0"/>
          <w:numId w:val="4"/>
        </w:numPr>
        <w:spacing w:before="0" w:after="0"/>
        <w:ind w:left="360" w:right="10" w:hanging="360"/>
        <w:rPr>
          <w:lang w:val="en-US"/>
        </w:rPr>
      </w:pPr>
      <w:r>
        <w:rPr>
          <w:b/>
          <w:u w:val="single" w:color="000000"/>
          <w:lang w:val="en-US"/>
        </w:rPr>
        <w:t>Schedule for Deposits</w:t>
      </w:r>
      <w:r>
        <w:rPr>
          <w:lang w:val="en-US"/>
        </w:rPr>
        <w:t xml:space="preserve">. Provider will submit a set of escrow files on a daily basis as follows: </w:t>
      </w:r>
    </w:p>
    <w:p>
      <w:pPr>
        <w:pStyle w:val="Normal"/>
        <w:spacing w:lineRule="auto" w:line="259" w:before="0" w:after="7"/>
        <w:ind w:left="0" w:hanging="0"/>
        <w:rPr>
          <w:lang w:val="en-US"/>
        </w:rPr>
      </w:pPr>
      <w:r>
        <w:rPr>
          <w:lang w:val="en-US"/>
        </w:rPr>
        <w:t xml:space="preserve"> </w:t>
      </w:r>
    </w:p>
    <w:p>
      <w:pPr>
        <w:pStyle w:val="Normal"/>
        <w:numPr>
          <w:ilvl w:val="1"/>
          <w:numId w:val="4"/>
        </w:numPr>
        <w:spacing w:before="0" w:after="11"/>
        <w:ind w:left="792" w:right="207" w:hanging="432"/>
        <w:rPr>
          <w:lang w:val="en-US"/>
        </w:rPr>
      </w:pPr>
      <w:r>
        <w:rPr>
          <w:lang w:val="en-US"/>
        </w:rPr>
        <w:t xml:space="preserve">Each Sunday, a Full Deposit must be submitted to the Escrow Agent by 23:59 UTC. </w:t>
      </w:r>
    </w:p>
    <w:p>
      <w:pPr>
        <w:pStyle w:val="Normal"/>
        <w:spacing w:lineRule="auto" w:line="259" w:before="0" w:after="7"/>
        <w:ind w:left="0" w:hanging="0"/>
        <w:rPr>
          <w:lang w:val="en-US"/>
        </w:rPr>
      </w:pPr>
      <w:r>
        <w:rPr>
          <w:lang w:val="en-US"/>
        </w:rPr>
        <w:t xml:space="preserve"> </w:t>
      </w:r>
    </w:p>
    <w:p>
      <w:pPr>
        <w:pStyle w:val="Normal"/>
        <w:numPr>
          <w:ilvl w:val="1"/>
          <w:numId w:val="4"/>
        </w:numPr>
        <w:spacing w:before="0" w:after="0"/>
        <w:ind w:left="792" w:right="207" w:hanging="432"/>
        <w:rPr>
          <w:lang w:val="en-US"/>
        </w:rPr>
      </w:pPr>
      <w:r>
        <w:rPr>
          <w:lang w:val="en-US"/>
        </w:rPr>
        <w:t xml:space="preserve">The other six (6) days of the week, a Full Deposit or the corresponding Differential Deposit must be submitted to Escrow Agent by 23:59 UTC. </w:t>
      </w:r>
    </w:p>
    <w:p>
      <w:pPr>
        <w:pStyle w:val="Normal"/>
        <w:spacing w:lineRule="auto" w:line="259" w:before="0" w:after="7"/>
        <w:ind w:left="0" w:hanging="0"/>
        <w:rPr>
          <w:lang w:val="en-US"/>
        </w:rPr>
      </w:pPr>
      <w:r>
        <w:rPr>
          <w:lang w:val="en-US"/>
        </w:rPr>
        <w:t xml:space="preserve"> </w:t>
      </w:r>
    </w:p>
    <w:p>
      <w:pPr>
        <w:pStyle w:val="Normal"/>
        <w:numPr>
          <w:ilvl w:val="0"/>
          <w:numId w:val="4"/>
        </w:numPr>
        <w:spacing w:lineRule="auto" w:line="259" w:before="0" w:after="243"/>
        <w:ind w:left="360" w:right="10" w:hanging="360"/>
        <w:rPr/>
      </w:pPr>
      <w:r>
        <w:rPr>
          <w:b/>
          <w:u w:val="single" w:color="000000"/>
        </w:rPr>
        <w:t>Escrow Format Specification</w:t>
      </w:r>
      <w:r>
        <w:rPr/>
        <w:t xml:space="preserve">. </w:t>
      </w:r>
    </w:p>
    <w:p>
      <w:pPr>
        <w:pStyle w:val="Normal"/>
        <w:numPr>
          <w:ilvl w:val="1"/>
          <w:numId w:val="4"/>
        </w:numPr>
        <w:spacing w:before="0" w:after="0"/>
        <w:ind w:left="792" w:right="207" w:hanging="432"/>
        <w:rPr>
          <w:lang w:val="en-US"/>
        </w:rPr>
      </w:pPr>
      <w:r>
        <w:rPr>
          <w:b/>
          <w:lang w:val="en-US"/>
        </w:rPr>
        <w:t>Deposit’s Format</w:t>
      </w:r>
      <w:r>
        <w:rPr>
          <w:lang w:val="en-US"/>
        </w:rPr>
        <w:t xml:space="preserve">.  Provider objects will be compiled into a file constructed as described in draft-arias-noguchi-registry-data-escrow, see Part A, Section 9, reference 1 of this Specification. and draft-arias-noguchi-dnrd-objects-mapping, see </w:t>
      </w:r>
    </w:p>
    <w:p>
      <w:pPr>
        <w:pStyle w:val="Normal"/>
        <w:spacing w:before="0" w:after="11"/>
        <w:ind w:left="802" w:right="10" w:hanging="10"/>
        <w:rPr>
          <w:lang w:val="en-US"/>
        </w:rPr>
      </w:pPr>
      <w:r>
        <w:rPr>
          <w:lang w:val="en-US"/>
        </w:rPr>
        <w:t xml:space="preserve">Part A, Section 9, reference 2 of this Specification (collectively, the “DNDE </w:t>
      </w:r>
    </w:p>
    <w:p>
      <w:pPr>
        <w:pStyle w:val="Normal"/>
        <w:ind w:left="802" w:right="10" w:hanging="10"/>
        <w:rPr/>
      </w:pPr>
      <w:r>
        <w:rPr>
          <w:lang w:val="en-US"/>
        </w:rPr>
        <w:t xml:space="preserve">Specification”).  The DNDE Specification describes some elements as optional; Provider will include those elements in the Deposits if they are available.  If not already an RFC, Provider will use the most recent draft version of the DNDE Specification available at the Effective Date.  Provider may at its election use newer versions of the DNDE Specification after the Effective Date.  Once the DNDE Specification is published as an RFC, Provider will implement that version of the DNDE Specification, no later than one hundred eighty (180) calendar days after.  </w:t>
      </w:r>
      <w:r>
        <w:rPr/>
        <w:t xml:space="preserve">UTF-8 character encoding will be used. </w:t>
      </w:r>
    </w:p>
    <w:p>
      <w:pPr>
        <w:pStyle w:val="Normal"/>
        <w:numPr>
          <w:ilvl w:val="1"/>
          <w:numId w:val="4"/>
        </w:numPr>
        <w:spacing w:before="0" w:after="0"/>
        <w:ind w:left="792" w:right="207" w:hanging="432"/>
        <w:rPr>
          <w:lang w:val="en-US"/>
        </w:rPr>
      </w:pPr>
      <w:r>
        <w:rPr>
          <w:b/>
          <w:lang w:val="en-US"/>
        </w:rPr>
        <w:t xml:space="preserve">Deposit’s Contents. </w:t>
      </w:r>
      <w:r>
        <w:rPr>
          <w:lang w:val="en-US"/>
        </w:rPr>
        <w:t xml:space="preserve">Provider shall submit the following Customer private data in its deposit to an ICANN-approved escrow agent on a schedule, under the terms and in the format specified in this Specification: </w:t>
      </w:r>
    </w:p>
    <w:p>
      <w:pPr>
        <w:pStyle w:val="Normal"/>
        <w:spacing w:lineRule="auto" w:line="259" w:before="0" w:after="243"/>
        <w:ind w:left="821" w:hanging="0"/>
        <w:rPr>
          <w:lang w:val="en-US"/>
        </w:rPr>
      </w:pPr>
      <w:r>
        <w:rPr>
          <w:lang w:val="en-US"/>
        </w:rPr>
        <w:t xml:space="preserve"> </w:t>
      </w:r>
    </w:p>
    <w:p>
      <w:pPr>
        <w:pStyle w:val="Normal"/>
        <w:numPr>
          <w:ilvl w:val="2"/>
          <w:numId w:val="4"/>
        </w:numPr>
        <w:spacing w:before="0" w:after="0"/>
        <w:ind w:left="1332" w:right="10" w:hanging="720"/>
        <w:rPr>
          <w:lang w:val="en-US"/>
        </w:rPr>
      </w:pPr>
      <w:r>
        <w:rPr>
          <w:lang w:val="en-US"/>
        </w:rPr>
        <w:t xml:space="preserve">A domain object, as defined in the “DNDE Specification”, for all allocated domain names for which Privacy and/or Proxy services are provided. Elements in the domain object may be updated in the Registry database (e.g. EPP statuses) without notifying the Provider, those elements must reflect the latest known information to the Provider; the Provider is not required to constantly refresh these elements from the Registry. </w:t>
      </w:r>
    </w:p>
    <w:p>
      <w:pPr>
        <w:pStyle w:val="Normal"/>
        <w:spacing w:lineRule="auto" w:line="259" w:before="0" w:after="243"/>
        <w:ind w:left="821" w:hanging="0"/>
        <w:rPr>
          <w:lang w:val="en-US"/>
        </w:rPr>
      </w:pPr>
      <w:r>
        <w:rPr>
          <w:lang w:val="en-US"/>
        </w:rPr>
        <w:t xml:space="preserve"> </w:t>
      </w:r>
    </w:p>
    <w:p>
      <w:pPr>
        <w:pStyle w:val="Normal"/>
        <w:numPr>
          <w:ilvl w:val="2"/>
          <w:numId w:val="4"/>
        </w:numPr>
        <w:spacing w:before="0" w:after="0"/>
        <w:ind w:left="1332" w:right="10" w:hanging="720"/>
        <w:rPr>
          <w:lang w:val="en-US"/>
        </w:rPr>
      </w:pPr>
      <w:r>
        <w:rPr>
          <w:lang w:val="en-US"/>
        </w:rPr>
        <w:t xml:space="preserve">Contact objects, as defined in the “DNDE Specification”, related to the domain objects in section 3.2.1 containing the name, postal address, email address, voice telephone number and (where available) the organization and fax number of the Customer’s registrant, administrative, technical and billing contact. Elements in the contact object may be updated in the Registry database (e.g. EPP statuses) without notifying the Provider, those elements MUST reflect the latest known information to the Provider; the Provider is not required to constantly refresh these elements from the Registry. </w:t>
      </w:r>
    </w:p>
    <w:p>
      <w:pPr>
        <w:pStyle w:val="Normal"/>
        <w:spacing w:lineRule="auto" w:line="259" w:before="0" w:after="0"/>
        <w:ind w:left="0" w:hanging="0"/>
        <w:rPr>
          <w:lang w:val="en-US"/>
        </w:rPr>
      </w:pPr>
      <w:r>
        <w:rPr>
          <w:lang w:val="en-US"/>
        </w:rPr>
        <w:t xml:space="preserve"> </w:t>
      </w:r>
    </w:p>
    <w:p>
      <w:pPr>
        <w:pStyle w:val="Normal"/>
        <w:numPr>
          <w:ilvl w:val="1"/>
          <w:numId w:val="4"/>
        </w:numPr>
        <w:spacing w:before="0" w:after="0"/>
        <w:ind w:left="792" w:right="207" w:hanging="432"/>
        <w:rPr>
          <w:lang w:val="en-US"/>
        </w:rPr>
      </w:pPr>
      <w:r>
        <w:rPr>
          <w:b/>
          <w:lang w:val="en-US"/>
        </w:rPr>
        <w:t>Extensions</w:t>
      </w:r>
      <w:r>
        <w:rPr>
          <w:lang w:val="en-US"/>
        </w:rPr>
        <w:t xml:space="preserve">. If a Provider offers additional Services that require submission of additional data not included above, additional “extension schemas” shall be defined in a case by case basis to represent that data. These Data related to the “extensions schemas” will be included in the deposit file described in Part A, Section 3.1 of this Specification.  </w:t>
      </w:r>
    </w:p>
    <w:p>
      <w:pPr>
        <w:pStyle w:val="Normal"/>
        <w:spacing w:lineRule="auto" w:line="259" w:before="0" w:after="7"/>
        <w:ind w:left="0" w:hanging="0"/>
        <w:rPr>
          <w:lang w:val="en-US"/>
        </w:rPr>
      </w:pPr>
      <w:r>
        <w:rPr>
          <w:lang w:val="en-US"/>
        </w:rPr>
        <w:t xml:space="preserve"> </w:t>
      </w:r>
    </w:p>
    <w:p>
      <w:pPr>
        <w:pStyle w:val="Normal"/>
        <w:numPr>
          <w:ilvl w:val="0"/>
          <w:numId w:val="4"/>
        </w:numPr>
        <w:spacing w:before="0" w:after="0"/>
        <w:ind w:left="360" w:right="10" w:hanging="360"/>
        <w:rPr>
          <w:lang w:val="en-US"/>
        </w:rPr>
      </w:pPr>
      <w:r>
        <w:rPr>
          <w:b/>
          <w:u w:val="single" w:color="000000"/>
          <w:lang w:val="en-US"/>
        </w:rPr>
        <w:t>Processing of Deposit files</w:t>
      </w:r>
      <w:r>
        <w:rPr>
          <w:lang w:val="en-US"/>
        </w:rPr>
        <w:t xml:space="preserve">. The use of compression is recommended in order to reduce electronic data transfer times, and storage capacity requirements. Data encryption will be used to ensure the privacy of Provider escrow data. Files processed for compression and encryption will be in the binary OpenPGP format as per OpenPGP Message Format - RFC 4880, see Part A, Section 9, reference 2 of this Specification. Acceptable algorithms for Public-key cryptography, Symmetric-key cryptography, Hash and Compression are those enumerated in RFC 4880, not marked as deprecated in OpenPGP IANA Registry, see Part A, Section 9, reference 3 of this Specification, that are also royalty-free. The process to follow for the data file in original text format is: </w:t>
      </w:r>
    </w:p>
    <w:p>
      <w:pPr>
        <w:pStyle w:val="Normal"/>
        <w:spacing w:lineRule="auto" w:line="259" w:before="0" w:after="7"/>
        <w:ind w:left="0" w:hanging="0"/>
        <w:rPr>
          <w:lang w:val="en-US"/>
        </w:rPr>
      </w:pPr>
      <w:r>
        <w:rPr>
          <w:lang w:val="en-US"/>
        </w:rPr>
        <w:t xml:space="preserve"> </w:t>
      </w:r>
    </w:p>
    <w:p>
      <w:pPr>
        <w:pStyle w:val="Normal"/>
        <w:numPr>
          <w:ilvl w:val="3"/>
          <w:numId w:val="5"/>
        </w:numPr>
        <w:spacing w:lineRule="auto" w:line="237" w:before="0" w:after="4"/>
        <w:ind w:left="1541" w:right="10" w:hanging="720"/>
        <w:rPr>
          <w:lang w:val="en-US"/>
        </w:rPr>
      </w:pPr>
      <w:r>
        <w:rPr>
          <w:lang w:val="en-US"/>
        </w:rPr>
        <w:t xml:space="preserve">The XML file of the deposit as described in Part A, Section 9, reference 1 of this Specification must be named as the containing file as specified in Section 5 but with the extension xml. </w:t>
      </w:r>
    </w:p>
    <w:p>
      <w:pPr>
        <w:pStyle w:val="Normal"/>
        <w:spacing w:lineRule="auto" w:line="259" w:before="0" w:after="7"/>
        <w:ind w:left="0" w:hanging="0"/>
        <w:rPr>
          <w:lang w:val="en-US"/>
        </w:rPr>
      </w:pPr>
      <w:r>
        <w:rPr>
          <w:lang w:val="en-US"/>
        </w:rPr>
        <w:t xml:space="preserve"> </w:t>
      </w:r>
    </w:p>
    <w:p>
      <w:pPr>
        <w:pStyle w:val="Normal"/>
        <w:numPr>
          <w:ilvl w:val="3"/>
          <w:numId w:val="5"/>
        </w:numPr>
        <w:ind w:left="1541" w:right="10" w:hanging="720"/>
        <w:rPr>
          <w:lang w:val="en-US"/>
        </w:rPr>
      </w:pPr>
      <w:r>
        <w:rPr>
          <w:lang w:val="en-US"/>
        </w:rPr>
        <w:t xml:space="preserve">The data file(s) are aggregated in a tarball file named the same as (1) but </w:t>
      </w:r>
    </w:p>
    <w:p>
      <w:pPr>
        <w:pStyle w:val="Normal"/>
        <w:spacing w:before="0" w:after="11"/>
        <w:ind w:left="1551" w:right="10" w:hanging="10"/>
        <w:rPr/>
      </w:pPr>
      <w:r>
        <w:rPr/>
        <w:t xml:space="preserve">with extension tar. </w:t>
      </w:r>
    </w:p>
    <w:p>
      <w:pPr>
        <w:pStyle w:val="Normal"/>
        <w:spacing w:lineRule="auto" w:line="259" w:before="0" w:after="5"/>
        <w:ind w:left="0" w:hanging="0"/>
        <w:rPr/>
      </w:pPr>
      <w:r>
        <w:rPr/>
        <w:t xml:space="preserve"> </w:t>
      </w:r>
    </w:p>
    <w:p>
      <w:pPr>
        <w:pStyle w:val="Normal"/>
        <w:numPr>
          <w:ilvl w:val="3"/>
          <w:numId w:val="5"/>
        </w:numPr>
        <w:spacing w:lineRule="auto" w:line="237" w:before="0" w:after="4"/>
        <w:ind w:left="1541" w:right="10" w:hanging="720"/>
        <w:rPr>
          <w:lang w:val="en-US"/>
        </w:rPr>
      </w:pPr>
      <w:r>
        <w:rPr>
          <w:lang w:val="en-US"/>
        </w:rPr>
        <w:t xml:space="preserve">A compressed and encrypted OpenPGP Message is created using the tarball file as sole input. The suggested algorithm for compression is ZIP as per RFC 4880.  The compressed data will be encrypted using the escrow agent’s public key. The suggested algorithms for Public-key encryption are Elgamal and RSA with a key size of at least 2048 bits as per RFC 4880. The suggested algorithms for Symmetric-key encryption are AES192 and AES256 as per RFC 4880. </w:t>
      </w:r>
    </w:p>
    <w:p>
      <w:pPr>
        <w:pStyle w:val="Normal"/>
        <w:spacing w:lineRule="auto" w:line="259" w:before="0" w:after="7"/>
        <w:ind w:left="0" w:hanging="0"/>
        <w:rPr>
          <w:lang w:val="en-US"/>
        </w:rPr>
      </w:pPr>
      <w:r>
        <w:rPr>
          <w:lang w:val="en-US"/>
        </w:rPr>
        <w:t xml:space="preserve"> </w:t>
      </w:r>
    </w:p>
    <w:p>
      <w:pPr>
        <w:pStyle w:val="Normal"/>
        <w:numPr>
          <w:ilvl w:val="3"/>
          <w:numId w:val="5"/>
        </w:numPr>
        <w:spacing w:before="0" w:after="0"/>
        <w:ind w:left="1541" w:right="10" w:hanging="720"/>
        <w:rPr>
          <w:lang w:val="en-US"/>
        </w:rPr>
      </w:pPr>
      <w:r>
        <w:rPr>
          <w:lang w:val="en-US"/>
        </w:rPr>
        <w:t xml:space="preserve">The file may be split as necessary if, once compressed and encrypted, it is larger than the file size limit agreed with the escrow agent. Every part of a split file, or the whole file if not split, will be called a processed file in this section. </w:t>
      </w:r>
    </w:p>
    <w:p>
      <w:pPr>
        <w:pStyle w:val="Normal"/>
        <w:spacing w:lineRule="auto" w:line="259" w:before="0" w:after="7"/>
        <w:ind w:left="0" w:hanging="0"/>
        <w:rPr>
          <w:lang w:val="en-US"/>
        </w:rPr>
      </w:pPr>
      <w:r>
        <w:rPr>
          <w:lang w:val="en-US"/>
        </w:rPr>
        <w:t xml:space="preserve"> </w:t>
      </w:r>
    </w:p>
    <w:p>
      <w:pPr>
        <w:pStyle w:val="Normal"/>
        <w:numPr>
          <w:ilvl w:val="3"/>
          <w:numId w:val="5"/>
        </w:numPr>
        <w:spacing w:before="0" w:after="0"/>
        <w:ind w:left="1541" w:right="10" w:hanging="720"/>
        <w:rPr>
          <w:lang w:val="en-US"/>
        </w:rPr>
      </w:pPr>
      <w:r>
        <w:rPr>
          <w:lang w:val="en-US"/>
        </w:rPr>
        <w:t xml:space="preserve">A digital signature file will be generated for every processed file using the Provider’s private key. The digital signature file will be in binary OpenPGP format as per RFC 4880 Section 9, reference 2, and will not be compressed or encrypted. The suggested algorithms for Digital signatures are DSA and RSA as per RFC 4880. The suggested algorithm for Hashes in Digital signatures is SHA256. </w:t>
      </w:r>
    </w:p>
    <w:p>
      <w:pPr>
        <w:pStyle w:val="Normal"/>
        <w:spacing w:lineRule="auto" w:line="259" w:before="0" w:after="7"/>
        <w:ind w:left="0" w:hanging="0"/>
        <w:rPr>
          <w:lang w:val="en-US"/>
        </w:rPr>
      </w:pPr>
      <w:r>
        <w:rPr>
          <w:lang w:val="en-US"/>
        </w:rPr>
        <w:t xml:space="preserve"> </w:t>
      </w:r>
    </w:p>
    <w:p>
      <w:pPr>
        <w:pStyle w:val="Normal"/>
        <w:numPr>
          <w:ilvl w:val="3"/>
          <w:numId w:val="5"/>
        </w:numPr>
        <w:spacing w:before="0" w:after="0"/>
        <w:ind w:left="1541" w:right="10" w:hanging="720"/>
        <w:rPr>
          <w:lang w:val="en-US"/>
        </w:rPr>
      </w:pPr>
      <w:r>
        <w:rPr>
          <w:lang w:val="en-US"/>
        </w:rPr>
        <w:t xml:space="preserve">The processed files and digital signature files will then be transferred to the Escrow Agent through secure electronic mechanisms, such as, SFTP, SCP, HTTPS file upload, etc. as agreed between the Escrow Agent and the Provider.  </w:t>
      </w:r>
    </w:p>
    <w:p>
      <w:pPr>
        <w:pStyle w:val="Normal"/>
        <w:spacing w:before="0" w:after="11"/>
        <w:ind w:left="1551" w:right="10" w:hanging="10"/>
        <w:rPr>
          <w:lang w:val="en-US"/>
        </w:rPr>
      </w:pPr>
      <w:r>
        <w:rPr>
          <w:lang w:val="en-US"/>
        </w:rPr>
        <w:t xml:space="preserve">Non-electronic delivery through a physical medium such as  </w:t>
      </w:r>
    </w:p>
    <w:p>
      <w:pPr>
        <w:pStyle w:val="Normal"/>
        <w:spacing w:before="0" w:after="0"/>
        <w:ind w:left="1551" w:right="10" w:hanging="10"/>
        <w:rPr>
          <w:lang w:val="en-US"/>
        </w:rPr>
      </w:pPr>
      <w:r>
        <w:rPr>
          <w:lang w:val="en-US"/>
        </w:rPr>
        <w:t xml:space="preserve">CD-ROMs, DVD-ROMs, or USB storage devices may be used if authorized by ICANN. </w:t>
      </w:r>
    </w:p>
    <w:p>
      <w:pPr>
        <w:pStyle w:val="Normal"/>
        <w:spacing w:lineRule="auto" w:line="259" w:before="0" w:after="7"/>
        <w:ind w:left="0" w:hanging="0"/>
        <w:rPr>
          <w:lang w:val="en-US"/>
        </w:rPr>
      </w:pPr>
      <w:r>
        <w:rPr>
          <w:lang w:val="en-US"/>
        </w:rPr>
        <w:t xml:space="preserve"> </w:t>
      </w:r>
    </w:p>
    <w:p>
      <w:pPr>
        <w:pStyle w:val="Normal"/>
        <w:numPr>
          <w:ilvl w:val="3"/>
          <w:numId w:val="5"/>
        </w:numPr>
        <w:spacing w:before="0" w:after="0"/>
        <w:ind w:left="1541" w:right="10" w:hanging="720"/>
        <w:rPr>
          <w:lang w:val="en-US"/>
        </w:rPr>
      </w:pPr>
      <w:r>
        <w:rPr>
          <w:lang w:val="en-US"/>
        </w:rPr>
        <w:t xml:space="preserve">The Escrow Agent will then validate every (processed) transferred data file using the procedure described in Part A, Section 8 of this Specification. </w:t>
      </w:r>
    </w:p>
    <w:p>
      <w:pPr>
        <w:pStyle w:val="Normal"/>
        <w:spacing w:lineRule="auto" w:line="259" w:before="0" w:after="7"/>
        <w:ind w:left="0" w:hanging="0"/>
        <w:rPr>
          <w:lang w:val="en-US"/>
        </w:rPr>
      </w:pPr>
      <w:r>
        <w:rPr>
          <w:lang w:val="en-US"/>
        </w:rPr>
        <w:t xml:space="preserve"> </w:t>
      </w:r>
    </w:p>
    <w:p>
      <w:pPr>
        <w:pStyle w:val="Normal"/>
        <w:numPr>
          <w:ilvl w:val="0"/>
          <w:numId w:val="4"/>
        </w:numPr>
        <w:spacing w:before="0" w:after="0"/>
        <w:ind w:left="360" w:right="10" w:hanging="360"/>
        <w:rPr>
          <w:lang w:val="en-US"/>
        </w:rPr>
      </w:pPr>
      <w:r>
        <w:rPr>
          <w:b/>
          <w:u w:val="single" w:color="000000"/>
          <w:lang w:val="en-US"/>
        </w:rPr>
        <w:t>File Naming Conventions</w:t>
      </w:r>
      <w:r>
        <w:rPr>
          <w:lang w:val="en-US"/>
        </w:rPr>
        <w:t xml:space="preserve">. Files will be named according to the following convention:  {Provider ICANN ID}_{YYYY-MM-DD}_{type}_S{#}_R{rev}.{ext} where: </w:t>
      </w:r>
    </w:p>
    <w:p>
      <w:pPr>
        <w:pStyle w:val="Normal"/>
        <w:spacing w:lineRule="auto" w:line="259" w:before="0" w:after="7"/>
        <w:ind w:left="0" w:hanging="0"/>
        <w:rPr>
          <w:lang w:val="en-US"/>
        </w:rPr>
      </w:pPr>
      <w:r>
        <w:rPr>
          <w:lang w:val="en-US"/>
        </w:rPr>
        <w:t xml:space="preserve"> </w:t>
      </w:r>
    </w:p>
    <w:p>
      <w:pPr>
        <w:pStyle w:val="Normal"/>
        <w:numPr>
          <w:ilvl w:val="1"/>
          <w:numId w:val="4"/>
        </w:numPr>
        <w:spacing w:before="0" w:after="0"/>
        <w:ind w:left="792" w:right="207" w:hanging="432"/>
        <w:rPr>
          <w:lang w:val="en-US"/>
        </w:rPr>
      </w:pPr>
      <w:r>
        <w:rPr>
          <w:lang w:val="en-US"/>
        </w:rPr>
        <w:t xml:space="preserve">{Provider ICANN ID} is replaced with the Provider’s unique ID assigned by ICANN, in the format PP--####; </w:t>
      </w:r>
    </w:p>
    <w:p>
      <w:pPr>
        <w:pStyle w:val="Normal"/>
        <w:spacing w:lineRule="auto" w:line="259" w:before="0" w:after="7"/>
        <w:ind w:left="0" w:hanging="0"/>
        <w:rPr>
          <w:lang w:val="en-US"/>
        </w:rPr>
      </w:pPr>
      <w:r>
        <w:rPr>
          <w:lang w:val="en-US"/>
        </w:rPr>
        <w:t xml:space="preserve"> </w:t>
      </w:r>
    </w:p>
    <w:p>
      <w:pPr>
        <w:pStyle w:val="Normal"/>
        <w:numPr>
          <w:ilvl w:val="1"/>
          <w:numId w:val="4"/>
        </w:numPr>
        <w:spacing w:before="0" w:after="0"/>
        <w:ind w:left="792" w:right="207" w:hanging="432"/>
        <w:rPr>
          <w:lang w:val="en-US"/>
        </w:rPr>
      </w:pPr>
      <w:r>
        <w:rPr>
          <w:lang w:val="en-US"/>
        </w:rPr>
        <w:t xml:space="preserve">{YYYY-MM-DD} is replaced by the date corresponding to the time used as a timeline watermark for the transactions; i.e. for the Full Deposit corresponding to 2009-08-02T00:00Z, the string to be used would be “2009-08-02”; </w:t>
      </w:r>
    </w:p>
    <w:p>
      <w:pPr>
        <w:pStyle w:val="Normal"/>
        <w:spacing w:lineRule="auto" w:line="259" w:before="0" w:after="7"/>
        <w:ind w:left="0" w:hanging="0"/>
        <w:rPr>
          <w:lang w:val="en-US"/>
        </w:rPr>
      </w:pPr>
      <w:r>
        <w:rPr>
          <w:lang w:val="en-US"/>
        </w:rPr>
        <w:t xml:space="preserve"> </w:t>
      </w:r>
    </w:p>
    <w:p>
      <w:pPr>
        <w:pStyle w:val="Normal"/>
        <w:numPr>
          <w:ilvl w:val="1"/>
          <w:numId w:val="4"/>
        </w:numPr>
        <w:spacing w:before="0" w:after="11"/>
        <w:ind w:left="792" w:right="207" w:hanging="432"/>
        <w:rPr/>
      </w:pPr>
      <w:r>
        <w:rPr/>
        <w:t xml:space="preserve">{type} is replaced by: </w:t>
      </w:r>
    </w:p>
    <w:p>
      <w:pPr>
        <w:pStyle w:val="Normal"/>
        <w:spacing w:lineRule="auto" w:line="259" w:before="0" w:after="7"/>
        <w:ind w:left="0" w:hanging="0"/>
        <w:rPr/>
      </w:pPr>
      <w:r>
        <w:rPr/>
        <w:t xml:space="preserve"> </w:t>
      </w:r>
    </w:p>
    <w:p>
      <w:pPr>
        <w:pStyle w:val="Normal"/>
        <w:numPr>
          <w:ilvl w:val="2"/>
          <w:numId w:val="4"/>
        </w:numPr>
        <w:spacing w:before="0" w:after="11"/>
        <w:ind w:left="1332" w:right="10" w:hanging="720"/>
        <w:rPr>
          <w:lang w:val="en-US"/>
        </w:rPr>
      </w:pPr>
      <w:r>
        <w:rPr>
          <w:lang w:val="en-US"/>
        </w:rPr>
        <w:t>“</w:t>
      </w:r>
      <w:r>
        <w:rPr>
          <w:lang w:val="en-US"/>
        </w:rPr>
        <w:t xml:space="preserve">full”, if the data represents a Full Deposit; </w:t>
      </w:r>
    </w:p>
    <w:p>
      <w:pPr>
        <w:pStyle w:val="Normal"/>
        <w:spacing w:lineRule="auto" w:line="259" w:before="0" w:after="7"/>
        <w:ind w:left="0" w:hanging="0"/>
        <w:rPr>
          <w:lang w:val="en-US"/>
        </w:rPr>
      </w:pPr>
      <w:r>
        <w:rPr>
          <w:lang w:val="en-US"/>
        </w:rPr>
        <w:t xml:space="preserve"> </w:t>
      </w:r>
    </w:p>
    <w:p>
      <w:pPr>
        <w:pStyle w:val="Normal"/>
        <w:numPr>
          <w:ilvl w:val="2"/>
          <w:numId w:val="4"/>
        </w:numPr>
        <w:spacing w:before="0" w:after="11"/>
        <w:ind w:left="1332" w:right="10" w:hanging="720"/>
        <w:rPr>
          <w:lang w:val="en-US"/>
        </w:rPr>
      </w:pPr>
      <w:r>
        <w:rPr>
          <w:lang w:val="en-US"/>
        </w:rPr>
        <w:t>“</w:t>
      </w:r>
      <w:r>
        <w:rPr>
          <w:lang w:val="en-US"/>
        </w:rPr>
        <w:t xml:space="preserve">diff”, if the data represents a Differential Deposit; </w:t>
      </w:r>
    </w:p>
    <w:p>
      <w:pPr>
        <w:pStyle w:val="Normal"/>
        <w:spacing w:lineRule="auto" w:line="259" w:before="0" w:after="0"/>
        <w:ind w:left="0" w:hanging="0"/>
        <w:rPr>
          <w:lang w:val="en-US"/>
        </w:rPr>
      </w:pPr>
      <w:r>
        <w:rPr>
          <w:lang w:val="en-US"/>
        </w:rPr>
        <w:t xml:space="preserve"> </w:t>
      </w:r>
    </w:p>
    <w:p>
      <w:pPr>
        <w:pStyle w:val="Normal"/>
        <w:spacing w:lineRule="auto" w:line="259" w:before="0" w:after="63"/>
        <w:ind w:left="0" w:hanging="0"/>
        <w:rPr>
          <w:lang w:val="en-US"/>
        </w:rPr>
      </w:pPr>
      <w:r>
        <w:rPr>
          <w:lang w:val="en-US"/>
        </w:rPr>
        <w:t xml:space="preserve"> </w:t>
      </w:r>
    </w:p>
    <w:p>
      <w:pPr>
        <w:pStyle w:val="Normal"/>
        <w:numPr>
          <w:ilvl w:val="1"/>
          <w:numId w:val="4"/>
        </w:numPr>
        <w:spacing w:before="0" w:after="25"/>
        <w:ind w:left="792" w:right="207" w:hanging="432"/>
        <w:rPr>
          <w:lang w:val="en-US"/>
        </w:rPr>
      </w:pPr>
      <w:r>
        <w:rPr>
          <w:lang w:val="en-US"/>
        </w:rPr>
        <w:t xml:space="preserve">{#} is replaced by the position of the file in a series of files, beginning with “1”; in case of a lone file, this must be replaced by “1”. </w:t>
      </w:r>
    </w:p>
    <w:p>
      <w:pPr>
        <w:pStyle w:val="Normal"/>
        <w:spacing w:lineRule="auto" w:line="259" w:before="0" w:after="43"/>
        <w:ind w:left="1541" w:hanging="0"/>
        <w:rPr>
          <w:lang w:val="en-US"/>
        </w:rPr>
      </w:pPr>
      <w:r>
        <w:rPr>
          <w:lang w:val="en-US"/>
        </w:rPr>
        <w:t xml:space="preserve"> </w:t>
      </w:r>
    </w:p>
    <w:p>
      <w:pPr>
        <w:pStyle w:val="Normal"/>
        <w:numPr>
          <w:ilvl w:val="1"/>
          <w:numId w:val="4"/>
        </w:numPr>
        <w:spacing w:before="0" w:after="1"/>
        <w:ind w:left="792" w:right="207" w:hanging="432"/>
        <w:rPr>
          <w:lang w:val="en-US"/>
        </w:rPr>
      </w:pPr>
      <w:r>
        <w:rPr>
          <w:lang w:val="en-US"/>
        </w:rPr>
        <w:t xml:space="preserve">{rev} is replaced by the number of revision (or resend) of the file beginning with “0”: </w:t>
      </w:r>
    </w:p>
    <w:p>
      <w:pPr>
        <w:pStyle w:val="Normal"/>
        <w:spacing w:lineRule="auto" w:line="259" w:before="0" w:after="7"/>
        <w:ind w:left="0" w:hanging="0"/>
        <w:rPr>
          <w:lang w:val="en-US"/>
        </w:rPr>
      </w:pPr>
      <w:r>
        <w:rPr>
          <w:lang w:val="en-US"/>
        </w:rPr>
        <w:t xml:space="preserve"> </w:t>
      </w:r>
    </w:p>
    <w:p>
      <w:pPr>
        <w:pStyle w:val="Normal"/>
        <w:numPr>
          <w:ilvl w:val="1"/>
          <w:numId w:val="4"/>
        </w:numPr>
        <w:spacing w:before="0" w:after="0"/>
        <w:ind w:left="792" w:right="207" w:hanging="432"/>
        <w:rPr/>
      </w:pPr>
      <w:r>
        <w:rPr>
          <w:lang w:val="en-US"/>
        </w:rPr>
        <w:t xml:space="preserve">{ext} is replaced by “sig” if it is a digital signature file of the quasihomonymous file.  </w:t>
      </w:r>
      <w:r>
        <w:rPr/>
        <w:t xml:space="preserve">Otherwise it is replaced by “ryde”. </w:t>
      </w:r>
    </w:p>
    <w:p>
      <w:pPr>
        <w:pStyle w:val="Normal"/>
        <w:spacing w:lineRule="auto" w:line="259" w:before="0" w:after="7"/>
        <w:ind w:left="0" w:hanging="0"/>
        <w:rPr/>
      </w:pPr>
      <w:r>
        <w:rPr/>
        <w:t xml:space="preserve"> </w:t>
      </w:r>
    </w:p>
    <w:p>
      <w:pPr>
        <w:pStyle w:val="Normal"/>
        <w:numPr>
          <w:ilvl w:val="0"/>
          <w:numId w:val="4"/>
        </w:numPr>
        <w:spacing w:before="0" w:after="0"/>
        <w:ind w:left="360" w:right="10" w:hanging="360"/>
        <w:rPr>
          <w:lang w:val="en-US"/>
        </w:rPr>
      </w:pPr>
      <w:r>
        <w:rPr>
          <w:b/>
          <w:u w:val="single" w:color="000000"/>
          <w:lang w:val="en-US"/>
        </w:rPr>
        <w:t>Distribution of Public Keys</w:t>
      </w:r>
      <w:r>
        <w:rPr>
          <w:lang w:val="en-US"/>
        </w:rPr>
        <w:t xml:space="preserve">. Each of Provider and Escrow Agent will distribute its public key to the other party (Provider or Escrow Agent, as the case may be) via email to an email address to be specified. Each party will confirm receipt of the other party’s public key with a reply email, and the distributing party will subsequently reconfirm the authenticity of the key transmitted via offline methods, like in person meeting, telephone, etc. In this way, public key transmission is authenticated to a user able to send and receive mail via a mail server operated by the distributing party.  Escrow Agent, Provider and ICANN will exchange public keys by the same procedure. </w:t>
      </w:r>
    </w:p>
    <w:p>
      <w:pPr>
        <w:pStyle w:val="Normal"/>
        <w:spacing w:lineRule="auto" w:line="259" w:before="0" w:after="7"/>
        <w:ind w:left="0" w:hanging="0"/>
        <w:rPr>
          <w:lang w:val="en-US"/>
        </w:rPr>
      </w:pPr>
      <w:r>
        <w:rPr>
          <w:lang w:val="en-US"/>
        </w:rPr>
        <w:t xml:space="preserve"> </w:t>
      </w:r>
    </w:p>
    <w:p>
      <w:pPr>
        <w:pStyle w:val="Normal"/>
        <w:numPr>
          <w:ilvl w:val="0"/>
          <w:numId w:val="4"/>
        </w:numPr>
        <w:spacing w:before="0" w:after="0"/>
        <w:ind w:left="360" w:right="10" w:hanging="360"/>
        <w:rPr>
          <w:lang w:val="en-US"/>
        </w:rPr>
      </w:pPr>
      <w:r>
        <w:rPr>
          <w:b/>
          <w:u w:val="single" w:color="000000"/>
          <w:lang w:val="en-US"/>
        </w:rPr>
        <w:t>Notification of Deposits</w:t>
      </w:r>
      <w:r>
        <w:rPr>
          <w:lang w:val="en-US"/>
        </w:rPr>
        <w:t xml:space="preserve">. Along with the delivery of each Deposit, Provider will deliver to Escrow Agent and to ICANN (using the API described in draft-lozano-icann-ppinterfaces, see Part A, Section 9, reference 5 of this Specification (the “Interface Specification”)) a written statement from Provider (which may be by authenticated email) that includes a copy of the report generated upon creation of the Deposit and states that the Deposit has been inspected by Provider and is complete and accurate. The preparation and submission of this statement must be performed by the Provider or its designee, provided that such designee may not be the Escrow Agent or any of Escrow Agent’s Affiliates.  Provider will include the Deposit’s “id” and “resend” attributes in its statement.  The attributes are explained in Part A, Section 9, reference 1 of this Specification. </w:t>
      </w:r>
    </w:p>
    <w:p>
      <w:pPr>
        <w:pStyle w:val="Normal"/>
        <w:spacing w:lineRule="auto" w:line="259" w:before="0" w:after="0"/>
        <w:ind w:left="0" w:hanging="0"/>
        <w:rPr>
          <w:lang w:val="en-US"/>
        </w:rPr>
      </w:pPr>
      <w:r>
        <w:rPr>
          <w:lang w:val="en-US"/>
        </w:rPr>
        <w:t xml:space="preserve"> </w:t>
      </w:r>
    </w:p>
    <w:p>
      <w:pPr>
        <w:pStyle w:val="Normal"/>
        <w:spacing w:before="0" w:after="11"/>
        <w:ind w:left="370" w:right="10" w:hanging="10"/>
        <w:rPr>
          <w:lang w:val="en-US"/>
        </w:rPr>
      </w:pPr>
      <w:r>
        <w:rPr>
          <w:lang w:val="en-US"/>
        </w:rPr>
        <w:t xml:space="preserve">If not already an RFC, Provider will use the most recent draft version of the Interface </w:t>
      </w:r>
    </w:p>
    <w:p>
      <w:pPr>
        <w:pStyle w:val="Normal"/>
        <w:spacing w:before="0" w:after="0"/>
        <w:ind w:left="370" w:right="10" w:hanging="10"/>
        <w:rPr>
          <w:lang w:val="en-US"/>
        </w:rPr>
      </w:pPr>
      <w:r>
        <w:rPr>
          <w:lang w:val="en-US"/>
        </w:rPr>
        <w:t xml:space="preserve">Specification at the Effective Date.  Provider may at its election use newer versions of the Interface Specification after the Effective Date. Once the Interface Specification is published as an RFC, Provider will implement that version of the Interface Specification, no later than one hundred eighty (180) calendar days after such publishing. </w:t>
      </w:r>
    </w:p>
    <w:p>
      <w:pPr>
        <w:pStyle w:val="Normal"/>
        <w:spacing w:lineRule="auto" w:line="259" w:before="0" w:after="7"/>
        <w:ind w:left="0" w:hanging="0"/>
        <w:rPr>
          <w:lang w:val="en-US"/>
        </w:rPr>
      </w:pPr>
      <w:r>
        <w:rPr>
          <w:lang w:val="en-US"/>
        </w:rPr>
        <w:t xml:space="preserve"> </w:t>
      </w:r>
    </w:p>
    <w:p>
      <w:pPr>
        <w:pStyle w:val="Normal"/>
        <w:numPr>
          <w:ilvl w:val="0"/>
          <w:numId w:val="4"/>
        </w:numPr>
        <w:spacing w:lineRule="auto" w:line="259" w:before="0" w:after="0"/>
        <w:ind w:left="360" w:right="10" w:hanging="360"/>
        <w:rPr/>
      </w:pPr>
      <w:r>
        <w:rPr>
          <w:b/>
          <w:u w:val="single" w:color="000000"/>
        </w:rPr>
        <w:t>Verification Procedure</w:t>
      </w:r>
      <w:r>
        <w:rPr/>
        <w:t xml:space="preserve">. </w:t>
      </w:r>
    </w:p>
    <w:p>
      <w:pPr>
        <w:pStyle w:val="Normal"/>
        <w:spacing w:lineRule="auto" w:line="259" w:before="0" w:after="65"/>
        <w:ind w:left="0" w:hanging="0"/>
        <w:rPr/>
      </w:pPr>
      <w:r>
        <w:rPr/>
        <w:t xml:space="preserve"> </w:t>
      </w:r>
    </w:p>
    <w:p>
      <w:pPr>
        <w:pStyle w:val="Normal"/>
        <w:numPr>
          <w:ilvl w:val="3"/>
          <w:numId w:val="7"/>
        </w:numPr>
        <w:spacing w:before="0" w:after="11"/>
        <w:ind w:left="1541" w:right="10" w:hanging="720"/>
        <w:rPr>
          <w:lang w:val="en-US"/>
        </w:rPr>
      </w:pPr>
      <w:r>
        <w:rPr>
          <w:lang w:val="en-US"/>
        </w:rPr>
        <w:t xml:space="preserve">The signature file of each processed file is validated. </w:t>
      </w:r>
    </w:p>
    <w:p>
      <w:pPr>
        <w:pStyle w:val="Normal"/>
        <w:spacing w:lineRule="auto" w:line="259" w:before="0" w:after="7"/>
        <w:ind w:left="0" w:hanging="0"/>
        <w:rPr>
          <w:lang w:val="en-US"/>
        </w:rPr>
      </w:pPr>
      <w:r>
        <w:rPr>
          <w:lang w:val="en-US"/>
        </w:rPr>
        <w:t xml:space="preserve"> </w:t>
      </w:r>
    </w:p>
    <w:p>
      <w:pPr>
        <w:pStyle w:val="Normal"/>
        <w:numPr>
          <w:ilvl w:val="3"/>
          <w:numId w:val="7"/>
        </w:numPr>
        <w:spacing w:lineRule="auto" w:line="247" w:before="0" w:after="11"/>
        <w:ind w:left="1541" w:right="10" w:hanging="720"/>
        <w:rPr>
          <w:lang w:val="en-US"/>
        </w:rPr>
      </w:pPr>
      <w:r>
        <w:rPr>
          <w:lang w:val="en-US"/>
        </w:rPr>
        <w:t xml:space="preserve">If processed files are pieces of a bigger file, the latter is put together. </w:t>
      </w:r>
    </w:p>
    <w:p>
      <w:pPr>
        <w:pStyle w:val="Normal"/>
        <w:spacing w:lineRule="auto" w:line="259" w:before="0" w:after="0"/>
        <w:ind w:left="0" w:hanging="0"/>
        <w:rPr>
          <w:lang w:val="en-US"/>
        </w:rPr>
      </w:pPr>
      <w:r>
        <w:rPr>
          <w:lang w:val="en-US"/>
        </w:rPr>
        <w:t xml:space="preserve"> </w:t>
      </w:r>
    </w:p>
    <w:p>
      <w:pPr>
        <w:pStyle w:val="Normal"/>
        <w:numPr>
          <w:ilvl w:val="3"/>
          <w:numId w:val="7"/>
        </w:numPr>
        <w:spacing w:before="0" w:after="11"/>
        <w:ind w:left="1541" w:right="10" w:hanging="720"/>
        <w:rPr>
          <w:lang w:val="en-US"/>
        </w:rPr>
      </w:pPr>
      <w:r>
        <w:rPr>
          <w:lang w:val="en-US"/>
        </w:rPr>
        <w:t xml:space="preserve">Each file obtained in the previous step is then decrypted and uncompressed. </w:t>
      </w:r>
    </w:p>
    <w:p>
      <w:pPr>
        <w:pStyle w:val="Normal"/>
        <w:spacing w:lineRule="auto" w:line="259" w:before="0" w:after="5"/>
        <w:ind w:left="0" w:hanging="0"/>
        <w:rPr>
          <w:lang w:val="en-US"/>
        </w:rPr>
      </w:pPr>
      <w:r>
        <w:rPr>
          <w:lang w:val="en-US"/>
        </w:rPr>
        <w:t xml:space="preserve"> </w:t>
      </w:r>
    </w:p>
    <w:p>
      <w:pPr>
        <w:pStyle w:val="Normal"/>
        <w:numPr>
          <w:ilvl w:val="3"/>
          <w:numId w:val="7"/>
        </w:numPr>
        <w:spacing w:before="0" w:after="26"/>
        <w:ind w:left="1541" w:right="10" w:hanging="720"/>
        <w:rPr>
          <w:lang w:val="en-US"/>
        </w:rPr>
      </w:pPr>
      <w:r>
        <w:rPr>
          <w:lang w:val="en-US"/>
        </w:rPr>
        <w:t xml:space="preserve">Each data file contained in the previous step is then validated against the format defined in Part A, Section 9, reference 1 of this Specification. </w:t>
      </w:r>
    </w:p>
    <w:p>
      <w:pPr>
        <w:pStyle w:val="Normal"/>
        <w:spacing w:lineRule="auto" w:line="259" w:before="0" w:after="43"/>
        <w:ind w:left="1541" w:hanging="0"/>
        <w:rPr>
          <w:lang w:val="en-US"/>
        </w:rPr>
      </w:pPr>
      <w:r>
        <w:rPr>
          <w:lang w:val="en-US"/>
        </w:rPr>
        <w:t xml:space="preserve"> </w:t>
      </w:r>
    </w:p>
    <w:p>
      <w:pPr>
        <w:pStyle w:val="Normal"/>
        <w:numPr>
          <w:ilvl w:val="3"/>
          <w:numId w:val="7"/>
        </w:numPr>
        <w:spacing w:before="0" w:after="0"/>
        <w:ind w:left="1541" w:right="10" w:hanging="720"/>
        <w:rPr>
          <w:lang w:val="en-US"/>
        </w:rPr>
      </w:pPr>
      <w:r>
        <w:rPr>
          <w:lang w:val="en-US"/>
        </w:rPr>
        <w:t xml:space="preserve">The data escrow agent extended verification process, as defined below in reference 2 of Part A of this Specification 2, as well as any other data escrow verification process contained in such reference. </w:t>
      </w:r>
    </w:p>
    <w:p>
      <w:pPr>
        <w:pStyle w:val="Normal"/>
        <w:spacing w:lineRule="auto" w:line="259" w:before="0" w:after="35"/>
        <w:ind w:left="0" w:hanging="0"/>
        <w:rPr>
          <w:lang w:val="en-US"/>
        </w:rPr>
      </w:pPr>
      <w:r>
        <w:rPr>
          <w:lang w:val="en-US"/>
        </w:rPr>
        <w:t xml:space="preserve"> </w:t>
      </w:r>
    </w:p>
    <w:p>
      <w:pPr>
        <w:pStyle w:val="Normal"/>
        <w:spacing w:before="0" w:after="11"/>
        <w:ind w:left="111" w:right="10" w:hanging="10"/>
        <w:rPr>
          <w:lang w:val="en-US"/>
        </w:rPr>
      </w:pPr>
      <w:r>
        <w:rPr>
          <w:lang w:val="en-US"/>
        </w:rPr>
        <w:t xml:space="preserve">If any discrepancy is found in any of the steps, the Deposit will be considered incomplete. </w:t>
      </w:r>
    </w:p>
    <w:p>
      <w:pPr>
        <w:pStyle w:val="Normal"/>
        <w:spacing w:lineRule="auto" w:line="259" w:before="0" w:after="6"/>
        <w:ind w:left="0" w:hanging="0"/>
        <w:rPr>
          <w:lang w:val="en-US"/>
        </w:rPr>
      </w:pPr>
      <w:r>
        <w:rPr>
          <w:lang w:val="en-US"/>
        </w:rPr>
        <w:t xml:space="preserve"> </w:t>
      </w:r>
    </w:p>
    <w:p>
      <w:pPr>
        <w:pStyle w:val="Normal"/>
        <w:numPr>
          <w:ilvl w:val="0"/>
          <w:numId w:val="4"/>
        </w:numPr>
        <w:spacing w:lineRule="auto" w:line="259" w:before="0" w:after="0"/>
        <w:ind w:left="360" w:right="10" w:hanging="360"/>
        <w:rPr/>
      </w:pPr>
      <w:r>
        <w:rPr>
          <w:b/>
          <w:u w:val="single" w:color="000000"/>
        </w:rPr>
        <w:t>References</w:t>
      </w:r>
      <w:r>
        <w:rPr/>
        <w:t xml:space="preserve">. </w:t>
      </w:r>
    </w:p>
    <w:p>
      <w:pPr>
        <w:pStyle w:val="Normal"/>
        <w:spacing w:lineRule="auto" w:line="259" w:before="0" w:after="65"/>
        <w:ind w:left="0" w:hanging="0"/>
        <w:rPr/>
      </w:pPr>
      <w:r>
        <w:rPr/>
        <w:t xml:space="preserve"> </w:t>
      </w:r>
    </w:p>
    <w:p>
      <w:pPr>
        <w:pStyle w:val="Normal"/>
        <w:numPr>
          <w:ilvl w:val="3"/>
          <w:numId w:val="6"/>
        </w:numPr>
        <w:spacing w:before="0" w:after="0"/>
        <w:ind w:left="1541" w:right="10" w:hanging="720"/>
        <w:rPr>
          <w:lang w:val="en-US"/>
        </w:rPr>
      </w:pPr>
      <w:r>
        <w:rPr>
          <w:lang w:val="en-US"/>
        </w:rPr>
        <w:t xml:space="preserve">Domain Name Data Escrow Specification (work in progress), http://tools.ietf.org/html/draft-arias-noguchi-registry-data-escrow </w:t>
      </w:r>
    </w:p>
    <w:p>
      <w:pPr>
        <w:pStyle w:val="Normal"/>
        <w:spacing w:lineRule="auto" w:line="259" w:before="0" w:after="5"/>
        <w:ind w:left="0" w:hanging="0"/>
        <w:rPr>
          <w:lang w:val="en-US"/>
        </w:rPr>
      </w:pPr>
      <w:r>
        <w:rPr>
          <w:lang w:val="en-US"/>
        </w:rPr>
        <w:t xml:space="preserve"> </w:t>
      </w:r>
    </w:p>
    <w:p>
      <w:pPr>
        <w:pStyle w:val="Normal"/>
        <w:numPr>
          <w:ilvl w:val="3"/>
          <w:numId w:val="6"/>
        </w:numPr>
        <w:spacing w:before="0" w:after="0"/>
        <w:ind w:left="1541" w:right="10" w:hanging="720"/>
        <w:rPr>
          <w:lang w:val="en-US"/>
        </w:rPr>
      </w:pPr>
      <w:r>
        <w:rPr>
          <w:lang w:val="en-US"/>
        </w:rPr>
        <w:t xml:space="preserve">Domain Name Registration Data (DNRD) Objects Mapping, http://tools.ietf.org/html/draft-arias-noguchi-dnrd-objects-mapping </w:t>
      </w:r>
    </w:p>
    <w:p>
      <w:pPr>
        <w:pStyle w:val="Normal"/>
        <w:spacing w:lineRule="auto" w:line="259" w:before="0" w:after="7"/>
        <w:ind w:left="0" w:hanging="0"/>
        <w:rPr>
          <w:lang w:val="en-US"/>
        </w:rPr>
      </w:pPr>
      <w:r>
        <w:rPr>
          <w:lang w:val="en-US"/>
        </w:rPr>
        <w:t xml:space="preserve"> </w:t>
      </w:r>
    </w:p>
    <w:p>
      <w:pPr>
        <w:pStyle w:val="Normal"/>
        <w:numPr>
          <w:ilvl w:val="3"/>
          <w:numId w:val="6"/>
        </w:numPr>
        <w:spacing w:before="0" w:after="11"/>
        <w:ind w:left="1541" w:right="10" w:hanging="720"/>
        <w:rPr>
          <w:lang w:val="en-US"/>
        </w:rPr>
      </w:pPr>
      <w:r>
        <w:rPr>
          <w:lang w:val="en-US"/>
        </w:rPr>
        <w:t xml:space="preserve">OpenPGP Message Format, http://www.rfc-editor.org/rfc/rfc4880.txt </w:t>
      </w:r>
    </w:p>
    <w:p>
      <w:pPr>
        <w:pStyle w:val="Normal"/>
        <w:spacing w:lineRule="auto" w:line="259" w:before="0" w:after="2"/>
        <w:ind w:left="0" w:hanging="0"/>
        <w:rPr>
          <w:lang w:val="en-US"/>
        </w:rPr>
      </w:pPr>
      <w:r>
        <w:rPr>
          <w:lang w:val="en-US"/>
        </w:rPr>
        <w:t xml:space="preserve"> </w:t>
      </w:r>
    </w:p>
    <w:p>
      <w:pPr>
        <w:pStyle w:val="Normal"/>
        <w:numPr>
          <w:ilvl w:val="3"/>
          <w:numId w:val="6"/>
        </w:numPr>
        <w:spacing w:before="0" w:after="0"/>
        <w:ind w:left="1541" w:right="10" w:hanging="720"/>
        <w:rPr>
          <w:lang w:val="en-US"/>
        </w:rPr>
      </w:pPr>
      <w:r>
        <w:rPr>
          <w:lang w:val="en-US"/>
        </w:rPr>
        <w:t xml:space="preserve">OpenPGP parameters, http://www.iana.org/assignments/pgp-parameters/pgp-parameters.xhtml </w:t>
      </w:r>
    </w:p>
    <w:p>
      <w:pPr>
        <w:pStyle w:val="Normal"/>
        <w:spacing w:lineRule="auto" w:line="259" w:before="0" w:after="5"/>
        <w:ind w:left="0" w:hanging="0"/>
        <w:rPr>
          <w:lang w:val="en-US"/>
        </w:rPr>
      </w:pPr>
      <w:r>
        <w:rPr>
          <w:lang w:val="en-US"/>
        </w:rPr>
        <w:t xml:space="preserve"> </w:t>
      </w:r>
    </w:p>
    <w:p>
      <w:pPr>
        <w:pStyle w:val="Normal"/>
        <w:numPr>
          <w:ilvl w:val="3"/>
          <w:numId w:val="6"/>
        </w:numPr>
        <w:spacing w:before="0" w:after="0"/>
        <w:ind w:left="1541" w:right="10" w:hanging="720"/>
        <w:rPr>
          <w:lang w:val="en-US"/>
        </w:rPr>
      </w:pPr>
      <w:r>
        <w:rPr>
          <w:lang w:val="en-US"/>
        </w:rPr>
        <w:t xml:space="preserve">ICANN interfaces for registries and data escrow agents, http://tools.ietf.org/html/draft-lozano-icann-pp-interfaces </w:t>
      </w:r>
    </w:p>
    <w:p>
      <w:pPr>
        <w:pStyle w:val="Kop1"/>
        <w:spacing w:lineRule="auto" w:line="247" w:before="0" w:after="258"/>
        <w:ind w:left="212" w:hanging="10"/>
        <w:jc w:val="left"/>
        <w:rPr/>
      </w:pPr>
      <w:r>
        <w:rPr/>
        <w:t xml:space="preserve">PART B – LEGAL REQUIREMENTS </w:t>
      </w:r>
    </w:p>
    <w:p>
      <w:pPr>
        <w:pStyle w:val="Normal"/>
        <w:numPr>
          <w:ilvl w:val="0"/>
          <w:numId w:val="8"/>
        </w:numPr>
        <w:spacing w:before="0" w:after="0"/>
        <w:ind w:left="922" w:right="192" w:hanging="720"/>
        <w:rPr>
          <w:lang w:val="en-US"/>
        </w:rPr>
      </w:pPr>
      <w:r>
        <w:rPr>
          <w:b/>
          <w:u w:val="single" w:color="000000"/>
          <w:lang w:val="en-US"/>
        </w:rPr>
        <w:t>Escrow Agent</w:t>
      </w:r>
      <w:r>
        <w:rPr>
          <w:lang w:val="en-US"/>
        </w:rPr>
        <w:t xml:space="preserve">. Prior to entering into an escrow agreement, Provider must provide notice to ICANN as to the identity of the Escrow Agent, and provide ICANN with contact information and a copy of the relevant escrow agreement, and all amendments thereto. In addition, prior to entering into an escrow agreement, Provider must obtain the consent of ICANN to (a) use the specified Escrow Agent, and (b) enter into the form of escrow agreement provided. ICANN must be expressly designated as a third-party beneficiary of the escrow agreement. ICANN reserves the right to withhold its consent to any Escrow Agent, escrow agreement, or any amendment thereto, all in its sole discretion. </w:t>
      </w:r>
    </w:p>
    <w:p>
      <w:pPr>
        <w:pStyle w:val="Normal"/>
        <w:spacing w:lineRule="auto" w:line="259" w:before="0" w:after="47"/>
        <w:ind w:left="101" w:hanging="0"/>
        <w:rPr>
          <w:lang w:val="en-US"/>
        </w:rPr>
      </w:pPr>
      <w:r>
        <w:rPr>
          <w:sz w:val="20"/>
          <w:lang w:val="en-US"/>
        </w:rPr>
        <w:t xml:space="preserve"> </w:t>
      </w:r>
    </w:p>
    <w:p>
      <w:pPr>
        <w:pStyle w:val="Normal"/>
        <w:numPr>
          <w:ilvl w:val="0"/>
          <w:numId w:val="8"/>
        </w:numPr>
        <w:spacing w:before="0" w:after="0"/>
        <w:ind w:left="922" w:right="192" w:hanging="720"/>
        <w:rPr>
          <w:lang w:val="en-US"/>
        </w:rPr>
      </w:pPr>
      <w:r>
        <w:rPr>
          <w:b/>
          <w:u w:val="single" w:color="000000"/>
          <w:lang w:val="en-US"/>
        </w:rPr>
        <w:t>Fees</w:t>
      </w:r>
      <w:r>
        <w:rPr>
          <w:lang w:val="en-US"/>
        </w:rPr>
        <w:t xml:space="preserve">. Provider must pay, or have paid on its behalf, fees to the Escrow Agent directly. If Provider fails to pay any fee by the due date(s), the Escrow Agent will give ICANN written notice of such non-payment and ICANN may pay the past-due fee(s) within fifteen (15) calendar days after receipt of the written notice from Escrow Agent. Upon payment of the past-due fees by ICANN, ICANN shall have a claim for such amount against Provider, which Provider shall be required to submit to ICANN together with the next fee payment due under the Agreement. </w:t>
      </w:r>
    </w:p>
    <w:p>
      <w:pPr>
        <w:pStyle w:val="Normal"/>
        <w:spacing w:lineRule="auto" w:line="259" w:before="0" w:after="47"/>
        <w:ind w:left="101" w:hanging="0"/>
        <w:rPr>
          <w:lang w:val="en-US"/>
        </w:rPr>
      </w:pPr>
      <w:r>
        <w:rPr>
          <w:sz w:val="20"/>
          <w:lang w:val="en-US"/>
        </w:rPr>
        <w:t xml:space="preserve"> </w:t>
      </w:r>
    </w:p>
    <w:p>
      <w:pPr>
        <w:pStyle w:val="Normal"/>
        <w:numPr>
          <w:ilvl w:val="0"/>
          <w:numId w:val="8"/>
        </w:numPr>
        <w:spacing w:before="0" w:after="0"/>
        <w:ind w:left="922" w:right="192" w:hanging="720"/>
        <w:rPr>
          <w:lang w:val="en-US"/>
        </w:rPr>
      </w:pPr>
      <w:r>
        <w:rPr>
          <w:b/>
          <w:u w:val="single" w:color="000000"/>
          <w:lang w:val="en-US"/>
        </w:rPr>
        <w:t>Ownership</w:t>
      </w:r>
      <w:r>
        <w:rPr>
          <w:lang w:val="en-US"/>
        </w:rPr>
        <w:t xml:space="preserve">. Ownership of the Deposits during the effective term of the Agreement shall remain with Provider at all times. Thereafter, Provider shall assign any such ownership rights (including intellectual property rights, as the case may be) in such Deposits to ICANN. In the event that during the term of the Agreement any Deposit is released from escrow to ICANN, any intellectual property rights held by Provider in the Deposits will automatically be licensed to ICANN or to a party designated in writing by ICANN on a non-exclusive, perpetual, irrevocable, royalty-free, paid-up basis, for any use related to the providing of Services. </w:t>
      </w:r>
    </w:p>
    <w:p>
      <w:pPr>
        <w:pStyle w:val="Normal"/>
        <w:spacing w:lineRule="auto" w:line="259" w:before="0" w:after="47"/>
        <w:ind w:left="101" w:hanging="0"/>
        <w:rPr>
          <w:lang w:val="en-US"/>
        </w:rPr>
      </w:pPr>
      <w:r>
        <w:rPr>
          <w:sz w:val="20"/>
          <w:lang w:val="en-US"/>
        </w:rPr>
        <w:t xml:space="preserve"> </w:t>
      </w:r>
    </w:p>
    <w:p>
      <w:pPr>
        <w:pStyle w:val="Normal"/>
        <w:numPr>
          <w:ilvl w:val="0"/>
          <w:numId w:val="8"/>
        </w:numPr>
        <w:spacing w:before="0" w:after="0"/>
        <w:ind w:left="922" w:right="192" w:hanging="720"/>
        <w:rPr>
          <w:lang w:val="en-US"/>
        </w:rPr>
      </w:pPr>
      <w:r>
        <w:rPr>
          <w:b/>
          <w:u w:val="single" w:color="000000"/>
          <w:lang w:val="en-US"/>
        </w:rPr>
        <w:t>Integrity and Confidentiality</w:t>
      </w:r>
      <w:r>
        <w:rPr>
          <w:lang w:val="en-US"/>
        </w:rPr>
        <w:t xml:space="preserve">. Escrow Agent will be required to (i) hold and maintain the Deposits in a secure, locked, and environmentally safe facility, which is accessible only to authorized representatives of Escrow Agent, (ii) protect the integrity and confidentiality of the Deposits using commercially reasonable measures and (iii) keep and safeguard each Deposit for one (1) year. ICANN and Provider will be provided the right to inspect Escrow Agent’s applicable records upon reasonable prior notice and during normal business hours. Provider and ICANN will be provided with the right to designate a third-party auditor to audit Escrow Agent’s compliance with the technical specifications and maintenance requirements of this Specification 1 from time to time. </w:t>
      </w:r>
    </w:p>
    <w:p>
      <w:pPr>
        <w:pStyle w:val="Normal"/>
        <w:spacing w:lineRule="auto" w:line="259" w:before="0" w:after="17"/>
        <w:ind w:left="101" w:hanging="0"/>
        <w:rPr>
          <w:lang w:val="en-US"/>
        </w:rPr>
      </w:pPr>
      <w:r>
        <w:rPr>
          <w:sz w:val="20"/>
          <w:lang w:val="en-US"/>
        </w:rPr>
        <w:t xml:space="preserve"> </w:t>
      </w:r>
    </w:p>
    <w:p>
      <w:pPr>
        <w:pStyle w:val="Normal"/>
        <w:spacing w:before="0" w:after="0"/>
        <w:ind w:left="932" w:right="90" w:hanging="10"/>
        <w:rPr>
          <w:lang w:val="en-US"/>
        </w:rPr>
      </w:pPr>
      <w:r>
        <w:rPr>
          <w:lang w:val="en-US"/>
        </w:rPr>
        <w:t xml:space="preserve">If Escrow Agent receives a subpoena or any other order from a court or other judicial tribunal pertaining to the disclosure or release of the Deposits, Escrow Agent will promptly notify Provider and ICANN unless prohibited by law. After notifying Provider and ICANN, Escrow Agent shall allow sufficient time for Provider or ICANN to challenge any such order, which shall be the responsibility of Provider or ICANN; provided, however, that Escrow Agent does not waive its rights to present its position with respect to any such order. Escrow Agent will cooperate with Provider or ICANN to support efforts to quash or limit any subpoena, at such party’s expense. Any party requesting additional assistance shall pay Escrow Agent’s standard charges or as quoted upon submission of a detailed request. </w:t>
      </w:r>
    </w:p>
    <w:p>
      <w:pPr>
        <w:pStyle w:val="Normal"/>
        <w:spacing w:lineRule="auto" w:line="259" w:before="0" w:after="50"/>
        <w:ind w:left="101" w:hanging="0"/>
        <w:rPr>
          <w:lang w:val="en-US"/>
        </w:rPr>
      </w:pPr>
      <w:r>
        <w:rPr>
          <w:sz w:val="20"/>
          <w:lang w:val="en-US"/>
        </w:rPr>
        <w:t xml:space="preserve"> </w:t>
      </w:r>
    </w:p>
    <w:p>
      <w:pPr>
        <w:pStyle w:val="Normal"/>
        <w:numPr>
          <w:ilvl w:val="0"/>
          <w:numId w:val="8"/>
        </w:numPr>
        <w:spacing w:before="0" w:after="0"/>
        <w:ind w:left="922" w:right="192" w:hanging="720"/>
        <w:rPr>
          <w:lang w:val="en-US"/>
        </w:rPr>
      </w:pPr>
      <w:r>
        <w:rPr>
          <w:b/>
          <w:u w:val="single" w:color="000000"/>
          <w:lang w:val="en-US"/>
        </w:rPr>
        <w:t>Copies</w:t>
      </w:r>
      <w:r>
        <w:rPr>
          <w:lang w:val="en-US"/>
        </w:rPr>
        <w:t xml:space="preserve">. Escrow Agent may be permitted to duplicate any Deposit, in order to comply with the terms and provisions of the escrow agreement. </w:t>
      </w:r>
    </w:p>
    <w:p>
      <w:pPr>
        <w:pStyle w:val="Normal"/>
        <w:spacing w:lineRule="auto" w:line="259" w:before="0" w:after="60"/>
        <w:ind w:left="101" w:hanging="0"/>
        <w:rPr>
          <w:lang w:val="en-US"/>
        </w:rPr>
      </w:pPr>
      <w:r>
        <w:rPr>
          <w:sz w:val="19"/>
          <w:lang w:val="en-US"/>
        </w:rPr>
        <w:t xml:space="preserve"> </w:t>
      </w:r>
    </w:p>
    <w:p>
      <w:pPr>
        <w:pStyle w:val="Normal"/>
        <w:numPr>
          <w:ilvl w:val="0"/>
          <w:numId w:val="8"/>
        </w:numPr>
        <w:spacing w:lineRule="auto" w:line="237" w:before="0" w:after="4"/>
        <w:ind w:left="922" w:right="192" w:hanging="720"/>
        <w:rPr>
          <w:lang w:val="en-US"/>
        </w:rPr>
      </w:pPr>
      <w:r>
        <w:rPr>
          <w:b/>
          <w:u w:val="single" w:color="000000"/>
          <w:lang w:val="en-US"/>
        </w:rPr>
        <w:t>Release of Deposits</w:t>
      </w:r>
      <w:r>
        <w:rPr>
          <w:lang w:val="en-US"/>
        </w:rPr>
        <w:t xml:space="preserve">. Escrow Agent will make available for electronic download (unless otherwise requested) to ICANN or its designee, within twenty-four (24) hours, at Provider ‘s expense, all Deposits in Escrow Agent’s possession in the event that the Escrow Agent receives a request from Provider to effect such delivery to ICANN, or receives one of the following written notices by ICANN stating that: </w:t>
      </w:r>
    </w:p>
    <w:p>
      <w:pPr>
        <w:pStyle w:val="Normal"/>
        <w:spacing w:lineRule="auto" w:line="259" w:before="0" w:after="47"/>
        <w:ind w:left="101" w:hanging="0"/>
        <w:rPr>
          <w:lang w:val="en-US"/>
        </w:rPr>
      </w:pPr>
      <w:r>
        <w:rPr>
          <w:sz w:val="20"/>
          <w:lang w:val="en-US"/>
        </w:rPr>
        <w:t xml:space="preserve"> </w:t>
      </w:r>
    </w:p>
    <w:p>
      <w:pPr>
        <w:pStyle w:val="Normal"/>
        <w:numPr>
          <w:ilvl w:val="1"/>
          <w:numId w:val="8"/>
        </w:numPr>
        <w:spacing w:before="0" w:after="11"/>
        <w:ind w:left="1642" w:right="91" w:hanging="720"/>
        <w:rPr>
          <w:lang w:val="en-US"/>
        </w:rPr>
      </w:pPr>
      <w:r>
        <w:rPr>
          <w:lang w:val="en-US"/>
        </w:rPr>
        <w:t xml:space="preserve">the Agreement has expired without renewal, or been terminated;  </w:t>
      </w:r>
    </w:p>
    <w:p>
      <w:pPr>
        <w:pStyle w:val="Normal"/>
        <w:spacing w:lineRule="auto" w:line="259" w:before="0" w:after="47"/>
        <w:ind w:left="101" w:hanging="0"/>
        <w:rPr>
          <w:lang w:val="en-US"/>
        </w:rPr>
      </w:pPr>
      <w:r>
        <w:rPr>
          <w:sz w:val="20"/>
          <w:lang w:val="en-US"/>
        </w:rPr>
        <w:t xml:space="preserve"> </w:t>
      </w:r>
    </w:p>
    <w:p>
      <w:pPr>
        <w:pStyle w:val="Normal"/>
        <w:numPr>
          <w:ilvl w:val="1"/>
          <w:numId w:val="8"/>
        </w:numPr>
        <w:spacing w:before="0" w:after="0"/>
        <w:ind w:left="1642" w:right="91" w:hanging="720"/>
        <w:rPr>
          <w:lang w:val="en-US"/>
        </w:rPr>
      </w:pPr>
      <w:r>
        <w:rPr>
          <w:lang w:val="en-US"/>
        </w:rPr>
        <w:t xml:space="preserve">ICANN has not received a notification as described in Part B, Sections 7.1 and 7.2 of this Specification from Escrow Agent within five (5) calendar days after the Deposit’s scheduled delivery date; (a) ICANN gave notice to Escrow Agent and Provider of that failure; and (b) ICANN has not, within seven (7) calendar days after such notice, received the notification from Escrow Agent;  </w:t>
      </w:r>
    </w:p>
    <w:p>
      <w:pPr>
        <w:pStyle w:val="Normal"/>
        <w:spacing w:lineRule="auto" w:line="259" w:before="0" w:after="50"/>
        <w:ind w:left="101" w:hanging="0"/>
        <w:rPr>
          <w:lang w:val="en-US"/>
        </w:rPr>
      </w:pPr>
      <w:r>
        <w:rPr>
          <w:sz w:val="20"/>
          <w:lang w:val="en-US"/>
        </w:rPr>
        <w:t xml:space="preserve"> </w:t>
      </w:r>
    </w:p>
    <w:p>
      <w:pPr>
        <w:pStyle w:val="Normal"/>
        <w:numPr>
          <w:ilvl w:val="1"/>
          <w:numId w:val="8"/>
        </w:numPr>
        <w:spacing w:before="0" w:after="0"/>
        <w:ind w:left="1642" w:right="91" w:hanging="720"/>
        <w:rPr>
          <w:lang w:val="en-US"/>
        </w:rPr>
      </w:pPr>
      <w:r>
        <w:rPr>
          <w:lang w:val="en-US"/>
        </w:rPr>
        <w:t xml:space="preserve">ICANN has received notification as described in Part B, Sections 7.1 and 7.2 of this Specification from Escrow Agent of failed verification of the latest escrow deposit for a specific date or a notification of a missing deposit, and the notification is for a deposit that should have been made on Sunday (i.e., a Full Deposit); (a) ICANN gave notice to Provider of that receipt; and (b) ICANN has not, within seven (7) calendar days after such notice, received notification as described in Part B, Sections 7.1 and 7.2 of this Specification from Escrow Agent of verification of a remediated version of such Full Deposit;  </w:t>
      </w:r>
    </w:p>
    <w:p>
      <w:pPr>
        <w:pStyle w:val="Normal"/>
        <w:spacing w:lineRule="auto" w:line="259" w:before="0" w:after="47"/>
        <w:ind w:left="101" w:hanging="0"/>
        <w:rPr>
          <w:lang w:val="en-US"/>
        </w:rPr>
      </w:pPr>
      <w:r>
        <w:rPr>
          <w:sz w:val="20"/>
          <w:lang w:val="en-US"/>
        </w:rPr>
        <w:t xml:space="preserve"> </w:t>
      </w:r>
    </w:p>
    <w:p>
      <w:pPr>
        <w:pStyle w:val="Normal"/>
        <w:numPr>
          <w:ilvl w:val="1"/>
          <w:numId w:val="8"/>
        </w:numPr>
        <w:spacing w:before="0" w:after="0"/>
        <w:ind w:left="1642" w:right="91" w:hanging="720"/>
        <w:rPr>
          <w:lang w:val="en-US"/>
        </w:rPr>
      </w:pPr>
      <w:r>
        <w:rPr>
          <w:lang w:val="en-US"/>
        </w:rPr>
        <w:t xml:space="preserve">ICANN has received five notifications from Escrow Agent within the last thirty (30) calendar days notifying ICANN of either missing or failed escrow deposits that should have been made Monday through Saturday </w:t>
      </w:r>
    </w:p>
    <w:p>
      <w:pPr>
        <w:pStyle w:val="Normal"/>
        <w:spacing w:before="0" w:after="0"/>
        <w:ind w:left="1652" w:right="172" w:hanging="10"/>
        <w:rPr>
          <w:lang w:val="en-US"/>
        </w:rPr>
      </w:pPr>
      <w:r>
        <w:rPr>
          <w:lang w:val="en-US"/>
        </w:rPr>
        <w:t xml:space="preserve">(i.e., a Differential Deposit), and (a) ICANN provided notice to Provider of the receipt of such notifications; and (b) ICANN has not, within seven (7) calendar days after delivery of such notice to Provider, received notification from Escrow Agent of verification of a remediated version of such Differential Deposit;  </w:t>
      </w:r>
    </w:p>
    <w:p>
      <w:pPr>
        <w:pStyle w:val="Normal"/>
        <w:spacing w:lineRule="auto" w:line="259" w:before="0" w:after="0"/>
        <w:ind w:left="821" w:hanging="0"/>
        <w:rPr>
          <w:lang w:val="en-US"/>
        </w:rPr>
      </w:pPr>
      <w:r>
        <w:rPr>
          <w:rFonts w:eastAsia="Calibri" w:cs="Calibri" w:ascii="Calibri" w:hAnsi="Calibri"/>
          <w:sz w:val="22"/>
          <w:lang w:val="en-US"/>
        </w:rPr>
        <w:t xml:space="preserve"> </w:t>
      </w:r>
    </w:p>
    <w:p>
      <w:pPr>
        <w:pStyle w:val="Normal"/>
        <w:spacing w:lineRule="auto" w:line="259" w:before="0" w:after="0"/>
        <w:ind w:left="1642" w:hanging="0"/>
        <w:rPr>
          <w:lang w:val="en-US"/>
        </w:rPr>
      </w:pPr>
      <w:r>
        <w:rPr>
          <w:lang w:val="en-US"/>
        </w:rPr>
        <w:t xml:space="preserve"> </w:t>
      </w:r>
    </w:p>
    <w:p>
      <w:pPr>
        <w:pStyle w:val="Normal"/>
        <w:numPr>
          <w:ilvl w:val="1"/>
          <w:numId w:val="8"/>
        </w:numPr>
        <w:spacing w:before="0" w:after="0"/>
        <w:ind w:left="1642" w:right="91" w:hanging="720"/>
        <w:rPr>
          <w:lang w:val="en-US"/>
        </w:rPr>
      </w:pPr>
      <w:r>
        <w:rPr>
          <w:lang w:val="en-US"/>
        </w:rPr>
        <w:t xml:space="preserve">Provider has: (a) ceased to conduct its business in the ordinary course; or (b) filed for bankruptcy, become insolvent or anything analogous to any of the foregoing under the laws of any jurisdiction anywhere in the world;  </w:t>
      </w:r>
    </w:p>
    <w:p>
      <w:pPr>
        <w:pStyle w:val="Normal"/>
        <w:spacing w:lineRule="auto" w:line="259" w:before="0" w:after="50"/>
        <w:ind w:left="101" w:hanging="0"/>
        <w:rPr>
          <w:lang w:val="en-US"/>
        </w:rPr>
      </w:pPr>
      <w:r>
        <w:rPr>
          <w:sz w:val="20"/>
          <w:lang w:val="en-US"/>
        </w:rPr>
        <w:t xml:space="preserve"> </w:t>
      </w:r>
    </w:p>
    <w:p>
      <w:pPr>
        <w:pStyle w:val="Normal"/>
        <w:numPr>
          <w:ilvl w:val="1"/>
          <w:numId w:val="8"/>
        </w:numPr>
        <w:spacing w:before="0" w:after="0"/>
        <w:ind w:left="1642" w:right="91" w:hanging="720"/>
        <w:rPr>
          <w:lang w:val="en-US"/>
        </w:rPr>
      </w:pPr>
      <w:r>
        <w:rPr>
          <w:lang w:val="en-US"/>
        </w:rPr>
        <w:t xml:space="preserve">a competent court, arbitral, legislative, or government agency mandates the release of the Deposits to ICANN; or </w:t>
      </w:r>
    </w:p>
    <w:p>
      <w:pPr>
        <w:pStyle w:val="Normal"/>
        <w:spacing w:lineRule="auto" w:line="259" w:before="0" w:after="47"/>
        <w:ind w:left="101" w:hanging="0"/>
        <w:rPr>
          <w:lang w:val="en-US"/>
        </w:rPr>
      </w:pPr>
      <w:r>
        <w:rPr>
          <w:sz w:val="20"/>
          <w:lang w:val="en-US"/>
        </w:rPr>
        <w:t xml:space="preserve"> </w:t>
      </w:r>
    </w:p>
    <w:p>
      <w:pPr>
        <w:pStyle w:val="Normal"/>
        <w:numPr>
          <w:ilvl w:val="1"/>
          <w:numId w:val="8"/>
        </w:numPr>
        <w:spacing w:before="0" w:after="11"/>
        <w:ind w:left="1642" w:right="91" w:hanging="720"/>
        <w:rPr>
          <w:lang w:val="en-US"/>
        </w:rPr>
      </w:pPr>
      <w:r>
        <w:rPr>
          <w:lang w:val="en-US"/>
        </w:rPr>
        <w:t xml:space="preserve">pursuant to an audit under Section 3.10 of the Agreement. </w:t>
      </w:r>
    </w:p>
    <w:p>
      <w:pPr>
        <w:pStyle w:val="Normal"/>
        <w:spacing w:lineRule="auto" w:line="259" w:before="0" w:after="20"/>
        <w:ind w:left="101" w:hanging="0"/>
        <w:rPr>
          <w:lang w:val="en-US"/>
        </w:rPr>
      </w:pPr>
      <w:r>
        <w:rPr>
          <w:sz w:val="20"/>
          <w:lang w:val="en-US"/>
        </w:rPr>
        <w:t xml:space="preserve"> </w:t>
      </w:r>
    </w:p>
    <w:p>
      <w:pPr>
        <w:pStyle w:val="Normal"/>
        <w:spacing w:before="0" w:after="0"/>
        <w:ind w:left="932" w:right="10" w:hanging="10"/>
        <w:rPr>
          <w:lang w:val="en-US"/>
        </w:rPr>
      </w:pPr>
      <w:r>
        <w:rPr>
          <w:lang w:val="en-US"/>
        </w:rPr>
        <w:t xml:space="preserve">Unless Escrow Agent has previously released Provider‘s Deposits to ICANN or its designee, Escrow Agent will deliver all Deposits to ICANN upon expiration or termination of the Agreement or the Escrow Agreement. </w:t>
      </w:r>
    </w:p>
    <w:p>
      <w:pPr>
        <w:pStyle w:val="Normal"/>
        <w:spacing w:lineRule="auto" w:line="259" w:before="0" w:after="49"/>
        <w:ind w:left="101" w:hanging="0"/>
        <w:rPr>
          <w:lang w:val="en-US"/>
        </w:rPr>
      </w:pPr>
      <w:r>
        <w:rPr>
          <w:sz w:val="20"/>
          <w:lang w:val="en-US"/>
        </w:rPr>
        <w:t xml:space="preserve"> </w:t>
      </w:r>
    </w:p>
    <w:p>
      <w:pPr>
        <w:pStyle w:val="Normal"/>
        <w:numPr>
          <w:ilvl w:val="0"/>
          <w:numId w:val="8"/>
        </w:numPr>
        <w:spacing w:lineRule="auto" w:line="259" w:before="0" w:after="0"/>
        <w:ind w:left="922" w:right="192" w:hanging="720"/>
        <w:rPr/>
      </w:pPr>
      <w:r>
        <w:rPr>
          <w:b/>
          <w:u w:val="single" w:color="000000"/>
        </w:rPr>
        <w:t>Verification of Deposits</w:t>
      </w:r>
      <w:r>
        <w:rPr/>
        <w:t xml:space="preserve">. </w:t>
      </w:r>
    </w:p>
    <w:p>
      <w:pPr>
        <w:pStyle w:val="Normal"/>
        <w:spacing w:lineRule="auto" w:line="259" w:before="0" w:after="159"/>
        <w:ind w:left="101" w:hanging="0"/>
        <w:rPr/>
      </w:pPr>
      <w:r>
        <w:rPr>
          <w:sz w:val="15"/>
        </w:rPr>
        <w:t xml:space="preserve"> </w:t>
      </w:r>
    </w:p>
    <w:p>
      <w:pPr>
        <w:pStyle w:val="Normal"/>
        <w:numPr>
          <w:ilvl w:val="1"/>
          <w:numId w:val="8"/>
        </w:numPr>
        <w:spacing w:lineRule="auto" w:line="237" w:before="0" w:after="4"/>
        <w:ind w:left="1642" w:right="91" w:hanging="720"/>
        <w:rPr>
          <w:lang w:val="en-US"/>
        </w:rPr>
      </w:pPr>
      <w:r>
        <w:rPr>
          <w:lang w:val="en-US"/>
        </w:rPr>
        <w:t xml:space="preserve">Within twenty-four (24) hours after receiving each Deposit or corrected Deposit, Escrow Agent must verify the format and completeness of each Deposit and deliver to ICANN a notification generated for each Deposit. </w:t>
      </w:r>
    </w:p>
    <w:p>
      <w:pPr>
        <w:pStyle w:val="Normal"/>
        <w:spacing w:lineRule="auto" w:line="259" w:before="0" w:after="0"/>
        <w:ind w:left="1642" w:hanging="0"/>
        <w:rPr>
          <w:lang w:val="en-US"/>
        </w:rPr>
      </w:pPr>
      <w:r>
        <w:rPr>
          <w:lang w:val="en-US"/>
        </w:rPr>
        <w:t xml:space="preserve"> </w:t>
      </w:r>
    </w:p>
    <w:p>
      <w:pPr>
        <w:pStyle w:val="Normal"/>
        <w:spacing w:before="0" w:after="0"/>
        <w:ind w:left="1652" w:right="447" w:hanging="10"/>
        <w:rPr>
          <w:lang w:val="en-US"/>
        </w:rPr>
      </w:pPr>
      <w:r>
        <w:rPr>
          <w:lang w:val="en-US"/>
        </w:rPr>
        <w:t xml:space="preserve">Reports will be delivered electronically using the API described in draft-lozano-icann-pp-interfaces, see Part A, Section 9, reference 5 of this Specification. </w:t>
      </w:r>
    </w:p>
    <w:p>
      <w:pPr>
        <w:pStyle w:val="Normal"/>
        <w:spacing w:lineRule="auto" w:line="259" w:before="0" w:after="47"/>
        <w:ind w:left="101" w:hanging="0"/>
        <w:rPr>
          <w:lang w:val="en-US"/>
        </w:rPr>
      </w:pPr>
      <w:r>
        <w:rPr>
          <w:sz w:val="20"/>
          <w:lang w:val="en-US"/>
        </w:rPr>
        <w:t xml:space="preserve"> </w:t>
      </w:r>
    </w:p>
    <w:p>
      <w:pPr>
        <w:pStyle w:val="Normal"/>
        <w:numPr>
          <w:ilvl w:val="1"/>
          <w:numId w:val="8"/>
        </w:numPr>
        <w:spacing w:before="0" w:after="0"/>
        <w:ind w:left="1642" w:right="91" w:hanging="720"/>
        <w:rPr>
          <w:lang w:val="en-US"/>
        </w:rPr>
      </w:pPr>
      <w:r>
        <w:rPr>
          <w:lang w:val="en-US"/>
        </w:rPr>
        <w:t xml:space="preserve">If Escrow Agent discovers that any Deposit fails the verification procedures or if Escrow Agent does not receive any scheduled Deposit, Escrow Agent must notify Provider either by email, fax or phone and ICANN (using the </w:t>
      </w:r>
    </w:p>
    <w:p>
      <w:pPr>
        <w:pStyle w:val="Normal"/>
        <w:spacing w:before="0" w:after="0"/>
        <w:ind w:left="1652" w:right="601" w:hanging="10"/>
        <w:rPr>
          <w:lang w:val="en-US"/>
        </w:rPr>
      </w:pPr>
      <w:r>
        <w:rPr>
          <w:lang w:val="en-US"/>
        </w:rPr>
        <w:t xml:space="preserve">API described in draft-lozano-icann-pp-interfaces, see Part A, Section 9, reference 5 of this Specification) of such nonconformity or non-receipt within twenty-four (24) hours after receiving the non-conformant Deposit or the deadline for such Deposit, as applicable. Upon notification of such verification or delivery failure, Provider must begin developing modifications, updates, corrections, and other fixes of the Deposit necessary for the Deposit to be delivered and pass the verification procedures and deliver such fixes to Escrow Agent as promptly as possible. </w:t>
      </w:r>
    </w:p>
    <w:p>
      <w:pPr>
        <w:pStyle w:val="Normal"/>
        <w:spacing w:lineRule="auto" w:line="259" w:before="0" w:after="50"/>
        <w:ind w:left="101" w:hanging="0"/>
        <w:rPr>
          <w:lang w:val="en-US"/>
        </w:rPr>
      </w:pPr>
      <w:r>
        <w:rPr>
          <w:sz w:val="20"/>
          <w:lang w:val="en-US"/>
        </w:rPr>
        <w:t xml:space="preserve"> </w:t>
      </w:r>
    </w:p>
    <w:p>
      <w:pPr>
        <w:pStyle w:val="Normal"/>
        <w:numPr>
          <w:ilvl w:val="0"/>
          <w:numId w:val="8"/>
        </w:numPr>
        <w:spacing w:before="0" w:after="0"/>
        <w:ind w:left="922" w:right="192" w:hanging="720"/>
        <w:rPr>
          <w:lang w:val="en-US"/>
        </w:rPr>
      </w:pPr>
      <w:r>
        <w:rPr>
          <w:b/>
          <w:u w:val="single" w:color="000000"/>
          <w:lang w:val="en-US"/>
        </w:rPr>
        <w:t>Amendments</w:t>
      </w:r>
      <w:r>
        <w:rPr>
          <w:lang w:val="en-US"/>
        </w:rPr>
        <w:t xml:space="preserve">. Escrow Agent and Provider shall amend the terms of the Escrow Agreement to conform to this Specification 2 within ten (10) calendar days of any amendment or modification to this Specification 1. In the event of a conflict between this Specification 1 and the Escrow Agreement, this Specification 1 shall control. </w:t>
      </w:r>
    </w:p>
    <w:p>
      <w:pPr>
        <w:pStyle w:val="Normal"/>
        <w:spacing w:lineRule="auto" w:line="259" w:before="0" w:after="82"/>
        <w:ind w:left="101" w:hanging="0"/>
        <w:rPr>
          <w:lang w:val="en-US"/>
        </w:rPr>
      </w:pPr>
      <w:r>
        <w:rPr>
          <w:lang w:val="en-US"/>
        </w:rPr>
        <w:t xml:space="preserve"> </w:t>
      </w:r>
    </w:p>
    <w:p>
      <w:pPr>
        <w:pStyle w:val="Normal"/>
        <w:numPr>
          <w:ilvl w:val="0"/>
          <w:numId w:val="8"/>
        </w:numPr>
        <w:spacing w:before="0" w:after="0"/>
        <w:ind w:left="922" w:right="192" w:hanging="720"/>
        <w:rPr>
          <w:lang w:val="en-US"/>
        </w:rPr>
      </w:pPr>
      <w:r>
        <w:rPr>
          <w:b/>
          <w:u w:val="single" w:color="000000"/>
          <w:lang w:val="en-US"/>
        </w:rPr>
        <w:t>Indemnity</w:t>
      </w:r>
      <w:r>
        <w:rPr>
          <w:lang w:val="en-US"/>
        </w:rPr>
        <w:t xml:space="preserve">. Escrow Agent shall indemnify and hold harmless Provider and ICANN, and each of their respective directors, officers, agents, employees, members, and stockholders (“Indemnitees”) absolutely and forever from and against any and all claims, actions, damages, suits, liabilities, obligations, costs, fees, charges, and any other expenses whatsoever, including reasonable attorneys’ fees and costs, that may be asserted by a third party against any Indemnitee in connection with the misrepresentation, negligence or misconduct of Escrow Agent, its directors, officers, agents, employees and contractors. </w:t>
      </w:r>
      <w:r>
        <w:br w:type="page"/>
      </w:r>
    </w:p>
    <w:p>
      <w:pPr>
        <w:pStyle w:val="Kop1"/>
        <w:ind w:left="129" w:right="113" w:hanging="10"/>
        <w:rPr>
          <w:lang w:val="en-US"/>
        </w:rPr>
      </w:pPr>
      <w:r>
        <w:rPr>
          <w:lang w:val="en-US"/>
        </w:rPr>
        <w:t xml:space="preserve">SPECIFICATION 2: CUSTOMER DATA ACCURACY PROGRAM SPECIFICATION </w:t>
      </w:r>
    </w:p>
    <w:p>
      <w:pPr>
        <w:pStyle w:val="Normal"/>
        <w:spacing w:lineRule="auto" w:line="259" w:before="0" w:after="0"/>
        <w:ind w:left="461" w:hanging="0"/>
        <w:rPr>
          <w:lang w:val="en-US"/>
        </w:rPr>
      </w:pPr>
      <w:r>
        <w:rPr>
          <w:b/>
          <w:lang w:val="en-US"/>
        </w:rPr>
        <w:t xml:space="preserve"> </w:t>
      </w:r>
    </w:p>
    <w:p>
      <w:pPr>
        <w:pStyle w:val="Normal"/>
        <w:spacing w:before="0" w:after="0"/>
        <w:ind w:left="111" w:right="10" w:hanging="10"/>
        <w:rPr>
          <w:lang w:val="en-US"/>
        </w:rPr>
      </w:pPr>
      <w:r>
        <w:rPr>
          <w:lang w:val="en-US"/>
        </w:rPr>
        <w:t xml:space="preserve">Provider shall implement and comply with the requirements set forth in this Specification, as well as any commercially practical updates to this Specification that are developed by ICANN and the Working Group during the Term of this Agreement.  If a provision in this </w:t>
      </w:r>
    </w:p>
    <w:p>
      <w:pPr>
        <w:pStyle w:val="Normal"/>
        <w:spacing w:before="0" w:after="11"/>
        <w:ind w:left="111" w:right="10" w:hanging="10"/>
        <w:rPr>
          <w:lang w:val="en-US"/>
        </w:rPr>
      </w:pPr>
      <w:r>
        <w:rPr>
          <w:lang w:val="en-US"/>
        </w:rPr>
        <w:t xml:space="preserve">Specification that appears in analogous form in the WHOIS Accuracy Program of the </w:t>
      </w:r>
    </w:p>
    <w:p>
      <w:pPr>
        <w:pStyle w:val="Normal"/>
        <w:spacing w:before="0" w:after="11"/>
        <w:ind w:left="111" w:right="10" w:hanging="10"/>
        <w:rPr>
          <w:lang w:val="en-US"/>
        </w:rPr>
      </w:pPr>
      <w:r>
        <w:rPr>
          <w:lang w:val="en-US"/>
        </w:rPr>
        <w:t xml:space="preserve">Registrar Accreditation Agreement is revised pursuant to Section 6 of the 2013 Registrar </w:t>
      </w:r>
    </w:p>
    <w:p>
      <w:pPr>
        <w:pStyle w:val="Normal"/>
        <w:spacing w:before="0" w:after="189"/>
        <w:ind w:left="111" w:right="10" w:hanging="10"/>
        <w:rPr>
          <w:lang w:val="en-US"/>
        </w:rPr>
      </w:pPr>
      <w:r>
        <w:rPr>
          <w:lang w:val="en-US"/>
        </w:rPr>
        <w:t>Accreditation Agreement, or any successor to such provision in any successor Registrar Accreditation Agreement, then this Specification shall be deemed automatically and without any further action from ICANN or Provider to be amended to conform to such revision, except to the extent necessary to refer to Provider rather than Registrar and such other non-substantive modifications as determined by ICANN.</w:t>
      </w:r>
      <w:r>
        <w:rPr>
          <w:b/>
          <w:i/>
          <w:lang w:val="en-US"/>
        </w:rPr>
        <w:t xml:space="preserve"> </w:t>
      </w:r>
    </w:p>
    <w:p>
      <w:pPr>
        <w:pStyle w:val="Normal"/>
        <w:numPr>
          <w:ilvl w:val="0"/>
          <w:numId w:val="9"/>
        </w:numPr>
        <w:spacing w:before="0" w:after="232"/>
        <w:ind w:left="461" w:right="10" w:hanging="360"/>
        <w:rPr>
          <w:lang w:val="en-US"/>
        </w:rPr>
      </w:pPr>
      <w:r>
        <w:rPr>
          <w:lang w:val="en-US"/>
        </w:rPr>
        <w:t xml:space="preserve">Except as provided for in Section 3 below, within fifteen (15) days of (i) the registration of a Registered Name for which Provider is providing the Services, (ii) the transfer of the sponsorship of a Registered Name for which Provider is providing the Services, or (iii) any change in the Customer information associated with a Registered Name for which Provider is providing the Services, Provider will, with respect to the Customer account holder contact information related to such Registered Name: </w:t>
      </w:r>
    </w:p>
    <w:p>
      <w:pPr>
        <w:pStyle w:val="Normal"/>
        <w:numPr>
          <w:ilvl w:val="1"/>
          <w:numId w:val="9"/>
        </w:numPr>
        <w:spacing w:before="0" w:after="229"/>
        <w:ind w:left="1181" w:right="10" w:hanging="360"/>
        <w:rPr>
          <w:lang w:val="en-US"/>
        </w:rPr>
      </w:pPr>
      <w:r>
        <w:rPr>
          <w:lang w:val="en-US"/>
        </w:rPr>
        <w:t xml:space="preserve">Validate the presence of data for all fields required under Subsection 3.2.1 of the Agreement in a proper format for the applicable country or territory. </w:t>
      </w:r>
    </w:p>
    <w:p>
      <w:pPr>
        <w:pStyle w:val="Normal"/>
        <w:numPr>
          <w:ilvl w:val="1"/>
          <w:numId w:val="9"/>
        </w:numPr>
        <w:spacing w:before="0" w:after="232"/>
        <w:ind w:left="1181" w:right="10" w:hanging="360"/>
        <w:rPr>
          <w:lang w:val="en-US"/>
        </w:rPr>
      </w:pPr>
      <w:r>
        <w:rPr>
          <w:lang w:val="en-US"/>
        </w:rPr>
        <w:t xml:space="preserve">Validate that all email addresses are in the proper format according to RFC 5322 (or its successors). </w:t>
      </w:r>
    </w:p>
    <w:p>
      <w:pPr>
        <w:pStyle w:val="Normal"/>
        <w:numPr>
          <w:ilvl w:val="1"/>
          <w:numId w:val="9"/>
        </w:numPr>
        <w:spacing w:before="0" w:after="229"/>
        <w:ind w:left="1181" w:right="10" w:hanging="360"/>
        <w:rPr>
          <w:lang w:val="en-US"/>
        </w:rPr>
      </w:pPr>
      <w:r>
        <w:rPr>
          <w:lang w:val="en-US"/>
        </w:rPr>
        <w:t>Validate that telephone numbers are in the proper format according to the ITU</w:t>
      </w:r>
      <w:r>
        <w:rPr>
          <w:color w:val="101010"/>
          <w:lang w:val="en-US"/>
        </w:rPr>
        <w:t>-</w:t>
      </w:r>
      <w:r>
        <w:rPr>
          <w:lang w:val="en-US"/>
        </w:rPr>
        <w:t xml:space="preserve">T E.164 notation for international telephone numbers (or its equivalents or successors). </w:t>
      </w:r>
    </w:p>
    <w:p>
      <w:pPr>
        <w:pStyle w:val="Normal"/>
        <w:numPr>
          <w:ilvl w:val="1"/>
          <w:numId w:val="9"/>
        </w:numPr>
        <w:spacing w:before="0" w:after="229"/>
        <w:ind w:left="1181" w:right="10" w:hanging="360"/>
        <w:rPr>
          <w:lang w:val="en-US"/>
        </w:rPr>
      </w:pPr>
      <w:r>
        <w:rPr>
          <w:lang w:val="en-US"/>
        </w:rPr>
        <w:t xml:space="preserve">Validate that postal addresses are in a proper format for the applicable country or territory as defined in UPU Postal addressing format templates, the S42 address templates (as they may be updated) or other standard formats.  </w:t>
      </w:r>
    </w:p>
    <w:p>
      <w:pPr>
        <w:pStyle w:val="Normal"/>
        <w:numPr>
          <w:ilvl w:val="1"/>
          <w:numId w:val="9"/>
        </w:numPr>
        <w:spacing w:before="0" w:after="230"/>
        <w:ind w:left="1181" w:right="10" w:hanging="360"/>
        <w:rPr>
          <w:lang w:val="en-US"/>
        </w:rPr>
      </w:pPr>
      <w:r>
        <w:rPr>
          <w:lang w:val="en-US"/>
        </w:rPr>
        <w:t xml:space="preserve">Validate that all postal address fields are consistent across fields (for example: street exists in city, city exists in state/province, city matches postal code) where such information is technically and commercially feasible for the applicable country or territory.  </w:t>
      </w:r>
    </w:p>
    <w:p>
      <w:pPr>
        <w:pStyle w:val="Normal"/>
        <w:numPr>
          <w:ilvl w:val="1"/>
          <w:numId w:val="9"/>
        </w:numPr>
        <w:spacing w:before="0" w:after="226"/>
        <w:ind w:left="1181" w:right="10" w:hanging="360"/>
        <w:rPr/>
      </w:pPr>
      <w:r>
        <w:rPr/>
        <w:t xml:space="preserve">Verify:  </w:t>
      </w:r>
    </w:p>
    <w:p>
      <w:pPr>
        <w:pStyle w:val="Normal"/>
        <w:spacing w:before="0" w:after="11"/>
        <w:ind w:left="1731" w:right="10" w:hanging="10"/>
        <w:rPr>
          <w:lang w:val="en-US"/>
        </w:rPr>
      </w:pPr>
      <w:r>
        <w:rPr>
          <w:sz w:val="22"/>
          <w:lang w:val="en-US"/>
        </w:rPr>
        <w:t xml:space="preserve">i.  </w:t>
      </w:r>
      <w:r>
        <w:rPr>
          <w:lang w:val="en-US"/>
        </w:rPr>
        <w:t xml:space="preserve">the email address of the Customer by sending an email requiring an </w:t>
      </w:r>
    </w:p>
    <w:p>
      <w:pPr>
        <w:pStyle w:val="Normal"/>
        <w:spacing w:lineRule="auto" w:line="304"/>
        <w:ind w:left="1721" w:right="119" w:firstLine="180"/>
        <w:rPr>
          <w:lang w:val="en-US"/>
        </w:rPr>
      </w:pPr>
      <w:r>
        <w:rPr>
          <w:lang w:val="en-US"/>
        </w:rPr>
        <w:t xml:space="preserve">affirmative response through a tool-based authentication method such as providing a unique code that must be returned in a manner designated by Provider; or </w:t>
      </w:r>
      <w:r>
        <w:rPr>
          <w:sz w:val="22"/>
          <w:lang w:val="en-US"/>
        </w:rPr>
        <w:t xml:space="preserve">ii. </w:t>
      </w:r>
      <w:r>
        <w:rPr>
          <w:lang w:val="en-US"/>
        </w:rPr>
        <w:t xml:space="preserve">the telephone number of the Customer by either (A) calling or sending an SMS to the Customer’s telephone number providing a unique code that must be returned in a manner designated by Provider, or (B) calling the Customer’s telephone number and requiring the Customer to provide a unique code that was sent to the Customer via web, email or postal mail. </w:t>
      </w:r>
    </w:p>
    <w:p>
      <w:pPr>
        <w:pStyle w:val="Normal"/>
        <w:spacing w:before="0" w:after="229"/>
        <w:ind w:left="1551" w:right="10" w:hanging="10"/>
        <w:rPr>
          <w:lang w:val="en-US"/>
        </w:rPr>
      </w:pPr>
      <w:r>
        <w:rPr>
          <w:lang w:val="en-US"/>
        </w:rPr>
        <w:t xml:space="preserve">In either case, if Provider does not receive an affirmative response from the Customer, </w:t>
      </w:r>
      <w:commentRangeStart w:id="10"/>
      <w:r>
        <w:rPr>
          <w:lang w:val="en-US"/>
        </w:rPr>
        <w:t xml:space="preserve">Provider shall either verify the applicable contact information manually or promptly inform the Registrar sponsoring the applicable Registered Name and request that such Registrar suspend </w:t>
      </w:r>
      <w:r>
        <w:rPr>
          <w:lang w:val="en-US"/>
        </w:rPr>
      </w:r>
      <w:commentRangeEnd w:id="10"/>
      <w:r>
        <w:commentReference w:id="10"/>
      </w:r>
      <w:r>
        <w:rPr>
          <w:lang w:val="en-US"/>
        </w:rPr>
        <w:t xml:space="preserve">the registration, until such time as Provider has verified the applicable contact information.  </w:t>
      </w:r>
    </w:p>
    <w:p>
      <w:pPr>
        <w:pStyle w:val="Normal"/>
        <w:numPr>
          <w:ilvl w:val="0"/>
          <w:numId w:val="9"/>
        </w:numPr>
        <w:spacing w:before="0" w:after="232"/>
        <w:ind w:left="461" w:right="10" w:hanging="360"/>
        <w:rPr>
          <w:lang w:val="en-US"/>
        </w:rPr>
      </w:pPr>
      <w:r>
        <w:rPr>
          <w:lang w:val="en-US"/>
        </w:rPr>
        <w:t xml:space="preserve">Except as provided in Section 3 below, within fifteen (15) calendar days after receiving any changes to the </w:t>
      </w:r>
      <w:commentRangeStart w:id="11"/>
      <w:r>
        <w:rPr>
          <w:lang w:val="en-US"/>
        </w:rPr>
        <w:t xml:space="preserve">Customer’s account contact information </w:t>
      </w:r>
      <w:r>
        <w:rPr>
          <w:lang w:val="en-US"/>
        </w:rPr>
      </w:r>
      <w:commentRangeEnd w:id="11"/>
      <w:r>
        <w:commentReference w:id="11"/>
      </w:r>
      <w:r>
        <w:rPr>
          <w:lang w:val="en-US"/>
        </w:rPr>
        <w:t xml:space="preserve">related to any Registered Name for which Provider is providing the Services (whether or not Provider was previously required to perform the validation and verification requirements set forth in this Specification in respect of such Registered Name), Provider will validate and, to the extent required by Section 1, verify the changed fields in the manner specified in Section 1 above. If Provider does not receive an affirmative response from the Customer providing the required verification, </w:t>
      </w:r>
      <w:commentRangeStart w:id="12"/>
      <w:r>
        <w:rPr>
          <w:lang w:val="en-US"/>
        </w:rPr>
        <w:t xml:space="preserve">Provider shall either verify the applicable contact information manually or promptly inform the Registrar </w:t>
      </w:r>
      <w:r>
        <w:rPr>
          <w:lang w:val="en-US"/>
        </w:rPr>
      </w:r>
      <w:commentRangeEnd w:id="12"/>
      <w:r>
        <w:commentReference w:id="12"/>
      </w:r>
      <w:r>
        <w:rPr>
          <w:lang w:val="en-US"/>
        </w:rPr>
        <w:t xml:space="preserve">sponsoring the applicable Register Name and request that such Registrar suspend the registration, until such time as Provider has verified the applicable contact information.  </w:t>
      </w:r>
    </w:p>
    <w:p>
      <w:pPr>
        <w:pStyle w:val="Normal"/>
        <w:numPr>
          <w:ilvl w:val="0"/>
          <w:numId w:val="9"/>
        </w:numPr>
        <w:spacing w:before="0" w:after="229"/>
        <w:ind w:left="461" w:right="10" w:hanging="360"/>
        <w:rPr>
          <w:lang w:val="en-US"/>
        </w:rPr>
      </w:pPr>
      <w:r>
        <w:rPr>
          <w:lang w:val="en-US"/>
        </w:rPr>
        <w:t xml:space="preserve">Except as set forth in paragraph 4 below, Provider is not required to perform the above validation and verification procedures in Section 1(a) through 1(f) above, if Provider or a Registrar that is Affiliated with Provider has already successfully completed the validation and verification procedures on the identical contact information and neither Provider or such Registrar is in possession of facts or knowledge of circumstances that suggest that the information is no longer valid. </w:t>
      </w:r>
    </w:p>
    <w:p>
      <w:pPr>
        <w:pStyle w:val="Normal"/>
        <w:numPr>
          <w:ilvl w:val="0"/>
          <w:numId w:val="9"/>
        </w:numPr>
        <w:ind w:left="461" w:right="10" w:hanging="360"/>
        <w:rPr>
          <w:lang w:val="en-US"/>
        </w:rPr>
      </w:pPr>
      <w:r>
        <w:rPr>
          <w:lang w:val="en-US"/>
        </w:rPr>
        <w:t xml:space="preserve">If (i) Provider has any information suggesting that the </w:t>
      </w:r>
      <w:commentRangeStart w:id="13"/>
      <w:r>
        <w:rPr>
          <w:lang w:val="en-US"/>
        </w:rPr>
        <w:t xml:space="preserve">contact information </w:t>
      </w:r>
      <w:r>
        <w:rPr>
          <w:lang w:val="en-US"/>
        </w:rPr>
      </w:r>
      <w:commentRangeEnd w:id="13"/>
      <w:r>
        <w:commentReference w:id="13"/>
      </w:r>
      <w:r>
        <w:rPr>
          <w:lang w:val="en-US"/>
        </w:rPr>
        <w:t xml:space="preserve">specified in Section 1(a) through 1(f) above is incorrect (such as Provider receiving </w:t>
      </w:r>
      <w:commentRangeStart w:id="14"/>
      <w:r>
        <w:rPr>
          <w:lang w:val="en-US"/>
        </w:rPr>
        <w:t xml:space="preserve">a bounced email </w:t>
      </w:r>
      <w:r>
        <w:rPr>
          <w:lang w:val="en-US"/>
        </w:rPr>
      </w:r>
      <w:commentRangeEnd w:id="14"/>
      <w:r>
        <w:commentReference w:id="14"/>
      </w:r>
      <w:r>
        <w:rPr>
          <w:lang w:val="en-US"/>
        </w:rPr>
        <w:t xml:space="preserve">notification or non-delivery notification message in connection with compliance with ICANN’s WHOIS Data Reminder Policy or otherwise) or (ii) a Persistent Delivery Failure has occurred, in each case, for any Registered Name for which Provider is providing the Services (whether or not Provider was previously required to perform the validation and verification requirements set forth in this Specification in respect of such Registered Name), Provider must verify or re-verify, as applicable, the email address(es) as described in Section 1.f (for example by requiring an affirmative response to a WHOIS Data Reminder Policy notice). If, within fifteen (15) calendar days after receiving any such information or failure, Provider does not receive an affirmative response from the Customer providing the required verification, Provider shall either verify the applicable contact information manually or promptly inform the Registrar sponsoring the applicable Register Name and request that such Registrar suspend the registration, until such time as Provider has verified the applicable contact information.  </w:t>
      </w:r>
    </w:p>
    <w:p>
      <w:pPr>
        <w:pStyle w:val="Normal"/>
        <w:numPr>
          <w:ilvl w:val="0"/>
          <w:numId w:val="9"/>
        </w:numPr>
        <w:spacing w:before="0" w:after="229"/>
        <w:ind w:left="461" w:right="10" w:hanging="360"/>
        <w:rPr>
          <w:lang w:val="en-US"/>
        </w:rPr>
      </w:pPr>
      <w:r>
        <w:rPr>
          <w:lang w:val="en-US"/>
        </w:rPr>
        <w:t xml:space="preserve">Upon the occurrence of a Customer's willful provision of inaccurate or unreliable </w:t>
      </w:r>
      <w:commentRangeStart w:id="15"/>
      <w:r>
        <w:rPr>
          <w:lang w:val="en-US"/>
        </w:rPr>
        <w:t>WHOIS</w:t>
      </w:r>
      <w:r>
        <w:rPr>
          <w:lang w:val="en-US"/>
        </w:rPr>
      </w:r>
      <w:commentRangeEnd w:id="15"/>
      <w:r>
        <w:commentReference w:id="15"/>
      </w:r>
      <w:r>
        <w:rPr>
          <w:lang w:val="en-US"/>
        </w:rPr>
        <w:t xml:space="preserve"> or customer contact information, its willful failure promptly to update information provided to Provider, or its failure to respond for over fifteen (15) calendar days to inquiries by Provider concerning the accuracy of contact details associated with the Registered Name for which Provider is providing the Services, Provider shall promptly notify the Registrar sponsoring the applicable Register Name and request that such Registrar either terminate or suspend the such Registered Name or place such registration on clientHold and clientTransferProhibited, until such time as Provider has validated the information provided by the Customer. </w:t>
      </w:r>
    </w:p>
    <w:p>
      <w:pPr>
        <w:pStyle w:val="Normal"/>
        <w:numPr>
          <w:ilvl w:val="0"/>
          <w:numId w:val="9"/>
        </w:numPr>
        <w:spacing w:before="0" w:after="0"/>
        <w:ind w:left="461" w:right="10" w:hanging="360"/>
        <w:rPr>
          <w:lang w:val="en-US"/>
        </w:rPr>
      </w:pPr>
      <w:r>
        <w:rPr>
          <w:lang w:val="en-US"/>
        </w:rPr>
        <w:t xml:space="preserve">Following Provider’s verification or validation (as applicable) of the applicable contact information following the applicable Registered Name being suspended, placed on clientHold or placed on clientTransferProhibited pursuant to Sections 3 though 5 of this Specification, Provider shall promptly notify the Registrar sponsoring the applicable </w:t>
      </w:r>
    </w:p>
    <w:p>
      <w:pPr>
        <w:pStyle w:val="Normal"/>
        <w:spacing w:before="0" w:after="229"/>
        <w:ind w:left="471" w:right="84" w:hanging="10"/>
        <w:rPr>
          <w:lang w:val="en-US"/>
        </w:rPr>
      </w:pPr>
      <w:r>
        <w:rPr>
          <w:lang w:val="en-US"/>
        </w:rPr>
        <w:t xml:space="preserve">Register Name of such verification or validation (as applicable) and request that such Registered Name be release from suspension, </w:t>
      </w:r>
      <w:commentRangeStart w:id="16"/>
      <w:r>
        <w:rPr>
          <w:lang w:val="en-US"/>
        </w:rPr>
        <w:t xml:space="preserve">clientHold or clientTransferProhibited </w:t>
      </w:r>
      <w:r>
        <w:rPr>
          <w:lang w:val="en-US"/>
        </w:rPr>
      </w:r>
      <w:commentRangeEnd w:id="16"/>
      <w:r>
        <w:commentReference w:id="16"/>
      </w:r>
      <w:r>
        <w:rPr>
          <w:lang w:val="en-US"/>
        </w:rPr>
        <w:t xml:space="preserve">(as applicable).  </w:t>
      </w:r>
    </w:p>
    <w:p>
      <w:pPr>
        <w:pStyle w:val="Normal"/>
        <w:numPr>
          <w:ilvl w:val="0"/>
          <w:numId w:val="9"/>
        </w:numPr>
        <w:spacing w:before="0" w:after="229"/>
        <w:ind w:left="461" w:right="10" w:hanging="360"/>
        <w:rPr>
          <w:lang w:val="en-US"/>
        </w:rPr>
      </w:pPr>
      <w:r>
        <w:rPr>
          <w:lang w:val="en-US"/>
        </w:rPr>
        <w:t xml:space="preserve">The terms and conditions of this Specification shall be reviewed by ICANN in consultation with the Working Group on or about the first anniversary of the date that the form of this Agreement is first executed by a Provider. </w:t>
      </w:r>
    </w:p>
    <w:p>
      <w:pPr>
        <w:pStyle w:val="Normal"/>
        <w:numPr>
          <w:ilvl w:val="0"/>
          <w:numId w:val="9"/>
        </w:numPr>
        <w:spacing w:before="0" w:after="230"/>
        <w:ind w:left="461" w:right="10" w:hanging="360"/>
        <w:rPr>
          <w:lang w:val="en-US"/>
        </w:rPr>
      </w:pPr>
      <w:r>
        <w:rPr>
          <w:lang w:val="en-US"/>
        </w:rPr>
        <w:t xml:space="preserve">Nothing within this Specification shall be deemed to require Provider to perform verification or validation of any customer account holder information where Provider is not providing any Services to the Customer. </w:t>
      </w:r>
    </w:p>
    <w:p>
      <w:pPr>
        <w:pStyle w:val="Normal"/>
        <w:spacing w:lineRule="auto" w:line="259" w:before="0" w:after="0"/>
        <w:ind w:left="461" w:hanging="0"/>
        <w:rPr>
          <w:lang w:val="en-US"/>
        </w:rPr>
      </w:pPr>
      <w:r>
        <w:rPr>
          <w:lang w:val="en-US"/>
        </w:rPr>
        <w:t xml:space="preserve"> </w:t>
      </w:r>
    </w:p>
    <w:p>
      <w:pPr>
        <w:pStyle w:val="Kop1"/>
        <w:ind w:left="756" w:hanging="10"/>
        <w:jc w:val="left"/>
        <w:rPr>
          <w:lang w:val="en-US"/>
        </w:rPr>
      </w:pPr>
      <w:r>
        <w:rPr>
          <w:lang w:val="en-US"/>
        </w:rPr>
        <w:t xml:space="preserve">SPECIFICATION 3: REGISTRATION DATA DIRECTORY SERVICE LABELING SPECIFICATION  </w:t>
      </w:r>
    </w:p>
    <w:p>
      <w:pPr>
        <w:pStyle w:val="Normal"/>
        <w:spacing w:lineRule="auto" w:line="259" w:before="0" w:after="0"/>
        <w:ind w:left="64" w:hanging="0"/>
        <w:jc w:val="center"/>
        <w:rPr>
          <w:lang w:val="en-US"/>
        </w:rPr>
      </w:pPr>
      <w:r>
        <w:rPr>
          <w:b/>
          <w:lang w:val="en-US"/>
        </w:rPr>
        <w:t xml:space="preserve"> </w:t>
      </w:r>
    </w:p>
    <w:p>
      <w:pPr>
        <w:pStyle w:val="Normal"/>
        <w:spacing w:before="0" w:after="0"/>
        <w:ind w:left="111" w:right="10" w:hanging="10"/>
        <w:rPr>
          <w:lang w:val="en-US"/>
        </w:rPr>
      </w:pPr>
      <w:r>
        <w:rPr>
          <w:lang w:val="en-US"/>
        </w:rPr>
        <w:t xml:space="preserve">Provider shall maintain the following contact details for each Customer associated with a Registered Name for which Provider is providing the Services.  </w:t>
      </w:r>
    </w:p>
    <w:p>
      <w:pPr>
        <w:pStyle w:val="Normal"/>
        <w:spacing w:lineRule="auto" w:line="259" w:before="0" w:after="0"/>
        <w:ind w:left="1325" w:hanging="0"/>
        <w:rPr>
          <w:lang w:val="en-US"/>
        </w:rPr>
      </w:pPr>
      <w:r>
        <w:rPr>
          <w:lang w:val="en-US"/>
        </w:rPr>
        <w:t xml:space="preserve"> </w:t>
      </w:r>
    </w:p>
    <w:p>
      <w:pPr>
        <w:pStyle w:val="Normal"/>
        <w:spacing w:before="0" w:after="11"/>
        <w:ind w:left="1335" w:right="10" w:hanging="10"/>
        <w:rPr>
          <w:lang w:val="en-US"/>
        </w:rPr>
      </w:pPr>
      <w:r>
        <w:rPr>
          <w:lang w:val="en-US"/>
        </w:rPr>
        <w:t xml:space="preserve">Registrant Name: EXAMPLE REGISTRANT </w:t>
      </w:r>
    </w:p>
    <w:p>
      <w:pPr>
        <w:pStyle w:val="Normal"/>
        <w:spacing w:before="0" w:after="11"/>
        <w:ind w:left="1335" w:right="10" w:hanging="10"/>
        <w:rPr>
          <w:lang w:val="en-US"/>
        </w:rPr>
      </w:pPr>
      <w:r>
        <w:rPr>
          <w:lang w:val="en-US"/>
        </w:rPr>
        <w:t xml:space="preserve">Registrant Organization: EXAMPLE ORGANIZATION </w:t>
      </w:r>
    </w:p>
    <w:p>
      <w:pPr>
        <w:pStyle w:val="Normal"/>
        <w:spacing w:before="0" w:after="11"/>
        <w:ind w:left="1335" w:right="10" w:hanging="10"/>
        <w:rPr>
          <w:lang w:val="en-US"/>
        </w:rPr>
      </w:pPr>
      <w:r>
        <w:rPr>
          <w:lang w:val="en-US"/>
        </w:rPr>
        <w:t xml:space="preserve">Registrant Street: 123 EXAMPLE STREET </w:t>
      </w:r>
    </w:p>
    <w:p>
      <w:pPr>
        <w:pStyle w:val="Normal"/>
        <w:spacing w:before="0" w:after="11"/>
        <w:ind w:left="1335" w:right="10" w:hanging="10"/>
        <w:rPr>
          <w:lang w:val="en-US"/>
        </w:rPr>
      </w:pPr>
      <w:r>
        <w:rPr>
          <w:lang w:val="en-US"/>
        </w:rPr>
        <w:t xml:space="preserve">Registrant City: ANYTOWN </w:t>
      </w:r>
    </w:p>
    <w:p>
      <w:pPr>
        <w:pStyle w:val="Normal"/>
        <w:spacing w:before="0" w:after="11"/>
        <w:ind w:left="1335" w:right="10" w:hanging="10"/>
        <w:rPr>
          <w:lang w:val="en-US"/>
        </w:rPr>
      </w:pPr>
      <w:r>
        <w:rPr>
          <w:lang w:val="en-US"/>
        </w:rPr>
        <w:t xml:space="preserve">Registrant State/Province: AP </w:t>
      </w:r>
    </w:p>
    <w:p>
      <w:pPr>
        <w:pStyle w:val="Normal"/>
        <w:spacing w:before="0" w:after="11"/>
        <w:ind w:left="1335" w:right="10" w:hanging="10"/>
        <w:rPr>
          <w:lang w:val="en-US"/>
        </w:rPr>
      </w:pPr>
      <w:r>
        <w:rPr>
          <w:lang w:val="en-US"/>
        </w:rPr>
        <w:t xml:space="preserve">Registrant Postal Code: A1A1A1 </w:t>
      </w:r>
    </w:p>
    <w:p>
      <w:pPr>
        <w:pStyle w:val="Normal"/>
        <w:spacing w:before="0" w:after="11"/>
        <w:ind w:left="1335" w:right="10" w:hanging="10"/>
        <w:rPr>
          <w:lang w:val="en-US"/>
        </w:rPr>
      </w:pPr>
      <w:r>
        <w:rPr>
          <w:lang w:val="en-US"/>
        </w:rPr>
        <w:t xml:space="preserve">Registrant Country: AA </w:t>
      </w:r>
    </w:p>
    <w:p>
      <w:pPr>
        <w:pStyle w:val="Normal"/>
        <w:spacing w:before="0" w:after="11"/>
        <w:ind w:left="1335" w:right="10" w:hanging="10"/>
        <w:rPr>
          <w:lang w:val="en-US"/>
        </w:rPr>
      </w:pPr>
      <w:r>
        <w:rPr>
          <w:lang w:val="en-US"/>
        </w:rPr>
        <w:t xml:space="preserve">Registrant Phone: +1.5555551212 </w:t>
      </w:r>
    </w:p>
    <w:p>
      <w:pPr>
        <w:pStyle w:val="Normal"/>
        <w:spacing w:before="0" w:after="11"/>
        <w:ind w:left="1335" w:right="10" w:hanging="10"/>
        <w:rPr>
          <w:lang w:val="en-US"/>
        </w:rPr>
      </w:pPr>
      <w:r>
        <w:rPr>
          <w:lang w:val="en-US"/>
        </w:rPr>
        <w:t xml:space="preserve">Registrant Phone Ext: 1234 </w:t>
      </w:r>
    </w:p>
    <w:p>
      <w:pPr>
        <w:pStyle w:val="Normal"/>
        <w:spacing w:before="0" w:after="11"/>
        <w:ind w:left="1335" w:right="10" w:hanging="10"/>
        <w:rPr>
          <w:lang w:val="en-US"/>
        </w:rPr>
      </w:pPr>
      <w:r>
        <w:rPr>
          <w:lang w:val="en-US"/>
        </w:rPr>
        <w:t xml:space="preserve">Registrant Fax: +1.5555551213 </w:t>
      </w:r>
    </w:p>
    <w:p>
      <w:pPr>
        <w:pStyle w:val="Normal"/>
        <w:spacing w:before="0" w:after="11"/>
        <w:ind w:left="1335" w:right="10" w:hanging="10"/>
        <w:rPr>
          <w:lang w:val="en-US"/>
        </w:rPr>
      </w:pPr>
      <w:r>
        <w:rPr>
          <w:lang w:val="en-US"/>
        </w:rPr>
        <w:t xml:space="preserve">Registrant Fax Ext: 4321 </w:t>
      </w:r>
    </w:p>
    <w:p>
      <w:pPr>
        <w:pStyle w:val="Normal"/>
        <w:spacing w:before="0" w:after="11"/>
        <w:ind w:left="1335" w:right="10" w:hanging="10"/>
        <w:rPr>
          <w:lang w:val="en-US"/>
        </w:rPr>
      </w:pPr>
      <w:r>
        <w:rPr>
          <w:lang w:val="en-US"/>
        </w:rPr>
        <w:t xml:space="preserve">Registrant Email: EMAIL@EXAMPLE.TLD </w:t>
      </w:r>
    </w:p>
    <w:p>
      <w:pPr>
        <w:pStyle w:val="Normal"/>
        <w:spacing w:before="0" w:after="11"/>
        <w:ind w:left="1335" w:right="10" w:hanging="10"/>
        <w:rPr>
          <w:lang w:val="en-US"/>
        </w:rPr>
      </w:pPr>
      <w:r>
        <w:rPr>
          <w:lang w:val="en-US"/>
        </w:rPr>
        <w:t xml:space="preserve">Registry Admin ID: 5372809-ERL </w:t>
      </w:r>
    </w:p>
    <w:p>
      <w:pPr>
        <w:pStyle w:val="Normal"/>
        <w:spacing w:before="0" w:after="11"/>
        <w:ind w:left="1335" w:right="10" w:hanging="10"/>
        <w:rPr>
          <w:lang w:val="en-US"/>
        </w:rPr>
      </w:pPr>
      <w:r>
        <w:rPr>
          <w:lang w:val="en-US"/>
        </w:rPr>
        <w:t xml:space="preserve">Admin Name: EXAMPLE REGISTRANT ADMINISTRATIVE </w:t>
      </w:r>
    </w:p>
    <w:p>
      <w:pPr>
        <w:pStyle w:val="Normal"/>
        <w:spacing w:before="0" w:after="11"/>
        <w:ind w:left="1335" w:right="10" w:hanging="10"/>
        <w:rPr>
          <w:lang w:val="en-US"/>
        </w:rPr>
      </w:pPr>
      <w:r>
        <w:rPr>
          <w:lang w:val="en-US"/>
        </w:rPr>
        <w:t xml:space="preserve">Admin Organization: EXAMPLE REGISTRANT ORGANIZATION </w:t>
      </w:r>
    </w:p>
    <w:p>
      <w:pPr>
        <w:pStyle w:val="Normal"/>
        <w:spacing w:before="0" w:after="11"/>
        <w:ind w:left="1335" w:right="10" w:hanging="10"/>
        <w:rPr>
          <w:lang w:val="en-US"/>
        </w:rPr>
      </w:pPr>
      <w:r>
        <w:rPr>
          <w:lang w:val="en-US"/>
        </w:rPr>
        <w:t xml:space="preserve">Admin Street: 123 EXAMPLE STREET </w:t>
      </w:r>
    </w:p>
    <w:p>
      <w:pPr>
        <w:pStyle w:val="Normal"/>
        <w:spacing w:before="0" w:after="11"/>
        <w:ind w:left="1335" w:right="10" w:hanging="10"/>
        <w:rPr>
          <w:lang w:val="en-US"/>
        </w:rPr>
      </w:pPr>
      <w:r>
        <w:rPr>
          <w:lang w:val="en-US"/>
        </w:rPr>
        <w:t xml:space="preserve">Admin City: ANYTOWN </w:t>
      </w:r>
    </w:p>
    <w:p>
      <w:pPr>
        <w:pStyle w:val="Normal"/>
        <w:spacing w:before="0" w:after="11"/>
        <w:ind w:left="1335" w:right="10" w:hanging="10"/>
        <w:rPr>
          <w:lang w:val="en-US"/>
        </w:rPr>
      </w:pPr>
      <w:r>
        <w:rPr>
          <w:lang w:val="en-US"/>
        </w:rPr>
        <w:t xml:space="preserve">Admin State/Province: AP </w:t>
      </w:r>
    </w:p>
    <w:p>
      <w:pPr>
        <w:pStyle w:val="Normal"/>
        <w:spacing w:before="0" w:after="11"/>
        <w:ind w:left="1335" w:right="10" w:hanging="10"/>
        <w:rPr>
          <w:lang w:val="en-US"/>
        </w:rPr>
      </w:pPr>
      <w:r>
        <w:rPr>
          <w:lang w:val="en-US"/>
        </w:rPr>
        <w:t xml:space="preserve">Admin Postal Code: A1A1A1 </w:t>
      </w:r>
    </w:p>
    <w:p>
      <w:pPr>
        <w:pStyle w:val="Normal"/>
        <w:spacing w:before="0" w:after="11"/>
        <w:ind w:left="1335" w:right="10" w:hanging="10"/>
        <w:rPr>
          <w:lang w:val="en-US"/>
        </w:rPr>
      </w:pPr>
      <w:r>
        <w:rPr>
          <w:lang w:val="en-US"/>
        </w:rPr>
        <w:t xml:space="preserve">Admin Country: AA </w:t>
      </w:r>
    </w:p>
    <w:p>
      <w:pPr>
        <w:pStyle w:val="Normal"/>
        <w:spacing w:before="0" w:after="11"/>
        <w:ind w:left="1335" w:right="10" w:hanging="10"/>
        <w:rPr>
          <w:lang w:val="en-US"/>
        </w:rPr>
      </w:pPr>
      <w:r>
        <w:rPr>
          <w:lang w:val="en-US"/>
        </w:rPr>
        <w:t xml:space="preserve">Admin Phone: +1.5555551212 </w:t>
      </w:r>
    </w:p>
    <w:p>
      <w:pPr>
        <w:pStyle w:val="Normal"/>
        <w:spacing w:before="0" w:after="11"/>
        <w:ind w:left="1335" w:right="10" w:hanging="10"/>
        <w:rPr>
          <w:lang w:val="en-US"/>
        </w:rPr>
      </w:pPr>
      <w:r>
        <w:rPr>
          <w:lang w:val="en-US"/>
        </w:rPr>
        <w:t xml:space="preserve">Admin Phone Ext: 1234 </w:t>
      </w:r>
    </w:p>
    <w:p>
      <w:pPr>
        <w:pStyle w:val="Normal"/>
        <w:spacing w:before="0" w:after="11"/>
        <w:ind w:left="1335" w:right="10" w:hanging="10"/>
        <w:rPr>
          <w:lang w:val="en-US"/>
        </w:rPr>
      </w:pPr>
      <w:r>
        <w:rPr>
          <w:lang w:val="en-US"/>
        </w:rPr>
        <w:t xml:space="preserve">Admin Fax: +1.5555551213 </w:t>
      </w:r>
    </w:p>
    <w:p>
      <w:pPr>
        <w:pStyle w:val="Normal"/>
        <w:spacing w:before="0" w:after="11"/>
        <w:ind w:left="1335" w:right="10" w:hanging="10"/>
        <w:rPr>
          <w:lang w:val="en-US"/>
        </w:rPr>
      </w:pPr>
      <w:r>
        <w:rPr>
          <w:lang w:val="en-US"/>
        </w:rPr>
        <w:t xml:space="preserve">Admin Fax Ext: 1234 </w:t>
      </w:r>
    </w:p>
    <w:p>
      <w:pPr>
        <w:pStyle w:val="Normal"/>
        <w:spacing w:before="0" w:after="11"/>
        <w:ind w:left="1335" w:right="10" w:hanging="10"/>
        <w:rPr>
          <w:lang w:val="en-US"/>
        </w:rPr>
      </w:pPr>
      <w:r>
        <w:rPr>
          <w:lang w:val="en-US"/>
        </w:rPr>
        <w:t xml:space="preserve">Admin Email: EMAIL@EXAMPLE.TLD </w:t>
      </w:r>
    </w:p>
    <w:p>
      <w:pPr>
        <w:pStyle w:val="Normal"/>
        <w:spacing w:before="0" w:after="11"/>
        <w:ind w:left="1335" w:right="10" w:hanging="10"/>
        <w:rPr>
          <w:lang w:val="en-US"/>
        </w:rPr>
      </w:pPr>
      <w:r>
        <w:rPr>
          <w:lang w:val="en-US"/>
        </w:rPr>
        <w:t xml:space="preserve">Registry Tech ID: 5372811-ERL </w:t>
      </w:r>
    </w:p>
    <w:p>
      <w:pPr>
        <w:pStyle w:val="Normal"/>
        <w:spacing w:before="0" w:after="11"/>
        <w:ind w:left="1335" w:right="10" w:hanging="10"/>
        <w:rPr>
          <w:lang w:val="en-US"/>
        </w:rPr>
      </w:pPr>
      <w:r>
        <w:rPr>
          <w:lang w:val="en-US"/>
        </w:rPr>
        <w:t xml:space="preserve">Tech Name: EXAMPLE REGISTRANT TECHNICAL </w:t>
      </w:r>
    </w:p>
    <w:p>
      <w:pPr>
        <w:pStyle w:val="Normal"/>
        <w:spacing w:before="0" w:after="11"/>
        <w:ind w:left="1335" w:right="10" w:hanging="10"/>
        <w:rPr>
          <w:lang w:val="en-US"/>
        </w:rPr>
      </w:pPr>
      <w:r>
        <w:rPr>
          <w:lang w:val="en-US"/>
        </w:rPr>
        <w:t xml:space="preserve">Tech Organization: EXAMPLE REGISTRANT LLC </w:t>
      </w:r>
    </w:p>
    <w:p>
      <w:pPr>
        <w:pStyle w:val="Normal"/>
        <w:spacing w:before="0" w:after="11"/>
        <w:ind w:left="1335" w:right="10" w:hanging="10"/>
        <w:rPr>
          <w:lang w:val="en-US"/>
        </w:rPr>
      </w:pPr>
      <w:r>
        <w:rPr>
          <w:lang w:val="en-US"/>
        </w:rPr>
        <w:t xml:space="preserve">Tech Street: 123 EXAMPLE STREET </w:t>
      </w:r>
    </w:p>
    <w:p>
      <w:pPr>
        <w:pStyle w:val="Normal"/>
        <w:spacing w:before="0" w:after="11"/>
        <w:ind w:left="1335" w:right="10" w:hanging="10"/>
        <w:rPr>
          <w:lang w:val="en-US"/>
        </w:rPr>
      </w:pPr>
      <w:r>
        <w:rPr>
          <w:lang w:val="en-US"/>
        </w:rPr>
        <w:t xml:space="preserve">Tech City: ANYTOWN </w:t>
      </w:r>
    </w:p>
    <w:p>
      <w:pPr>
        <w:pStyle w:val="Normal"/>
        <w:spacing w:before="0" w:after="11"/>
        <w:ind w:left="1335" w:right="10" w:hanging="10"/>
        <w:rPr>
          <w:lang w:val="en-US"/>
        </w:rPr>
      </w:pPr>
      <w:r>
        <w:rPr>
          <w:lang w:val="en-US"/>
        </w:rPr>
        <w:t xml:space="preserve">Tech State/Province: AP </w:t>
      </w:r>
    </w:p>
    <w:p>
      <w:pPr>
        <w:pStyle w:val="Normal"/>
        <w:spacing w:before="0" w:after="11"/>
        <w:ind w:left="1335" w:right="10" w:hanging="10"/>
        <w:rPr>
          <w:lang w:val="en-US"/>
        </w:rPr>
      </w:pPr>
      <w:r>
        <w:rPr>
          <w:lang w:val="en-US"/>
        </w:rPr>
        <w:t xml:space="preserve">Tech Postal Code: A1A1A1 </w:t>
      </w:r>
    </w:p>
    <w:p>
      <w:pPr>
        <w:pStyle w:val="Normal"/>
        <w:spacing w:before="0" w:after="11"/>
        <w:ind w:left="1335" w:right="10" w:hanging="10"/>
        <w:rPr>
          <w:lang w:val="en-US"/>
        </w:rPr>
      </w:pPr>
      <w:r>
        <w:rPr>
          <w:lang w:val="en-US"/>
        </w:rPr>
        <w:t xml:space="preserve">Tech Country: AA </w:t>
      </w:r>
    </w:p>
    <w:p>
      <w:pPr>
        <w:pStyle w:val="Normal"/>
        <w:spacing w:before="0" w:after="11"/>
        <w:ind w:left="1335" w:right="10" w:hanging="10"/>
        <w:rPr>
          <w:lang w:val="en-US"/>
        </w:rPr>
      </w:pPr>
      <w:r>
        <w:rPr>
          <w:lang w:val="en-US"/>
        </w:rPr>
        <w:t xml:space="preserve">Tech Phone: +1.1235551234 </w:t>
      </w:r>
    </w:p>
    <w:p>
      <w:pPr>
        <w:pStyle w:val="Normal"/>
        <w:spacing w:before="0" w:after="11"/>
        <w:ind w:left="1335" w:right="10" w:hanging="10"/>
        <w:rPr>
          <w:lang w:val="en-US"/>
        </w:rPr>
      </w:pPr>
      <w:r>
        <w:rPr>
          <w:lang w:val="en-US"/>
        </w:rPr>
        <w:t xml:space="preserve">Tech Phone Ext: 1234 </w:t>
      </w:r>
    </w:p>
    <w:p>
      <w:pPr>
        <w:pStyle w:val="Normal"/>
        <w:spacing w:before="0" w:after="11"/>
        <w:ind w:left="1335" w:right="10" w:hanging="10"/>
        <w:rPr>
          <w:lang w:val="en-US"/>
        </w:rPr>
      </w:pPr>
      <w:r>
        <w:rPr>
          <w:lang w:val="en-US"/>
        </w:rPr>
        <w:t xml:space="preserve">Tech Fax: +1.5555551213 </w:t>
      </w:r>
    </w:p>
    <w:p>
      <w:pPr>
        <w:pStyle w:val="Normal"/>
        <w:spacing w:before="0" w:after="11"/>
        <w:ind w:left="1335" w:right="10" w:hanging="10"/>
        <w:rPr>
          <w:lang w:val="en-US"/>
        </w:rPr>
      </w:pPr>
      <w:r>
        <w:rPr>
          <w:lang w:val="en-US"/>
        </w:rPr>
        <w:t xml:space="preserve">Tech Fax Ext: 93 </w:t>
      </w:r>
    </w:p>
    <w:p>
      <w:pPr>
        <w:pStyle w:val="Normal"/>
        <w:spacing w:before="0" w:after="11"/>
        <w:ind w:left="1335" w:right="10" w:hanging="10"/>
        <w:rPr>
          <w:lang w:val="en-US"/>
        </w:rPr>
      </w:pPr>
      <w:r>
        <w:rPr>
          <w:lang w:val="en-US"/>
        </w:rPr>
        <w:t xml:space="preserve">Tech Email: EMAIL@EXAMPLE.TLD </w:t>
      </w:r>
    </w:p>
    <w:p>
      <w:pPr>
        <w:pStyle w:val="Normal"/>
        <w:spacing w:lineRule="auto" w:line="259" w:before="0" w:after="7"/>
        <w:ind w:left="101" w:hanging="0"/>
        <w:rPr>
          <w:lang w:val="en-US"/>
        </w:rPr>
      </w:pPr>
      <w:r>
        <w:rPr>
          <w:lang w:val="en-US"/>
        </w:rPr>
        <w:t xml:space="preserve"> </w:t>
      </w:r>
    </w:p>
    <w:p>
      <w:pPr>
        <w:pStyle w:val="Normal"/>
        <w:spacing w:before="0" w:after="11"/>
        <w:ind w:left="471" w:right="10" w:hanging="10"/>
        <w:rPr>
          <w:lang w:val="en-US"/>
        </w:rPr>
      </w:pPr>
      <w:r>
        <w:rPr>
          <w:lang w:val="en-US"/>
        </w:rPr>
        <w:t>1.1.</w:t>
      </w:r>
      <w:r>
        <w:rPr>
          <w:rFonts w:eastAsia="Arial" w:cs="Arial" w:ascii="Arial" w:hAnsi="Arial"/>
          <w:lang w:val="en-US"/>
        </w:rPr>
        <w:t xml:space="preserve"> </w:t>
      </w:r>
      <w:r>
        <w:rPr>
          <w:lang w:val="en-US"/>
        </w:rPr>
        <w:t xml:space="preserve">The format of the following data fields: domain status, individual and </w:t>
      </w:r>
    </w:p>
    <w:p>
      <w:pPr>
        <w:pStyle w:val="Normal"/>
        <w:spacing w:before="0" w:after="0"/>
        <w:ind w:left="903" w:right="10" w:hanging="10"/>
        <w:rPr>
          <w:lang w:val="en-US"/>
        </w:rPr>
      </w:pPr>
      <w:r>
        <w:rPr>
          <w:lang w:val="en-US"/>
        </w:rPr>
        <w:t xml:space="preserve">organizational names, address, street, city, state/province, postal code, country, telephone and fax numbers, email addresses, date and times must conform to the mappings specified in EPP RFCs 5730-5734 (or its successors), and </w:t>
      </w:r>
      <w:commentRangeStart w:id="17"/>
      <w:r>
        <w:rPr>
          <w:lang w:val="en-US"/>
        </w:rPr>
        <w:t xml:space="preserve">IPv6 addresses format should conform to RFC 5952 </w:t>
      </w:r>
      <w:r>
        <w:rPr>
          <w:lang w:val="en-US"/>
        </w:rPr>
      </w:r>
      <w:commentRangeEnd w:id="17"/>
      <w:r>
        <w:commentReference w:id="17"/>
      </w:r>
      <w:r>
        <w:rPr>
          <w:lang w:val="en-US"/>
        </w:rPr>
        <w:t xml:space="preserve">(or its successor), so that the display of this information (or values returned in WHOIS responses) can be uniformly processed and understood. </w:t>
      </w:r>
    </w:p>
    <w:p>
      <w:pPr>
        <w:pStyle w:val="Normal"/>
        <w:spacing w:lineRule="auto" w:line="259" w:before="0" w:after="0"/>
        <w:ind w:left="101" w:hanging="0"/>
        <w:rPr>
          <w:lang w:val="en-US"/>
        </w:rPr>
      </w:pPr>
      <w:r>
        <w:rPr>
          <w:lang w:val="en-US"/>
        </w:rPr>
        <w:t xml:space="preserve"> </w:t>
      </w:r>
    </w:p>
    <w:p>
      <w:pPr>
        <w:pStyle w:val="Normal"/>
        <w:spacing w:before="0" w:after="0"/>
        <w:ind w:left="912" w:right="10" w:hanging="451"/>
        <w:rPr>
          <w:lang w:val="en-US"/>
        </w:rPr>
      </w:pPr>
      <w:r>
        <w:rPr>
          <w:lang w:val="en-US"/>
        </w:rPr>
        <w:t xml:space="preserve">1.2 Provider shall ensure that Provider’s full legal name, ICANN identifier and the URL for the ICANN-managed webpage containing Provider’s contact information are displayed in </w:t>
      </w:r>
      <w:commentRangeStart w:id="18"/>
      <w:r>
        <w:rPr>
          <w:lang w:val="en-US"/>
        </w:rPr>
        <w:t xml:space="preserve">the Registration Data Directory Service </w:t>
      </w:r>
      <w:r>
        <w:rPr>
          <w:lang w:val="en-US"/>
        </w:rPr>
      </w:r>
      <w:commentRangeEnd w:id="18"/>
      <w:r>
        <w:commentReference w:id="18"/>
      </w:r>
      <w:r>
        <w:rPr>
          <w:lang w:val="en-US"/>
        </w:rPr>
        <w:t xml:space="preserve">records for all registrations utilizing Provider’s Services, at a minimum, in the Registrant Organization field, in the following format: Registrant Organization: Provider Name, </w:t>
      </w:r>
      <w:commentRangeStart w:id="19"/>
      <w:r>
        <w:rPr>
          <w:lang w:val="en-US"/>
        </w:rPr>
        <w:t xml:space="preserve">ICANN ID, ICANN URL [to be designated before contract is finalized]. </w:t>
      </w:r>
      <w:commentRangeEnd w:id="19"/>
      <w:r>
        <w:commentReference w:id="19"/>
      </w:r>
      <w:r>
        <w:rPr>
          <w:lang w:val="en-US"/>
        </w:rPr>
      </w:r>
    </w:p>
    <w:p>
      <w:pPr>
        <w:pStyle w:val="Normal"/>
        <w:spacing w:lineRule="auto" w:line="259" w:before="0" w:after="0"/>
        <w:ind w:left="461" w:hanging="0"/>
        <w:rPr>
          <w:lang w:val="en-US"/>
        </w:rPr>
      </w:pPr>
      <w:r>
        <w:rPr>
          <w:lang w:val="en-US"/>
        </w:rPr>
        <w:t xml:space="preserve"> </w:t>
      </w:r>
    </w:p>
    <w:p>
      <w:pPr>
        <w:pStyle w:val="Normal"/>
        <w:spacing w:before="0" w:after="0"/>
        <w:ind w:left="912" w:right="10" w:hanging="451"/>
        <w:rPr>
          <w:lang w:val="en-US"/>
        </w:rPr>
      </w:pPr>
      <w:r>
        <w:rPr>
          <w:lang w:val="en-US"/>
        </w:rPr>
        <w:t xml:space="preserve">1.3 If any additional information is required in the Registrant Organization field, this information should appear after the required output noted in Section 1.2 of this Specification. </w:t>
      </w:r>
    </w:p>
    <w:p>
      <w:pPr>
        <w:pStyle w:val="Normal"/>
        <w:spacing w:lineRule="auto" w:line="259" w:before="0" w:after="0"/>
        <w:ind w:left="461" w:hanging="0"/>
        <w:rPr>
          <w:lang w:val="en-US"/>
        </w:rPr>
      </w:pPr>
      <w:r>
        <w:rPr>
          <w:lang w:val="en-US"/>
        </w:rPr>
        <w:t xml:space="preserve"> </w:t>
      </w:r>
      <w:r>
        <w:br w:type="page"/>
      </w:r>
    </w:p>
    <w:p>
      <w:pPr>
        <w:pStyle w:val="Kop1"/>
        <w:spacing w:before="0" w:after="240"/>
        <w:ind w:left="129" w:right="59" w:hanging="10"/>
        <w:rPr>
          <w:lang w:val="en-US"/>
        </w:rPr>
      </w:pPr>
      <w:r>
        <w:rPr>
          <w:lang w:val="en-US"/>
        </w:rPr>
        <w:t>SPECIFICATION 3: CONSENSUS POLICIES AND TEMPORARY POLICIES SPECIFICATION</w:t>
      </w:r>
      <w:r>
        <w:rPr>
          <w:b w:val="false"/>
          <w:lang w:val="en-US"/>
        </w:rPr>
        <w:t xml:space="preserve"> </w:t>
      </w:r>
    </w:p>
    <w:p>
      <w:pPr>
        <w:pStyle w:val="Normal"/>
        <w:numPr>
          <w:ilvl w:val="0"/>
          <w:numId w:val="10"/>
        </w:numPr>
        <w:spacing w:lineRule="auto" w:line="247" w:before="0" w:after="258"/>
        <w:ind w:left="533" w:right="10" w:hanging="432"/>
        <w:rPr/>
      </w:pPr>
      <w:r>
        <w:rPr>
          <w:b/>
        </w:rPr>
        <w:t xml:space="preserve">Consensus Policies.  </w:t>
      </w:r>
    </w:p>
    <w:p>
      <w:pPr>
        <w:pStyle w:val="Normal"/>
        <w:numPr>
          <w:ilvl w:val="1"/>
          <w:numId w:val="10"/>
        </w:numPr>
        <w:ind w:left="1109" w:right="10" w:hanging="576"/>
        <w:rPr>
          <w:lang w:val="en-US"/>
        </w:rPr>
      </w:pPr>
      <w:r>
        <w:rPr>
          <w:lang w:val="en-US"/>
        </w:rPr>
        <w:t>“</w:t>
      </w:r>
      <w:r>
        <w:rPr>
          <w:lang w:val="en-US"/>
        </w:rPr>
        <w:t xml:space="preserve">Consensus Policies” are those policies established (1) pursuant to the procedure set forth in ICANN's Bylaws and due process, and (2) covering those topics listed in Section 1.2 of this document. The Consensus Policy development process and procedure set forth in ICANN's Bylaws may be revised from time to time in accordance with the process set forth therein. </w:t>
      </w:r>
    </w:p>
    <w:p>
      <w:pPr>
        <w:pStyle w:val="Normal"/>
        <w:numPr>
          <w:ilvl w:val="1"/>
          <w:numId w:val="10"/>
        </w:numPr>
        <w:ind w:left="1109" w:right="10" w:hanging="576"/>
        <w:rPr>
          <w:lang w:val="en-US"/>
        </w:rPr>
      </w:pPr>
      <w:r>
        <w:rPr>
          <w:lang w:val="en-US"/>
        </w:rPr>
        <w:t xml:space="preserve">Consensus Policies and the procedures by which they are developed shall be designed to produce, to the extent possible, a consensus of Internet stakeholders, including Service Providers. Consensus Policies shall relate to one or more of the following:  </w:t>
      </w:r>
    </w:p>
    <w:p>
      <w:pPr>
        <w:pStyle w:val="Normal"/>
        <w:numPr>
          <w:ilvl w:val="2"/>
          <w:numId w:val="10"/>
        </w:numPr>
        <w:ind w:left="1829" w:right="10" w:hanging="720"/>
        <w:rPr>
          <w:lang w:val="en-US"/>
        </w:rPr>
      </w:pPr>
      <w:r>
        <w:rPr>
          <w:lang w:val="en-US"/>
        </w:rPr>
        <w:t xml:space="preserve">issues for which uniform or coordinated resolution is reasonably necessary to facilitate interoperability, security or stability of the Internet, Registrar Services, Registry Services, the Services or the Domain Name System (“DNS”);  </w:t>
      </w:r>
    </w:p>
    <w:p>
      <w:pPr>
        <w:pStyle w:val="Normal"/>
        <w:numPr>
          <w:ilvl w:val="2"/>
          <w:numId w:val="10"/>
        </w:numPr>
        <w:ind w:left="1829" w:right="10" w:hanging="720"/>
        <w:rPr>
          <w:lang w:val="en-US"/>
        </w:rPr>
      </w:pPr>
      <w:r>
        <w:rPr>
          <w:lang w:val="en-US"/>
        </w:rPr>
        <w:t xml:space="preserve">functional and performance specifications for the provision of the Services;  </w:t>
      </w:r>
    </w:p>
    <w:p>
      <w:pPr>
        <w:pStyle w:val="Normal"/>
        <w:numPr>
          <w:ilvl w:val="2"/>
          <w:numId w:val="10"/>
        </w:numPr>
        <w:ind w:left="1829" w:right="10" w:hanging="720"/>
        <w:rPr>
          <w:lang w:val="en-US"/>
        </w:rPr>
      </w:pPr>
      <w:r>
        <w:rPr>
          <w:lang w:val="en-US"/>
        </w:rPr>
        <w:t xml:space="preserve">Service Providers policies reasonably necessary to implement Consensus Policies relating to a gTLD registry; </w:t>
      </w:r>
    </w:p>
    <w:p>
      <w:pPr>
        <w:pStyle w:val="Normal"/>
        <w:numPr>
          <w:ilvl w:val="2"/>
          <w:numId w:val="10"/>
        </w:numPr>
        <w:ind w:left="1829" w:right="10" w:hanging="720"/>
        <w:rPr>
          <w:lang w:val="en-US"/>
        </w:rPr>
      </w:pPr>
      <w:r>
        <w:rPr>
          <w:lang w:val="en-US"/>
        </w:rPr>
        <w:t xml:space="preserve">resolution of disputes regarding the registration of domain names (as opposed to the use of such domain names, but including where such policies take into account use of the domain names); or </w:t>
      </w:r>
    </w:p>
    <w:p>
      <w:pPr>
        <w:pStyle w:val="Normal"/>
        <w:numPr>
          <w:ilvl w:val="2"/>
          <w:numId w:val="10"/>
        </w:numPr>
        <w:ind w:left="1829" w:right="10" w:hanging="720"/>
        <w:rPr>
          <w:lang w:val="en-US"/>
        </w:rPr>
      </w:pPr>
      <w:r>
        <w:rPr>
          <w:lang w:val="en-US"/>
        </w:rPr>
        <w:t xml:space="preserve">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 </w:t>
      </w:r>
    </w:p>
    <w:p>
      <w:pPr>
        <w:pStyle w:val="Normal"/>
        <w:numPr>
          <w:ilvl w:val="1"/>
          <w:numId w:val="10"/>
        </w:numPr>
        <w:ind w:left="1109" w:right="10" w:hanging="576"/>
        <w:rPr>
          <w:lang w:val="en-US"/>
        </w:rPr>
      </w:pPr>
      <w:r>
        <w:rPr>
          <w:lang w:val="en-US"/>
        </w:rPr>
        <w:t xml:space="preserve">Such categories of issues referred to in Section 1.2 shall include, without limitation: </w:t>
      </w:r>
    </w:p>
    <w:p>
      <w:pPr>
        <w:pStyle w:val="Normal"/>
        <w:numPr>
          <w:ilvl w:val="2"/>
          <w:numId w:val="10"/>
        </w:numPr>
        <w:ind w:left="1829" w:right="10" w:hanging="720"/>
        <w:rPr>
          <w:lang w:val="en-US"/>
        </w:rPr>
      </w:pPr>
      <w:r>
        <w:rPr>
          <w:lang w:val="en-US"/>
        </w:rPr>
        <w:t xml:space="preserve">principles for </w:t>
      </w:r>
      <w:commentRangeStart w:id="20"/>
      <w:r>
        <w:rPr>
          <w:lang w:val="en-US"/>
        </w:rPr>
        <w:t xml:space="preserve">allocation of registered names </w:t>
      </w:r>
      <w:r>
        <w:rPr>
          <w:lang w:val="en-US"/>
        </w:rPr>
      </w:r>
      <w:commentRangeEnd w:id="20"/>
      <w:r>
        <w:commentReference w:id="20"/>
      </w:r>
      <w:r>
        <w:rPr>
          <w:lang w:val="en-US"/>
        </w:rPr>
        <w:t xml:space="preserve">in a TLD (e.g., firstcome/first-served, timely renewal, holding period after expiration); </w:t>
      </w:r>
    </w:p>
    <w:p>
      <w:pPr>
        <w:pStyle w:val="Normal"/>
        <w:numPr>
          <w:ilvl w:val="2"/>
          <w:numId w:val="10"/>
        </w:numPr>
        <w:ind w:left="1829" w:right="10" w:hanging="720"/>
        <w:rPr>
          <w:lang w:val="en-US"/>
        </w:rPr>
      </w:pPr>
      <w:commentRangeStart w:id="21"/>
      <w:r>
        <w:rPr>
          <w:lang w:val="en-US"/>
        </w:rPr>
        <w:t xml:space="preserve">prohibitions on warehousing of or speculation in domain names by registries or Registrars; </w:t>
      </w:r>
      <w:commentRangeEnd w:id="21"/>
      <w:r>
        <w:commentReference w:id="21"/>
      </w:r>
      <w:r>
        <w:rPr>
          <w:lang w:val="en-US"/>
        </w:rPr>
      </w:r>
    </w:p>
    <w:p>
      <w:pPr>
        <w:pStyle w:val="Normal"/>
        <w:numPr>
          <w:ilvl w:val="2"/>
          <w:numId w:val="10"/>
        </w:numPr>
        <w:ind w:left="1829" w:right="10" w:hanging="720"/>
        <w:rPr>
          <w:lang w:val="en-US"/>
        </w:rPr>
      </w:pPr>
      <w:r>
        <w:rPr>
          <w:lang w:val="en-US"/>
        </w:rPr>
        <w:t xml:space="preserve">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p>
    <w:p>
      <w:pPr>
        <w:pStyle w:val="Normal"/>
        <w:numPr>
          <w:ilvl w:val="2"/>
          <w:numId w:val="10"/>
        </w:numPr>
        <w:ind w:left="1829" w:right="10" w:hanging="720"/>
        <w:rPr>
          <w:lang w:val="en-US"/>
        </w:rPr>
      </w:pPr>
      <w:r>
        <w:rPr>
          <w:lang w:val="en-US"/>
        </w:rPr>
        <w:t xml:space="preserve">maintenance of and access to accurate and up-to-date information concerning Registered Names and name servers; </w:t>
      </w:r>
    </w:p>
    <w:p>
      <w:pPr>
        <w:pStyle w:val="Normal"/>
        <w:numPr>
          <w:ilvl w:val="2"/>
          <w:numId w:val="10"/>
        </w:numPr>
        <w:ind w:left="1829" w:right="10" w:hanging="720"/>
        <w:rPr>
          <w:lang w:val="en-US"/>
        </w:rPr>
      </w:pPr>
      <w:r>
        <w:rPr>
          <w:lang w:val="en-US"/>
        </w:rPr>
        <w:t xml:space="preserve">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w:t>
      </w:r>
    </w:p>
    <w:p>
      <w:pPr>
        <w:pStyle w:val="Normal"/>
        <w:numPr>
          <w:ilvl w:val="2"/>
          <w:numId w:val="10"/>
        </w:numPr>
        <w:ind w:left="1829" w:right="10" w:hanging="720"/>
        <w:rPr>
          <w:lang w:val="en-US"/>
        </w:rPr>
      </w:pPr>
      <w:r>
        <w:rPr>
          <w:lang w:val="en-US"/>
        </w:rPr>
        <w:t xml:space="preserve">principles and procedures for the Disclosure or Publication of Customer information; and </w:t>
      </w:r>
    </w:p>
    <w:p>
      <w:pPr>
        <w:pStyle w:val="Normal"/>
        <w:numPr>
          <w:ilvl w:val="2"/>
          <w:numId w:val="10"/>
        </w:numPr>
        <w:ind w:left="1829" w:right="10" w:hanging="720"/>
        <w:rPr>
          <w:lang w:val="en-US"/>
        </w:rPr>
      </w:pPr>
      <w:r>
        <w:rPr>
          <w:lang w:val="en-US"/>
        </w:rPr>
        <w:t xml:space="preserve">the transfer of registration data upon a change in Registrar sponsoring one or more Registered Names. </w:t>
      </w:r>
    </w:p>
    <w:p>
      <w:pPr>
        <w:pStyle w:val="Normal"/>
        <w:numPr>
          <w:ilvl w:val="1"/>
          <w:numId w:val="10"/>
        </w:numPr>
        <w:ind w:left="1109" w:right="10" w:hanging="576"/>
        <w:rPr>
          <w:lang w:val="en-US"/>
        </w:rPr>
      </w:pPr>
      <w:r>
        <w:rPr>
          <w:lang w:val="en-US"/>
        </w:rPr>
        <w:t xml:space="preserve">In addition to the other limitations on Consensus Policies, they shall not: </w:t>
      </w:r>
    </w:p>
    <w:p>
      <w:pPr>
        <w:pStyle w:val="Normal"/>
        <w:numPr>
          <w:ilvl w:val="2"/>
          <w:numId w:val="10"/>
        </w:numPr>
        <w:ind w:left="1829" w:right="10" w:hanging="720"/>
        <w:rPr>
          <w:lang w:val="en-US"/>
        </w:rPr>
      </w:pPr>
      <w:r>
        <w:rPr>
          <w:lang w:val="en-US"/>
        </w:rPr>
        <w:t xml:space="preserve">prescribe or limit the price of the Services; </w:t>
      </w:r>
    </w:p>
    <w:p>
      <w:pPr>
        <w:pStyle w:val="Normal"/>
        <w:numPr>
          <w:ilvl w:val="2"/>
          <w:numId w:val="10"/>
        </w:numPr>
        <w:ind w:left="1829" w:right="10" w:hanging="720"/>
        <w:rPr>
          <w:lang w:val="en-US"/>
        </w:rPr>
      </w:pPr>
      <w:r>
        <w:rPr>
          <w:lang w:val="en-US"/>
        </w:rPr>
        <w:t xml:space="preserve">modify the limitations on Temporary Policies (defined below) or Consensus Policies;  </w:t>
      </w:r>
    </w:p>
    <w:p>
      <w:pPr>
        <w:pStyle w:val="Normal"/>
        <w:numPr>
          <w:ilvl w:val="2"/>
          <w:numId w:val="10"/>
        </w:numPr>
        <w:ind w:left="1829" w:right="10" w:hanging="720"/>
        <w:rPr>
          <w:lang w:val="en-US"/>
        </w:rPr>
      </w:pPr>
      <w:r>
        <w:rPr>
          <w:lang w:val="en-US"/>
        </w:rPr>
        <w:t xml:space="preserve">modify the provisions in the Privacy &amp; Proxy Service Provider Accreditation Agreements regarding terms or conditions for the renewal, termination or amendment of the Privacy &amp; Proxy Service Provider Accreditation Agreements or fees paid by Provider to ICANN; or </w:t>
      </w:r>
    </w:p>
    <w:p>
      <w:pPr>
        <w:pStyle w:val="Normal"/>
        <w:numPr>
          <w:ilvl w:val="2"/>
          <w:numId w:val="10"/>
        </w:numPr>
        <w:ind w:left="1829" w:right="10" w:hanging="720"/>
        <w:rPr>
          <w:lang w:val="en-US"/>
        </w:rPr>
      </w:pPr>
      <w:r>
        <w:rPr>
          <w:lang w:val="en-US"/>
        </w:rPr>
        <w:t xml:space="preserve">modify ICANN’s obligations to not apply standards, policies, procedures or practices arbitrarily, unjustifiably, or inequitably and to not single out Provider for disparate treatment unless justified by substantial and reasonable cause, and exercise its responsibilities in an open and transparent manner. </w:t>
      </w:r>
    </w:p>
    <w:p>
      <w:pPr>
        <w:pStyle w:val="Normal"/>
        <w:numPr>
          <w:ilvl w:val="0"/>
          <w:numId w:val="10"/>
        </w:numPr>
        <w:ind w:left="533" w:right="10" w:hanging="432"/>
        <w:rPr>
          <w:lang w:val="en-US"/>
        </w:rPr>
      </w:pPr>
      <w:r>
        <w:rPr>
          <w:b/>
          <w:u w:val="single" w:color="000000"/>
          <w:lang w:val="en-US"/>
        </w:rPr>
        <w:t>Temporary Policies.</w:t>
      </w:r>
      <w:r>
        <w:rPr>
          <w:lang w:val="en-US"/>
        </w:rPr>
        <w:t xml:space="preserve"> Provider shall comply with and implement all specifications or policies established by the ICANN Board of Directors on a temporary basis, if adopted by the Board by a vote of at least two-thirds of its members, so long as the Board reasonably determines that such modifications or amendments are justified and that immediate temporary establishment of a specification or policy on the subject is necessary to maintain the stability or security of Privacy/Proxy, Registrar Services, Registry Services or the DNS or the Internet (“Temporary Policies”).  </w:t>
      </w:r>
    </w:p>
    <w:p>
      <w:pPr>
        <w:pStyle w:val="Normal"/>
        <w:numPr>
          <w:ilvl w:val="1"/>
          <w:numId w:val="10"/>
        </w:numPr>
        <w:ind w:left="1109" w:right="10" w:hanging="576"/>
        <w:rPr>
          <w:lang w:val="en-US"/>
        </w:rPr>
      </w:pPr>
      <w:r>
        <w:rPr>
          <w:lang w:val="en-US"/>
        </w:rPr>
        <w:t xml:space="preserve">Such proposed specification or policy shall be as narrowly tailored as feasible to achieve those objectives. In establishing any Temporary Policy, the Board shall state the period of time for which the Temporary Policy is adopted and shall immediately implement the Consensus Policy development process set forth in ICANN's Bylaws.  </w:t>
      </w:r>
    </w:p>
    <w:p>
      <w:pPr>
        <w:pStyle w:val="Normal"/>
        <w:numPr>
          <w:ilvl w:val="1"/>
          <w:numId w:val="10"/>
        </w:numPr>
        <w:ind w:left="1109" w:right="10" w:hanging="576"/>
        <w:rPr>
          <w:lang w:val="en-US"/>
        </w:rPr>
      </w:pPr>
      <w:r>
        <w:rPr>
          <w:lang w:val="en-US"/>
        </w:rPr>
        <w:t xml:space="preserve">ICANN shall also issue an advisory statement containing a detailed explanation of its reasons for adopting the Temporary Policy and why the Board believes such Temporary Policy should receive the consensus support of Internet stakeholders.  </w:t>
      </w:r>
    </w:p>
    <w:p>
      <w:pPr>
        <w:pStyle w:val="Normal"/>
        <w:numPr>
          <w:ilvl w:val="1"/>
          <w:numId w:val="10"/>
        </w:numPr>
        <w:ind w:left="1109" w:right="10" w:hanging="576"/>
        <w:rPr>
          <w:lang w:val="en-US"/>
        </w:rPr>
      </w:pPr>
      <w:r>
        <w:rPr>
          <w:lang w:val="en-US"/>
        </w:rPr>
        <w:t xml:space="preserve">If the period of time for which the Temporary Policy is adopted exceeds 90 days, the Board shall reaffirm its temporary adoption every 90 days for a total period not to exceed one year, in order to maintain such Temporary Policy in effect until such time as it becomes a Consensus Policy. If the one year period expires or, if during such one year period, the Temporary Policy does not become a Consensus Policy and is not reaffirmed by the Board, Provider shall no longer be required to comply with or implement such Temporary Policy. </w:t>
      </w:r>
    </w:p>
    <w:p>
      <w:pPr>
        <w:pStyle w:val="Normal"/>
        <w:numPr>
          <w:ilvl w:val="0"/>
          <w:numId w:val="10"/>
        </w:numPr>
        <w:ind w:left="533" w:right="10" w:hanging="432"/>
        <w:rPr>
          <w:lang w:val="en-US"/>
        </w:rPr>
      </w:pPr>
      <w:r>
        <w:rPr>
          <w:b/>
          <w:u w:val="single" w:color="000000"/>
          <w:lang w:val="en-US"/>
        </w:rPr>
        <w:t>Notice and Conflicts</w:t>
      </w:r>
      <w:r>
        <w:rPr>
          <w:b/>
          <w:lang w:val="en-US"/>
        </w:rPr>
        <w:t>.</w:t>
      </w:r>
      <w:r>
        <w:rPr>
          <w:lang w:val="en-US"/>
        </w:rPr>
        <w:t xml:space="preserve"> Provider shall be afforded a reasonable period of time following notice of the establishment of a Consensus Policy or Temporary Policy in which to comply with such policy or specification, taking into account any urgency involved. In the event of a conflict between the Services and Consensus Policies or any Temporary Policy, the Consensus Polices or Temporary Policy shall control, but only with respect to subject matter in conflict. For the avoidance of doubt, Consensus Policies that meet the requirements of this Specification may supplement or supersede provisions of the agreements between Provider and ICANN, but only to the extent that such Consensus Policies relate to the matters set forth in Section 1.2 and 1.3 of this Specification. </w:t>
      </w:r>
    </w:p>
    <w:p>
      <w:pPr>
        <w:pStyle w:val="Normal"/>
        <w:spacing w:lineRule="auto" w:line="266" w:before="0" w:after="235"/>
        <w:ind w:left="129" w:right="119" w:hanging="10"/>
        <w:jc w:val="center"/>
        <w:rPr>
          <w:lang w:val="en-US"/>
        </w:rPr>
      </w:pPr>
      <w:r>
        <w:rPr>
          <w:b/>
          <w:lang w:val="en-US"/>
        </w:rPr>
        <w:t xml:space="preserve">SPECIFICATION 4: LAW ENFORCEMENT AUTHORITY DISCLOSURE FRAMEWORK SPECIFICATION </w:t>
      </w:r>
    </w:p>
    <w:p>
      <w:pPr>
        <w:pStyle w:val="Kop1"/>
        <w:tabs>
          <w:tab w:val="center" w:pos="363" w:leader="none"/>
          <w:tab w:val="center" w:pos="1896" w:leader="none"/>
        </w:tabs>
        <w:spacing w:lineRule="auto" w:line="247" w:before="0" w:after="11"/>
        <w:ind w:left="0" w:hanging="0"/>
        <w:jc w:val="left"/>
        <w:rPr>
          <w:lang w:val="en-US"/>
        </w:rPr>
      </w:pPr>
      <w:r>
        <w:rPr>
          <w:rFonts w:eastAsia="Calibri" w:cs="Calibri" w:ascii="Calibri" w:hAnsi="Calibri"/>
          <w:b w:val="false"/>
          <w:sz w:val="22"/>
          <w:lang w:val="en-US"/>
        </w:rPr>
        <w:tab/>
      </w:r>
      <w:r>
        <w:rPr>
          <w:lang w:val="en-US"/>
        </w:rPr>
        <w:t>1.</w:t>
      </w:r>
      <w:r>
        <w:rPr>
          <w:rFonts w:eastAsia="Arial" w:cs="Arial" w:ascii="Arial" w:hAnsi="Arial"/>
          <w:lang w:val="en-US"/>
        </w:rPr>
        <w:t xml:space="preserve"> </w:t>
        <w:tab/>
      </w:r>
      <w:r>
        <w:rPr>
          <w:lang w:val="en-US"/>
        </w:rPr>
        <w:t xml:space="preserve">Definition of Terms </w:t>
      </w:r>
    </w:p>
    <w:p>
      <w:pPr>
        <w:pStyle w:val="Normal"/>
        <w:spacing w:lineRule="auto" w:line="259" w:before="0" w:after="5"/>
        <w:ind w:left="101" w:hanging="0"/>
        <w:rPr>
          <w:lang w:val="en-US"/>
        </w:rPr>
      </w:pPr>
      <w:r>
        <w:rPr>
          <w:b/>
          <w:lang w:val="en-US"/>
        </w:rPr>
        <w:t xml:space="preserve"> </w:t>
      </w:r>
    </w:p>
    <w:p>
      <w:pPr>
        <w:pStyle w:val="Normal"/>
        <w:tabs>
          <w:tab w:val="center" w:pos="998" w:leader="none"/>
          <w:tab w:val="right" w:pos="9551" w:leader="none"/>
        </w:tabs>
        <w:spacing w:before="0" w:after="11"/>
        <w:ind w:left="0" w:hanging="0"/>
        <w:rPr>
          <w:lang w:val="en-US"/>
        </w:rPr>
      </w:pPr>
      <w:r>
        <w:rPr>
          <w:rFonts w:eastAsia="Calibri" w:cs="Calibri" w:ascii="Calibri" w:hAnsi="Calibri"/>
          <w:sz w:val="22"/>
          <w:lang w:val="en-US"/>
        </w:rPr>
        <w:tab/>
      </w:r>
      <w:r>
        <w:rPr>
          <w:lang w:val="en-US"/>
        </w:rPr>
        <w:t>1.1.</w:t>
      </w:r>
      <w:r>
        <w:rPr>
          <w:rFonts w:eastAsia="Arial" w:cs="Arial" w:ascii="Arial" w:hAnsi="Arial"/>
          <w:lang w:val="en-US"/>
        </w:rPr>
        <w:t xml:space="preserve"> </w:t>
        <w:tab/>
      </w:r>
      <w:r>
        <w:rPr>
          <w:lang w:val="en-US"/>
        </w:rPr>
        <w:t>The “LEA Requestor”: Law enforcement, consumer protection, quasi-</w:t>
      </w:r>
    </w:p>
    <w:p>
      <w:pPr>
        <w:pStyle w:val="Normal"/>
        <w:spacing w:lineRule="auto" w:line="237" w:before="0" w:after="4"/>
        <w:ind w:left="1541" w:right="78" w:hanging="0"/>
        <w:jc w:val="both"/>
        <w:rPr>
          <w:lang w:val="en-US"/>
        </w:rPr>
      </w:pPr>
      <w:r>
        <w:rPr>
          <w:lang w:val="en-US"/>
        </w:rPr>
        <w:t xml:space="preserve">governmental or other similar authorities designated from time to time by the national or territorial government of the jurisdiction in which the privacy or proxy service provider is established or maintains a physical office. </w:t>
      </w:r>
    </w:p>
    <w:p>
      <w:pPr>
        <w:pStyle w:val="Normal"/>
        <w:spacing w:lineRule="auto" w:line="259" w:before="0" w:after="7"/>
        <w:ind w:left="1541" w:hanging="0"/>
        <w:rPr>
          <w:lang w:val="en-US"/>
        </w:rPr>
      </w:pPr>
      <w:r>
        <w:rPr>
          <w:lang w:val="en-US"/>
        </w:rPr>
        <w:t xml:space="preserve"> </w:t>
      </w:r>
    </w:p>
    <w:p>
      <w:pPr>
        <w:pStyle w:val="Normal"/>
        <w:spacing w:before="0" w:after="0"/>
        <w:ind w:left="1541" w:hanging="725"/>
        <w:rPr>
          <w:lang w:val="en-US"/>
        </w:rPr>
      </w:pPr>
      <w:r>
        <w:rPr>
          <w:lang w:val="en-US"/>
        </w:rPr>
        <w:t>1.2.</w:t>
      </w:r>
      <w:r>
        <w:rPr>
          <w:rFonts w:eastAsia="Arial" w:cs="Arial" w:ascii="Arial" w:hAnsi="Arial"/>
          <w:lang w:val="en-US"/>
        </w:rPr>
        <w:t xml:space="preserve"> </w:t>
        <w:tab/>
      </w:r>
      <w:r>
        <w:rPr>
          <w:lang w:val="en-US"/>
        </w:rPr>
        <w:t xml:space="preserve">The “Requested Information”: The data asked for by the Requestor. This must be detailed in the request submission. </w:t>
      </w:r>
    </w:p>
    <w:p>
      <w:pPr>
        <w:pStyle w:val="Normal"/>
        <w:spacing w:lineRule="auto" w:line="259" w:before="0" w:after="6"/>
        <w:ind w:left="821" w:hanging="0"/>
        <w:rPr>
          <w:lang w:val="en-US"/>
        </w:rPr>
      </w:pPr>
      <w:r>
        <w:rPr>
          <w:lang w:val="en-US"/>
        </w:rPr>
        <w:t xml:space="preserve"> </w:t>
      </w:r>
    </w:p>
    <w:p>
      <w:pPr>
        <w:pStyle w:val="Normal"/>
        <w:spacing w:lineRule="auto" w:line="237" w:before="0" w:after="2"/>
        <w:ind w:left="1526" w:right="75" w:hanging="725"/>
        <w:jc w:val="both"/>
        <w:rPr>
          <w:lang w:val="en-US"/>
        </w:rPr>
      </w:pPr>
      <w:r>
        <w:rPr>
          <w:lang w:val="en-US"/>
        </w:rPr>
        <w:t>1.3.</w:t>
      </w:r>
      <w:r>
        <w:rPr>
          <w:rFonts w:eastAsia="Arial" w:cs="Arial" w:ascii="Arial" w:hAnsi="Arial"/>
          <w:lang w:val="en-US"/>
        </w:rPr>
        <w:t xml:space="preserve"> </w:t>
      </w:r>
      <w:r>
        <w:rPr>
          <w:lang w:val="en-US"/>
        </w:rPr>
        <w:t xml:space="preserve">The “Priority Level”: The urgency with which the disclosure request should be actioned. Disclosure requests may be categorized as “high priority” or “standard priority.” “High priority” requests are limited to circumstances that pose an imminent threat to life, serious bodily injury, critical infrastructure or child exploitation. </w:t>
      </w:r>
    </w:p>
    <w:p>
      <w:pPr>
        <w:pStyle w:val="Normal"/>
        <w:spacing w:lineRule="auto" w:line="259" w:before="0" w:after="5"/>
        <w:ind w:left="101" w:hanging="0"/>
        <w:rPr>
          <w:lang w:val="en-US"/>
        </w:rPr>
      </w:pPr>
      <w:r>
        <w:rPr>
          <w:lang w:val="en-US"/>
        </w:rPr>
        <w:t xml:space="preserve"> </w:t>
      </w:r>
    </w:p>
    <w:p>
      <w:pPr>
        <w:pStyle w:val="Kop1"/>
        <w:tabs>
          <w:tab w:val="center" w:pos="363" w:leader="none"/>
          <w:tab w:val="center" w:pos="4161" w:leader="none"/>
        </w:tabs>
        <w:spacing w:lineRule="auto" w:line="247" w:before="0" w:after="11"/>
        <w:ind w:left="0" w:hanging="0"/>
        <w:jc w:val="left"/>
        <w:rPr>
          <w:lang w:val="en-US"/>
        </w:rPr>
      </w:pPr>
      <w:r>
        <w:rPr>
          <w:rFonts w:eastAsia="Calibri" w:cs="Calibri" w:ascii="Calibri" w:hAnsi="Calibri"/>
          <w:b w:val="false"/>
          <w:sz w:val="22"/>
          <w:lang w:val="en-US"/>
        </w:rPr>
        <w:tab/>
      </w:r>
      <w:r>
        <w:rPr>
          <w:lang w:val="en-US"/>
        </w:rPr>
        <w:t>2.</w:t>
      </w:r>
      <w:r>
        <w:rPr>
          <w:rFonts w:eastAsia="Arial" w:cs="Arial" w:ascii="Arial" w:hAnsi="Arial"/>
          <w:lang w:val="en-US"/>
        </w:rPr>
        <w:t xml:space="preserve"> </w:t>
        <w:tab/>
      </w:r>
      <w:r>
        <w:rPr>
          <w:lang w:val="en-US"/>
        </w:rPr>
        <w:t xml:space="preserve">Minimum Requirements for Disclosure Request Submissions </w:t>
      </w:r>
    </w:p>
    <w:p>
      <w:pPr>
        <w:pStyle w:val="Normal"/>
        <w:spacing w:lineRule="auto" w:line="259" w:before="0" w:after="5"/>
        <w:ind w:left="101" w:hanging="0"/>
        <w:rPr>
          <w:lang w:val="en-US"/>
        </w:rPr>
      </w:pPr>
      <w:r>
        <w:rPr>
          <w:lang w:val="en-US"/>
        </w:rPr>
        <w:t xml:space="preserve"> </w:t>
      </w:r>
    </w:p>
    <w:p>
      <w:pPr>
        <w:pStyle w:val="Normal"/>
        <w:spacing w:before="0" w:after="0"/>
        <w:ind w:left="1541" w:right="10" w:hanging="725"/>
        <w:rPr>
          <w:lang w:val="en-US"/>
        </w:rPr>
      </w:pPr>
      <w:r>
        <w:rPr>
          <w:lang w:val="en-US"/>
        </w:rPr>
        <w:t>2.1.</w:t>
      </w:r>
      <w:r>
        <w:rPr>
          <w:rFonts w:eastAsia="Arial" w:cs="Arial" w:ascii="Arial" w:hAnsi="Arial"/>
          <w:lang w:val="en-US"/>
        </w:rPr>
        <w:t xml:space="preserve"> </w:t>
        <w:tab/>
      </w:r>
      <w:r>
        <w:rPr>
          <w:lang w:val="en-US"/>
        </w:rPr>
        <w:t xml:space="preserve">As a minimum standard for acceptance, disclosure request submissions must contain: </w:t>
      </w:r>
    </w:p>
    <w:p>
      <w:pPr>
        <w:pStyle w:val="Normal"/>
        <w:spacing w:lineRule="auto" w:line="259" w:before="0" w:after="5"/>
        <w:ind w:left="1541" w:hanging="0"/>
        <w:rPr>
          <w:lang w:val="en-US"/>
        </w:rPr>
      </w:pPr>
      <w:r>
        <w:rPr>
          <w:lang w:val="en-US"/>
        </w:rPr>
        <w:t xml:space="preserve"> </w:t>
      </w:r>
    </w:p>
    <w:p>
      <w:pPr>
        <w:pStyle w:val="Normal"/>
        <w:tabs>
          <w:tab w:val="center" w:pos="1626" w:leader="none"/>
          <w:tab w:val="center" w:pos="3856" w:leader="none"/>
        </w:tabs>
        <w:spacing w:before="0" w:after="21"/>
        <w:ind w:left="0" w:hanging="0"/>
        <w:rPr>
          <w:lang w:val="en-US"/>
        </w:rPr>
      </w:pPr>
      <w:r>
        <w:rPr>
          <w:rFonts w:eastAsia="Calibri" w:cs="Calibri" w:ascii="Calibri" w:hAnsi="Calibri"/>
          <w:sz w:val="22"/>
          <w:lang w:val="en-US"/>
        </w:rPr>
        <w:tab/>
      </w:r>
      <w:r>
        <w:rPr>
          <w:lang w:val="en-US"/>
        </w:rPr>
        <w:t>2.1.1.</w:t>
      </w:r>
      <w:r>
        <w:rPr>
          <w:rFonts w:eastAsia="Arial" w:cs="Arial" w:ascii="Arial" w:hAnsi="Arial"/>
          <w:lang w:val="en-US"/>
        </w:rPr>
        <w:t xml:space="preserve"> </w:t>
        <w:tab/>
      </w:r>
      <w:r>
        <w:rPr>
          <w:lang w:val="en-US"/>
        </w:rPr>
        <w:t xml:space="preserve">Domain name or URL involved; </w:t>
      </w:r>
    </w:p>
    <w:p>
      <w:pPr>
        <w:pStyle w:val="Normal"/>
        <w:spacing w:before="0" w:after="22"/>
        <w:ind w:left="2261" w:right="10" w:hanging="907"/>
        <w:rPr>
          <w:lang w:val="en-US"/>
        </w:rPr>
      </w:pPr>
      <w:r>
        <w:rPr>
          <w:lang w:val="en-US"/>
        </w:rPr>
        <w:t>2.1.2.</w:t>
      </w:r>
      <w:r>
        <w:rPr>
          <w:rFonts w:eastAsia="Arial" w:cs="Arial" w:ascii="Arial" w:hAnsi="Arial"/>
          <w:lang w:val="en-US"/>
        </w:rPr>
        <w:t xml:space="preserve"> </w:t>
      </w:r>
      <w:r>
        <w:rPr>
          <w:lang w:val="en-US"/>
        </w:rPr>
        <w:t xml:space="preserve">Deciding authority (e.g. prosecutor, judge, police authority) behind this request and source of legal authority for request; </w:t>
      </w:r>
    </w:p>
    <w:p>
      <w:pPr>
        <w:pStyle w:val="Normal"/>
        <w:tabs>
          <w:tab w:val="center" w:pos="1626" w:leader="none"/>
          <w:tab w:val="center" w:pos="3985" w:leader="none"/>
        </w:tabs>
        <w:spacing w:before="0" w:after="21"/>
        <w:ind w:left="0" w:hanging="0"/>
        <w:rPr>
          <w:lang w:val="en-US"/>
        </w:rPr>
      </w:pPr>
      <w:r>
        <w:rPr>
          <w:rFonts w:eastAsia="Calibri" w:cs="Calibri" w:ascii="Calibri" w:hAnsi="Calibri"/>
          <w:sz w:val="22"/>
          <w:lang w:val="en-US"/>
        </w:rPr>
        <w:tab/>
      </w:r>
      <w:r>
        <w:rPr>
          <w:lang w:val="en-US"/>
        </w:rPr>
        <w:t>2.1.3.</w:t>
      </w:r>
      <w:r>
        <w:rPr>
          <w:rFonts w:eastAsia="Arial" w:cs="Arial" w:ascii="Arial" w:hAnsi="Arial"/>
          <w:lang w:val="en-US"/>
        </w:rPr>
        <w:t xml:space="preserve"> </w:t>
        <w:tab/>
      </w:r>
      <w:r>
        <w:rPr>
          <w:lang w:val="en-US"/>
        </w:rPr>
        <w:t xml:space="preserve">Details of Requested Information; </w:t>
      </w:r>
    </w:p>
    <w:p>
      <w:pPr>
        <w:pStyle w:val="Normal"/>
        <w:tabs>
          <w:tab w:val="center" w:pos="1626" w:leader="none"/>
          <w:tab w:val="right" w:pos="9551" w:leader="none"/>
        </w:tabs>
        <w:spacing w:before="0" w:after="11"/>
        <w:ind w:left="0" w:hanging="0"/>
        <w:rPr>
          <w:lang w:val="en-US"/>
        </w:rPr>
      </w:pPr>
      <w:r>
        <w:rPr>
          <w:rFonts w:eastAsia="Calibri" w:cs="Calibri" w:ascii="Calibri" w:hAnsi="Calibri"/>
          <w:sz w:val="22"/>
          <w:lang w:val="en-US"/>
        </w:rPr>
        <w:tab/>
      </w:r>
      <w:r>
        <w:rPr>
          <w:lang w:val="en-US"/>
        </w:rPr>
        <w:t>2.1.4.</w:t>
      </w:r>
      <w:r>
        <w:rPr>
          <w:rFonts w:eastAsia="Arial" w:cs="Arial" w:ascii="Arial" w:hAnsi="Arial"/>
          <w:lang w:val="en-US"/>
        </w:rPr>
        <w:t xml:space="preserve"> </w:t>
        <w:tab/>
      </w:r>
      <w:r>
        <w:rPr>
          <w:lang w:val="en-US"/>
        </w:rPr>
        <w:t xml:space="preserve">Priority Level, including detail about threat type and justification for </w:t>
      </w:r>
    </w:p>
    <w:p>
      <w:pPr>
        <w:pStyle w:val="Normal"/>
        <w:spacing w:before="0" w:after="16"/>
        <w:ind w:left="2271" w:right="10" w:hanging="10"/>
        <w:rPr>
          <w:lang w:val="en-US"/>
        </w:rPr>
      </w:pPr>
      <w:r>
        <w:rPr>
          <w:lang w:val="en-US"/>
        </w:rPr>
        <w:t xml:space="preserve">Priority Level, and/or suggested deadline for response; </w:t>
      </w:r>
    </w:p>
    <w:p>
      <w:pPr>
        <w:pStyle w:val="Normal"/>
        <w:spacing w:before="0" w:after="18"/>
        <w:ind w:left="2261" w:right="10" w:hanging="907"/>
        <w:rPr>
          <w:lang w:val="en-US"/>
        </w:rPr>
      </w:pPr>
      <w:r>
        <w:rPr>
          <w:lang w:val="en-US"/>
        </w:rPr>
        <w:t>2.1.5.</w:t>
      </w:r>
      <w:r>
        <w:rPr>
          <w:rFonts w:eastAsia="Arial" w:cs="Arial" w:ascii="Arial" w:hAnsi="Arial"/>
          <w:lang w:val="en-US"/>
        </w:rPr>
        <w:t xml:space="preserve"> </w:t>
        <w:tab/>
      </w:r>
      <w:r>
        <w:rPr>
          <w:lang w:val="en-US"/>
        </w:rPr>
        <w:t xml:space="preserve">Instructions </w:t>
        <w:tab/>
        <w:t xml:space="preserve">regarding </w:t>
        <w:tab/>
        <w:t xml:space="preserve">timeline </w:t>
        <w:tab/>
        <w:t xml:space="preserve">requirements </w:t>
        <w:tab/>
        <w:t xml:space="preserve">for </w:t>
        <w:tab/>
        <w:t xml:space="preserve">Customer notification; </w:t>
      </w:r>
    </w:p>
    <w:p>
      <w:pPr>
        <w:pStyle w:val="Normal"/>
        <w:spacing w:before="0" w:after="19"/>
        <w:ind w:left="2261" w:right="10" w:hanging="907"/>
        <w:rPr>
          <w:lang w:val="en-US"/>
        </w:rPr>
      </w:pPr>
      <w:r>
        <w:rPr>
          <w:lang w:val="en-US"/>
        </w:rPr>
        <w:t>2.1.6.</w:t>
      </w:r>
      <w:r>
        <w:rPr>
          <w:rFonts w:eastAsia="Arial" w:cs="Arial" w:ascii="Arial" w:hAnsi="Arial"/>
          <w:lang w:val="en-US"/>
        </w:rPr>
        <w:t xml:space="preserve"> </w:t>
        <w:tab/>
      </w:r>
      <w:r>
        <w:rPr>
          <w:lang w:val="en-US"/>
        </w:rPr>
        <w:t xml:space="preserve">Requestor </w:t>
        <w:tab/>
        <w:t xml:space="preserve">contact </w:t>
        <w:tab/>
        <w:t xml:space="preserve">details, </w:t>
        <w:tab/>
        <w:t xml:space="preserve">including </w:t>
        <w:tab/>
        <w:t xml:space="preserve">instructions </w:t>
        <w:tab/>
        <w:t xml:space="preserve">for </w:t>
        <w:tab/>
        <w:t xml:space="preserve">identity verification; </w:t>
      </w:r>
    </w:p>
    <w:p>
      <w:pPr>
        <w:pStyle w:val="Normal"/>
        <w:tabs>
          <w:tab w:val="center" w:pos="1626" w:leader="none"/>
          <w:tab w:val="center" w:pos="5519" w:leader="none"/>
        </w:tabs>
        <w:spacing w:before="0" w:after="23"/>
        <w:ind w:left="0" w:hanging="0"/>
        <w:rPr>
          <w:lang w:val="en-US"/>
        </w:rPr>
      </w:pPr>
      <w:r>
        <w:rPr>
          <w:rFonts w:eastAsia="Calibri" w:cs="Calibri" w:ascii="Calibri" w:hAnsi="Calibri"/>
          <w:sz w:val="22"/>
          <w:lang w:val="en-US"/>
        </w:rPr>
        <w:tab/>
      </w:r>
      <w:r>
        <w:rPr>
          <w:lang w:val="en-US"/>
        </w:rPr>
        <w:t>2.1.7.</w:t>
      </w:r>
      <w:r>
        <w:rPr>
          <w:rFonts w:eastAsia="Arial" w:cs="Arial" w:ascii="Arial" w:hAnsi="Arial"/>
          <w:lang w:val="en-US"/>
        </w:rPr>
        <w:t xml:space="preserve"> </w:t>
        <w:tab/>
      </w:r>
      <w:r>
        <w:rPr>
          <w:lang w:val="en-US"/>
        </w:rPr>
        <w:t xml:space="preserve">Any details otherwise required by national or international law. </w:t>
      </w:r>
    </w:p>
    <w:p>
      <w:pPr>
        <w:pStyle w:val="Normal"/>
        <w:spacing w:before="0" w:after="0"/>
        <w:ind w:left="2261" w:right="10" w:hanging="907"/>
        <w:rPr>
          <w:lang w:val="en-US"/>
        </w:rPr>
      </w:pPr>
      <w:r>
        <w:rPr>
          <w:lang w:val="en-US"/>
        </w:rPr>
        <w:t>2.1.8.</w:t>
      </w:r>
      <w:r>
        <w:rPr>
          <w:rFonts w:eastAsia="Arial" w:cs="Arial" w:ascii="Arial" w:hAnsi="Arial"/>
          <w:lang w:val="en-US"/>
        </w:rPr>
        <w:t xml:space="preserve"> </w:t>
        <w:tab/>
      </w:r>
      <w:r>
        <w:rPr>
          <w:lang w:val="en-US"/>
        </w:rPr>
        <w:t xml:space="preserve">A verification statement (e.g. all provided information is true and correct). </w:t>
      </w:r>
    </w:p>
    <w:p>
      <w:pPr>
        <w:pStyle w:val="Normal"/>
        <w:spacing w:lineRule="auto" w:line="259" w:before="0" w:after="5"/>
        <w:ind w:left="821" w:hanging="0"/>
        <w:rPr>
          <w:lang w:val="en-US"/>
        </w:rPr>
      </w:pPr>
      <w:r>
        <w:rPr>
          <w:lang w:val="en-US"/>
        </w:rPr>
        <w:t xml:space="preserve"> </w:t>
      </w:r>
    </w:p>
    <w:p>
      <w:pPr>
        <w:pStyle w:val="Normal"/>
        <w:tabs>
          <w:tab w:val="center" w:pos="998" w:leader="none"/>
          <w:tab w:val="center" w:pos="4942" w:leader="none"/>
        </w:tabs>
        <w:spacing w:before="0" w:after="11"/>
        <w:ind w:left="0" w:hanging="0"/>
        <w:rPr>
          <w:lang w:val="en-US"/>
        </w:rPr>
      </w:pPr>
      <w:r>
        <w:rPr>
          <w:rFonts w:eastAsia="Calibri" w:cs="Calibri" w:ascii="Calibri" w:hAnsi="Calibri"/>
          <w:sz w:val="22"/>
          <w:lang w:val="en-US"/>
        </w:rPr>
        <w:tab/>
      </w:r>
      <w:r>
        <w:rPr>
          <w:lang w:val="en-US"/>
        </w:rPr>
        <w:t>2.2.</w:t>
      </w:r>
      <w:r>
        <w:rPr>
          <w:rFonts w:eastAsia="Arial" w:cs="Arial" w:ascii="Arial" w:hAnsi="Arial"/>
          <w:lang w:val="en-US"/>
        </w:rPr>
        <w:t xml:space="preserve"> </w:t>
        <w:tab/>
      </w:r>
      <w:r>
        <w:rPr>
          <w:lang w:val="en-US"/>
        </w:rPr>
        <w:t xml:space="preserve">To assist the Provider, further additional information may include: </w:t>
      </w:r>
    </w:p>
    <w:p>
      <w:pPr>
        <w:pStyle w:val="Normal"/>
        <w:spacing w:lineRule="auto" w:line="259" w:before="0" w:after="7"/>
        <w:ind w:left="1541" w:hanging="0"/>
        <w:rPr>
          <w:lang w:val="en-US"/>
        </w:rPr>
      </w:pPr>
      <w:r>
        <w:rPr>
          <w:lang w:val="en-US"/>
        </w:rPr>
        <w:t xml:space="preserve"> </w:t>
      </w:r>
    </w:p>
    <w:p>
      <w:pPr>
        <w:pStyle w:val="Normal"/>
        <w:spacing w:before="0" w:after="19"/>
        <w:ind w:left="2261" w:right="10" w:hanging="907"/>
        <w:rPr>
          <w:lang w:val="en-US"/>
        </w:rPr>
      </w:pPr>
      <w:r>
        <w:rPr>
          <w:lang w:val="en-US"/>
        </w:rPr>
        <w:t>2.2.1.</w:t>
      </w:r>
      <w:r>
        <w:rPr>
          <w:rFonts w:eastAsia="Arial" w:cs="Arial" w:ascii="Arial" w:hAnsi="Arial"/>
          <w:lang w:val="en-US"/>
        </w:rPr>
        <w:t xml:space="preserve"> </w:t>
      </w:r>
      <w:r>
        <w:rPr>
          <w:lang w:val="en-US"/>
        </w:rPr>
        <w:t xml:space="preserve">Evidence of earlier contact (attempts), if any, and if deemed relevant by the Requestor; </w:t>
      </w:r>
    </w:p>
    <w:p>
      <w:pPr>
        <w:pStyle w:val="Normal"/>
        <w:tabs>
          <w:tab w:val="center" w:pos="1626" w:leader="none"/>
          <w:tab w:val="center" w:pos="4484" w:leader="none"/>
        </w:tabs>
        <w:spacing w:before="0" w:after="21"/>
        <w:ind w:left="0" w:hanging="0"/>
        <w:rPr>
          <w:lang w:val="en-US"/>
        </w:rPr>
      </w:pPr>
      <w:r>
        <w:rPr>
          <w:rFonts w:eastAsia="Calibri" w:cs="Calibri" w:ascii="Calibri" w:hAnsi="Calibri"/>
          <w:sz w:val="22"/>
          <w:lang w:val="en-US"/>
        </w:rPr>
        <w:tab/>
      </w:r>
      <w:r>
        <w:rPr>
          <w:lang w:val="en-US"/>
        </w:rPr>
        <w:t>2.2.2.</w:t>
      </w:r>
      <w:r>
        <w:rPr>
          <w:rFonts w:eastAsia="Arial" w:cs="Arial" w:ascii="Arial" w:hAnsi="Arial"/>
          <w:lang w:val="en-US"/>
        </w:rPr>
        <w:t xml:space="preserve"> </w:t>
        <w:tab/>
      </w:r>
      <w:r>
        <w:rPr>
          <w:lang w:val="en-US"/>
        </w:rPr>
        <w:t xml:space="preserve">Requestor contact details for the Customer; </w:t>
      </w:r>
    </w:p>
    <w:p>
      <w:pPr>
        <w:pStyle w:val="Normal"/>
        <w:spacing w:before="0" w:after="18"/>
        <w:ind w:left="2261" w:right="10" w:hanging="907"/>
        <w:rPr>
          <w:lang w:val="en-US"/>
        </w:rPr>
      </w:pPr>
      <w:r>
        <w:rPr>
          <w:lang w:val="en-US"/>
        </w:rPr>
        <w:t>2.2.3.</w:t>
      </w:r>
      <w:r>
        <w:rPr>
          <w:rFonts w:eastAsia="Arial" w:cs="Arial" w:ascii="Arial" w:hAnsi="Arial"/>
          <w:lang w:val="en-US"/>
        </w:rPr>
        <w:t xml:space="preserve"> </w:t>
        <w:tab/>
      </w:r>
      <w:r>
        <w:rPr>
          <w:lang w:val="en-US"/>
        </w:rPr>
        <w:t xml:space="preserve">Reference to applicable national or international law(s), ICANN regulation(s); </w:t>
      </w:r>
    </w:p>
    <w:p>
      <w:pPr>
        <w:pStyle w:val="Normal"/>
        <w:tabs>
          <w:tab w:val="center" w:pos="1626" w:leader="none"/>
          <w:tab w:val="center" w:pos="4984" w:leader="none"/>
        </w:tabs>
        <w:spacing w:before="0" w:after="11"/>
        <w:ind w:left="0" w:hanging="0"/>
        <w:rPr>
          <w:lang w:val="en-US"/>
        </w:rPr>
      </w:pPr>
      <w:r>
        <w:rPr>
          <w:rFonts w:eastAsia="Calibri" w:cs="Calibri" w:ascii="Calibri" w:hAnsi="Calibri"/>
          <w:sz w:val="22"/>
          <w:lang w:val="en-US"/>
        </w:rPr>
        <w:tab/>
      </w:r>
      <w:r>
        <w:rPr>
          <w:lang w:val="en-US"/>
        </w:rPr>
        <w:t>2.2.4.</w:t>
      </w:r>
      <w:r>
        <w:rPr>
          <w:rFonts w:eastAsia="Arial" w:cs="Arial" w:ascii="Arial" w:hAnsi="Arial"/>
          <w:lang w:val="en-US"/>
        </w:rPr>
        <w:t xml:space="preserve"> </w:t>
        <w:tab/>
      </w:r>
      <w:r>
        <w:rPr>
          <w:lang w:val="en-US"/>
        </w:rPr>
        <w:t xml:space="preserve">Details of decision to order disclosure of information. </w:t>
      </w:r>
    </w:p>
    <w:p>
      <w:pPr>
        <w:pStyle w:val="Normal"/>
        <w:spacing w:lineRule="auto" w:line="259" w:before="0" w:after="4"/>
        <w:ind w:left="101" w:hanging="0"/>
        <w:rPr>
          <w:lang w:val="en-US"/>
        </w:rPr>
      </w:pPr>
      <w:r>
        <w:rPr>
          <w:lang w:val="en-US"/>
        </w:rPr>
        <w:t xml:space="preserve"> </w:t>
      </w:r>
    </w:p>
    <w:p>
      <w:pPr>
        <w:pStyle w:val="Kop1"/>
        <w:tabs>
          <w:tab w:val="center" w:pos="363" w:leader="none"/>
          <w:tab w:val="center" w:pos="1690" w:leader="none"/>
        </w:tabs>
        <w:spacing w:lineRule="auto" w:line="247" w:before="0" w:after="11"/>
        <w:ind w:left="0" w:hanging="0"/>
        <w:jc w:val="left"/>
        <w:rPr>
          <w:lang w:val="en-US"/>
        </w:rPr>
      </w:pPr>
      <w:r>
        <w:rPr>
          <w:rFonts w:eastAsia="Calibri" w:cs="Calibri" w:ascii="Calibri" w:hAnsi="Calibri"/>
          <w:b w:val="false"/>
          <w:sz w:val="22"/>
          <w:lang w:val="en-US"/>
        </w:rPr>
        <w:tab/>
      </w:r>
      <w:r>
        <w:rPr>
          <w:lang w:val="en-US"/>
        </w:rPr>
        <w:t>3.</w:t>
      </w:r>
      <w:r>
        <w:rPr>
          <w:rFonts w:eastAsia="Arial" w:cs="Arial" w:ascii="Arial" w:hAnsi="Arial"/>
          <w:lang w:val="en-US"/>
        </w:rPr>
        <w:t xml:space="preserve"> </w:t>
        <w:tab/>
      </w:r>
      <w:r>
        <w:rPr>
          <w:lang w:val="en-US"/>
        </w:rPr>
        <w:t xml:space="preserve">Receipt Process </w:t>
      </w:r>
    </w:p>
    <w:p>
      <w:pPr>
        <w:pStyle w:val="Normal"/>
        <w:spacing w:lineRule="auto" w:line="259" w:before="0" w:after="0"/>
        <w:ind w:left="101" w:hanging="0"/>
        <w:rPr>
          <w:lang w:val="en-US"/>
        </w:rPr>
      </w:pPr>
      <w:r>
        <w:rPr>
          <w:lang w:val="en-US"/>
        </w:rPr>
        <w:t xml:space="preserve"> </w:t>
      </w:r>
    </w:p>
    <w:p>
      <w:pPr>
        <w:pStyle w:val="Normal"/>
        <w:spacing w:lineRule="auto" w:line="237" w:before="0" w:after="4"/>
        <w:ind w:left="1541" w:right="78" w:hanging="694"/>
        <w:jc w:val="both"/>
        <w:rPr>
          <w:lang w:val="en-US"/>
        </w:rPr>
      </w:pPr>
      <w:r>
        <w:rPr>
          <w:rFonts w:eastAsia="Calibri" w:cs="Calibri" w:ascii="Calibri" w:hAnsi="Calibri"/>
          <w:sz w:val="22"/>
          <w:lang w:val="en-US"/>
        </w:rPr>
        <w:t>3.1.</w:t>
      </w:r>
      <w:r>
        <w:rPr>
          <w:rFonts w:eastAsia="Arial" w:cs="Arial" w:ascii="Arial" w:hAnsi="Arial"/>
          <w:sz w:val="22"/>
          <w:lang w:val="en-US"/>
        </w:rPr>
        <w:t xml:space="preserve"> </w:t>
      </w:r>
      <w:r>
        <w:rPr>
          <w:sz w:val="22"/>
          <w:lang w:val="en-US"/>
        </w:rPr>
        <w:t xml:space="preserve">Pre-Request:  </w:t>
      </w:r>
      <w:r>
        <w:rPr>
          <w:lang w:val="en-US"/>
        </w:rPr>
        <w:t xml:space="preserve">Provider will establish and maintain a designated </w:t>
      </w:r>
      <w:r>
        <w:rPr>
          <w:sz w:val="22"/>
          <w:lang w:val="en-US"/>
        </w:rPr>
        <w:t xml:space="preserve">LEA </w:t>
      </w:r>
      <w:r>
        <w:rPr>
          <w:lang w:val="en-US"/>
        </w:rPr>
        <w:t>Requestor point of contact for submitting disclosure requests. The designated contact (e.g. email address, telephone number, form, or other means for LEA to obtain designated LEA contact information) will be published on Provider</w:t>
      </w:r>
      <w:r>
        <w:rPr>
          <w:sz w:val="22"/>
          <w:lang w:val="en-US"/>
        </w:rPr>
        <w:t>’s</w:t>
      </w:r>
      <w:r>
        <w:rPr>
          <w:lang w:val="en-US"/>
        </w:rPr>
        <w:t xml:space="preserve"> website.</w:t>
      </w:r>
      <w:r>
        <w:rPr>
          <w:rFonts w:eastAsia="Calibri" w:cs="Calibri" w:ascii="Calibri" w:hAnsi="Calibri"/>
          <w:sz w:val="22"/>
          <w:lang w:val="en-US"/>
        </w:rPr>
        <w:t xml:space="preserve"> </w:t>
      </w:r>
    </w:p>
    <w:p>
      <w:pPr>
        <w:pStyle w:val="Normal"/>
        <w:spacing w:lineRule="auto" w:line="259" w:before="0" w:after="4"/>
        <w:ind w:left="1541" w:hanging="0"/>
        <w:rPr>
          <w:lang w:val="en-US"/>
        </w:rPr>
      </w:pPr>
      <w:r>
        <w:rPr>
          <w:lang w:val="en-US"/>
        </w:rPr>
        <w:t xml:space="preserve"> </w:t>
      </w:r>
    </w:p>
    <w:p>
      <w:pPr>
        <w:pStyle w:val="Normal"/>
        <w:tabs>
          <w:tab w:val="center" w:pos="998" w:leader="none"/>
          <w:tab w:val="center" w:pos="2381" w:leader="none"/>
        </w:tabs>
        <w:spacing w:before="0" w:after="11"/>
        <w:ind w:left="0" w:hanging="0"/>
        <w:rPr>
          <w:lang w:val="en-US"/>
        </w:rPr>
      </w:pPr>
      <w:r>
        <w:rPr>
          <w:rFonts w:eastAsia="Calibri" w:cs="Calibri" w:ascii="Calibri" w:hAnsi="Calibri"/>
          <w:sz w:val="22"/>
          <w:lang w:val="en-US"/>
        </w:rPr>
        <w:tab/>
      </w:r>
      <w:r>
        <w:rPr>
          <w:lang w:val="en-US"/>
        </w:rPr>
        <w:t>3.2.</w:t>
      </w:r>
      <w:r>
        <w:rPr>
          <w:rFonts w:eastAsia="Arial" w:cs="Arial" w:ascii="Arial" w:hAnsi="Arial"/>
          <w:lang w:val="en-US"/>
        </w:rPr>
        <w:t xml:space="preserve"> </w:t>
        <w:tab/>
      </w:r>
      <w:r>
        <w:rPr>
          <w:lang w:val="en-US"/>
        </w:rPr>
        <w:t xml:space="preserve">Receipt Process: </w:t>
      </w:r>
    </w:p>
    <w:p>
      <w:pPr>
        <w:pStyle w:val="Normal"/>
        <w:spacing w:lineRule="auto" w:line="259" w:before="0" w:after="5"/>
        <w:ind w:left="821" w:hanging="0"/>
        <w:rPr>
          <w:lang w:val="en-US"/>
        </w:rPr>
      </w:pPr>
      <w:r>
        <w:rPr>
          <w:lang w:val="en-US"/>
        </w:rPr>
        <w:t xml:space="preserve"> </w:t>
      </w:r>
    </w:p>
    <w:p>
      <w:pPr>
        <w:pStyle w:val="Normal"/>
        <w:spacing w:lineRule="auto" w:line="237" w:before="0" w:after="4"/>
        <w:ind w:left="2256" w:right="78" w:hanging="917"/>
        <w:jc w:val="both"/>
        <w:rPr>
          <w:lang w:val="en-US"/>
        </w:rPr>
      </w:pPr>
      <w:r>
        <w:rPr>
          <w:lang w:val="en-US"/>
        </w:rPr>
        <w:t>3.2.1.</w:t>
      </w:r>
      <w:r>
        <w:rPr>
          <w:rFonts w:eastAsia="Arial" w:cs="Arial" w:ascii="Arial" w:hAnsi="Arial"/>
          <w:lang w:val="en-US"/>
        </w:rPr>
        <w:t xml:space="preserve"> </w:t>
      </w:r>
      <w:r>
        <w:rPr>
          <w:lang w:val="en-US"/>
        </w:rPr>
        <w:t xml:space="preserve">Within two business days (in Provider’s jurisdiction) of the disclosure request been submitted, Provider will review the request, and confirm it has been received and contains the relevant information required to meet the minimum standard for acceptance. If the request does not meet the minimum standard, Provider will notify the LEA Requestor. </w:t>
      </w:r>
    </w:p>
    <w:p>
      <w:pPr>
        <w:pStyle w:val="Normal"/>
        <w:spacing w:lineRule="auto" w:line="259" w:before="0" w:after="5"/>
        <w:ind w:left="1541" w:hanging="0"/>
        <w:rPr>
          <w:lang w:val="en-US"/>
        </w:rPr>
      </w:pPr>
      <w:r>
        <w:rPr>
          <w:lang w:val="en-US"/>
        </w:rPr>
        <w:t xml:space="preserve"> </w:t>
      </w:r>
    </w:p>
    <w:p>
      <w:pPr>
        <w:pStyle w:val="Normal"/>
        <w:spacing w:before="0" w:after="0"/>
        <w:ind w:left="2261" w:right="10" w:hanging="907"/>
        <w:rPr>
          <w:lang w:val="en-US"/>
        </w:rPr>
      </w:pPr>
      <w:r>
        <w:rPr>
          <w:lang w:val="en-US"/>
        </w:rPr>
        <w:t>3.2.2.</w:t>
      </w:r>
      <w:r>
        <w:rPr>
          <w:rFonts w:eastAsia="Arial" w:cs="Arial" w:ascii="Arial" w:hAnsi="Arial"/>
          <w:lang w:val="en-US"/>
        </w:rPr>
        <w:t xml:space="preserve"> </w:t>
      </w:r>
      <w:r>
        <w:rPr>
          <w:lang w:val="en-US"/>
        </w:rPr>
        <w:t xml:space="preserve">Where the LEA Requestor is not known to Provider, Provider will verify the identity of the LEA Requestor. </w:t>
      </w:r>
    </w:p>
    <w:p>
      <w:pPr>
        <w:pStyle w:val="Normal"/>
        <w:spacing w:lineRule="auto" w:line="259" w:before="0" w:after="5"/>
        <w:ind w:left="101" w:hanging="0"/>
        <w:rPr>
          <w:lang w:val="en-US"/>
        </w:rPr>
      </w:pPr>
      <w:r>
        <w:rPr>
          <w:lang w:val="en-US"/>
        </w:rPr>
        <w:t xml:space="preserve"> </w:t>
      </w:r>
    </w:p>
    <w:p>
      <w:pPr>
        <w:pStyle w:val="Kop1"/>
        <w:tabs>
          <w:tab w:val="center" w:pos="363" w:leader="none"/>
          <w:tab w:val="center" w:pos="3725" w:leader="none"/>
        </w:tabs>
        <w:spacing w:lineRule="auto" w:line="247" w:before="0" w:after="11"/>
        <w:ind w:left="0" w:hanging="0"/>
        <w:jc w:val="left"/>
        <w:rPr>
          <w:lang w:val="en-US"/>
        </w:rPr>
      </w:pPr>
      <w:r>
        <w:rPr>
          <w:rFonts w:eastAsia="Calibri" w:cs="Calibri" w:ascii="Calibri" w:hAnsi="Calibri"/>
          <w:b w:val="false"/>
          <w:sz w:val="22"/>
          <w:lang w:val="en-US"/>
        </w:rPr>
        <w:tab/>
      </w:r>
      <w:r>
        <w:rPr>
          <w:lang w:val="en-US"/>
        </w:rPr>
        <w:t>4.</w:t>
      </w:r>
      <w:r>
        <w:rPr>
          <w:rFonts w:eastAsia="Arial" w:cs="Arial" w:ascii="Arial" w:hAnsi="Arial"/>
          <w:lang w:val="en-US"/>
        </w:rPr>
        <w:t xml:space="preserve"> </w:t>
        <w:tab/>
      </w:r>
      <w:r>
        <w:rPr>
          <w:lang w:val="en-US"/>
        </w:rPr>
        <w:t xml:space="preserve">Provider Response Actions (Two-Tier Prioritization) </w:t>
      </w:r>
    </w:p>
    <w:p>
      <w:pPr>
        <w:pStyle w:val="Normal"/>
        <w:spacing w:lineRule="auto" w:line="259" w:before="0" w:after="4"/>
        <w:ind w:left="101" w:hanging="0"/>
        <w:rPr>
          <w:lang w:val="en-US"/>
        </w:rPr>
      </w:pPr>
      <w:r>
        <w:rPr>
          <w:lang w:val="en-US"/>
        </w:rPr>
        <w:t xml:space="preserve"> </w:t>
      </w:r>
    </w:p>
    <w:p>
      <w:pPr>
        <w:pStyle w:val="Normal"/>
        <w:tabs>
          <w:tab w:val="center" w:pos="998" w:leader="none"/>
          <w:tab w:val="center" w:pos="2262" w:leader="none"/>
        </w:tabs>
        <w:spacing w:before="0" w:after="11"/>
        <w:ind w:left="0" w:hanging="0"/>
        <w:rPr>
          <w:lang w:val="en-US"/>
        </w:rPr>
      </w:pPr>
      <w:r>
        <w:rPr>
          <w:rFonts w:eastAsia="Calibri" w:cs="Calibri" w:ascii="Calibri" w:hAnsi="Calibri"/>
          <w:sz w:val="22"/>
          <w:lang w:val="en-US"/>
        </w:rPr>
        <w:tab/>
      </w:r>
      <w:r>
        <w:rPr>
          <w:lang w:val="en-US"/>
        </w:rPr>
        <w:t>4.1.</w:t>
      </w:r>
      <w:r>
        <w:rPr>
          <w:rFonts w:eastAsia="Arial" w:cs="Arial" w:ascii="Arial" w:hAnsi="Arial"/>
          <w:lang w:val="en-US"/>
        </w:rPr>
        <w:t xml:space="preserve"> </w:t>
        <w:tab/>
      </w:r>
      <w:r>
        <w:rPr>
          <w:lang w:val="en-US"/>
        </w:rPr>
        <w:t xml:space="preserve">Prioritization: </w:t>
      </w:r>
    </w:p>
    <w:p>
      <w:pPr>
        <w:pStyle w:val="Normal"/>
        <w:spacing w:lineRule="auto" w:line="259" w:before="0" w:after="5"/>
        <w:ind w:left="821" w:hanging="0"/>
        <w:rPr>
          <w:lang w:val="en-US"/>
        </w:rPr>
      </w:pPr>
      <w:r>
        <w:rPr>
          <w:lang w:val="en-US"/>
        </w:rPr>
        <w:t xml:space="preserve"> </w:t>
      </w:r>
    </w:p>
    <w:p>
      <w:pPr>
        <w:pStyle w:val="Normal"/>
        <w:spacing w:lineRule="auto" w:line="237" w:before="0" w:after="4"/>
        <w:ind w:left="2256" w:right="78" w:hanging="917"/>
        <w:jc w:val="both"/>
        <w:rPr>
          <w:lang w:val="en-US"/>
        </w:rPr>
      </w:pPr>
      <w:r>
        <w:rPr>
          <w:lang w:val="en-US"/>
        </w:rPr>
        <w:t>4.1.1.</w:t>
      </w:r>
      <w:r>
        <w:rPr>
          <w:rFonts w:eastAsia="Arial" w:cs="Arial" w:ascii="Arial" w:hAnsi="Arial"/>
          <w:lang w:val="en-US"/>
        </w:rPr>
        <w:t xml:space="preserve"> </w:t>
      </w:r>
      <w:r>
        <w:rPr>
          <w:lang w:val="en-US"/>
        </w:rPr>
        <w:t xml:space="preserve">Upon completion of the Receipt Process, Provider will action in accordance with Sections 4.2 and 4.3 of this Specification the disclosure request in accordance with the Priority Level. High Priority requests can include an imminent threat to life, serious bodily injury, critical infrastructure or child exploitation. </w:t>
      </w:r>
    </w:p>
    <w:p>
      <w:pPr>
        <w:pStyle w:val="Normal"/>
        <w:spacing w:lineRule="auto" w:line="259" w:before="0" w:after="5"/>
        <w:ind w:left="1541" w:hanging="0"/>
        <w:rPr>
          <w:lang w:val="en-US"/>
        </w:rPr>
      </w:pPr>
      <w:r>
        <w:rPr>
          <w:lang w:val="en-US"/>
        </w:rPr>
        <w:t xml:space="preserve"> </w:t>
      </w:r>
    </w:p>
    <w:p>
      <w:pPr>
        <w:pStyle w:val="Normal"/>
        <w:spacing w:lineRule="auto" w:line="237" w:before="0" w:after="4"/>
        <w:ind w:left="2256" w:right="78" w:hanging="917"/>
        <w:jc w:val="both"/>
        <w:rPr>
          <w:lang w:val="en-US"/>
        </w:rPr>
      </w:pPr>
      <w:r>
        <w:rPr>
          <w:lang w:val="en-US"/>
        </w:rPr>
        <w:t>4.1.2.</w:t>
      </w:r>
      <w:r>
        <w:rPr>
          <w:rFonts w:eastAsia="Arial" w:cs="Arial" w:ascii="Arial" w:hAnsi="Arial"/>
          <w:lang w:val="en-US"/>
        </w:rPr>
        <w:t xml:space="preserve"> </w:t>
      </w:r>
      <w:r>
        <w:rPr>
          <w:lang w:val="en-US"/>
        </w:rPr>
        <w:t xml:space="preserve">Where a disclosure request has been categorized as High Priority, this must be actioned within 24 hours. The LEA Requestor will detail the threat type and justification for Priority Level. </w:t>
      </w:r>
    </w:p>
    <w:p>
      <w:pPr>
        <w:pStyle w:val="Normal"/>
        <w:spacing w:lineRule="auto" w:line="259" w:before="0" w:after="5"/>
        <w:ind w:left="1541" w:hanging="0"/>
        <w:rPr>
          <w:lang w:val="en-US"/>
        </w:rPr>
      </w:pPr>
      <w:r>
        <w:rPr>
          <w:color w:val="FF0000"/>
          <w:lang w:val="en-US"/>
        </w:rPr>
        <w:t xml:space="preserve"> </w:t>
      </w:r>
    </w:p>
    <w:p>
      <w:pPr>
        <w:pStyle w:val="Normal"/>
        <w:spacing w:lineRule="auto" w:line="237" w:before="0" w:after="4"/>
        <w:ind w:left="2256" w:right="78" w:hanging="917"/>
        <w:jc w:val="both"/>
        <w:rPr>
          <w:lang w:val="en-US"/>
        </w:rPr>
      </w:pPr>
      <w:r>
        <w:rPr>
          <w:lang w:val="en-US"/>
        </w:rPr>
        <w:t>4.1.3.</w:t>
      </w:r>
      <w:r>
        <w:rPr>
          <w:rFonts w:eastAsia="Arial" w:cs="Arial" w:ascii="Arial" w:hAnsi="Arial"/>
          <w:lang w:val="en-US"/>
        </w:rPr>
        <w:t xml:space="preserve"> </w:t>
      </w:r>
      <w:r>
        <w:rPr>
          <w:lang w:val="en-US"/>
        </w:rPr>
        <w:t xml:space="preserve">For all other disclosure requests not identified as High Priority, Provider should seek to action these in accordance with the deadline identified in the request. If Provider cannot adhere to this deadline, Provider should notify the LEA Requestor and provide a reasonable timeframe for response. </w:t>
      </w:r>
    </w:p>
    <w:p>
      <w:pPr>
        <w:pStyle w:val="Normal"/>
        <w:spacing w:lineRule="auto" w:line="259" w:before="0" w:after="4"/>
        <w:ind w:left="1541" w:hanging="0"/>
        <w:rPr>
          <w:lang w:val="en-US"/>
        </w:rPr>
      </w:pPr>
      <w:r>
        <w:rPr>
          <w:lang w:val="en-US"/>
        </w:rPr>
        <w:t xml:space="preserve"> </w:t>
      </w:r>
    </w:p>
    <w:p>
      <w:pPr>
        <w:pStyle w:val="Normal"/>
        <w:tabs>
          <w:tab w:val="center" w:pos="998" w:leader="none"/>
          <w:tab w:val="center" w:pos="2111" w:leader="none"/>
        </w:tabs>
        <w:spacing w:before="0" w:after="11"/>
        <w:ind w:left="0" w:hanging="0"/>
        <w:rPr>
          <w:lang w:val="en-US"/>
        </w:rPr>
      </w:pPr>
      <w:r>
        <w:rPr>
          <w:rFonts w:eastAsia="Calibri" w:cs="Calibri" w:ascii="Calibri" w:hAnsi="Calibri"/>
          <w:sz w:val="22"/>
          <w:lang w:val="en-US"/>
        </w:rPr>
        <w:tab/>
      </w:r>
      <w:r>
        <w:rPr>
          <w:lang w:val="en-US"/>
        </w:rPr>
        <w:t>4.2.</w:t>
      </w:r>
      <w:r>
        <w:rPr>
          <w:rFonts w:eastAsia="Arial" w:cs="Arial" w:ascii="Arial" w:hAnsi="Arial"/>
          <w:lang w:val="en-US"/>
        </w:rPr>
        <w:t xml:space="preserve"> </w:t>
        <w:tab/>
      </w:r>
      <w:r>
        <w:rPr>
          <w:lang w:val="en-US"/>
        </w:rPr>
        <w:t xml:space="preserve">Disclosure: </w:t>
      </w:r>
    </w:p>
    <w:p>
      <w:pPr>
        <w:pStyle w:val="Normal"/>
        <w:spacing w:lineRule="auto" w:line="259" w:before="0" w:after="7"/>
        <w:ind w:left="821" w:hanging="0"/>
        <w:rPr>
          <w:lang w:val="en-US"/>
        </w:rPr>
      </w:pPr>
      <w:r>
        <w:rPr>
          <w:lang w:val="en-US"/>
        </w:rPr>
        <w:t xml:space="preserve"> </w:t>
      </w:r>
    </w:p>
    <w:p>
      <w:pPr>
        <w:pStyle w:val="Normal"/>
        <w:spacing w:lineRule="auto" w:line="237" w:before="0" w:after="4"/>
        <w:ind w:left="2256" w:right="78" w:hanging="917"/>
        <w:jc w:val="both"/>
        <w:rPr>
          <w:lang w:val="en-US"/>
        </w:rPr>
      </w:pPr>
      <w:r>
        <w:rPr>
          <w:lang w:val="en-US"/>
        </w:rPr>
        <w:t>4.2.1.</w:t>
      </w:r>
      <w:r>
        <w:rPr>
          <w:rFonts w:eastAsia="Arial" w:cs="Arial" w:ascii="Arial" w:hAnsi="Arial"/>
          <w:lang w:val="en-US"/>
        </w:rPr>
        <w:t xml:space="preserve"> </w:t>
      </w:r>
      <w:r>
        <w:rPr>
          <w:lang w:val="en-US"/>
        </w:rPr>
        <w:t xml:space="preserve">Within the appropriate timeframe consistent with the Priority Level, Provider will disclose to the LEA Requestor using a secure mechanism the Requested Information it holds against the account. </w:t>
      </w:r>
    </w:p>
    <w:p>
      <w:pPr>
        <w:pStyle w:val="Normal"/>
        <w:spacing w:lineRule="auto" w:line="259" w:before="0" w:after="7"/>
        <w:ind w:left="1541" w:hanging="0"/>
        <w:rPr>
          <w:lang w:val="en-US"/>
        </w:rPr>
      </w:pPr>
      <w:r>
        <w:rPr>
          <w:lang w:val="en-US"/>
        </w:rPr>
        <w:t xml:space="preserve"> </w:t>
      </w:r>
    </w:p>
    <w:p>
      <w:pPr>
        <w:pStyle w:val="Normal"/>
        <w:tabs>
          <w:tab w:val="center" w:pos="1626" w:leader="none"/>
          <w:tab w:val="right" w:pos="9551" w:leader="none"/>
        </w:tabs>
        <w:spacing w:before="0" w:after="11"/>
        <w:ind w:left="0" w:hanging="0"/>
        <w:rPr>
          <w:lang w:val="en-US"/>
        </w:rPr>
      </w:pPr>
      <w:r>
        <w:rPr>
          <w:rFonts w:eastAsia="Calibri" w:cs="Calibri" w:ascii="Calibri" w:hAnsi="Calibri"/>
          <w:sz w:val="22"/>
          <w:lang w:val="en-US"/>
        </w:rPr>
        <w:tab/>
      </w:r>
      <w:r>
        <w:rPr>
          <w:lang w:val="en-US"/>
        </w:rPr>
        <w:t>4.2.2.</w:t>
      </w:r>
      <w:r>
        <w:rPr>
          <w:rFonts w:eastAsia="Arial" w:cs="Arial" w:ascii="Arial" w:hAnsi="Arial"/>
          <w:lang w:val="en-US"/>
        </w:rPr>
        <w:t xml:space="preserve"> </w:t>
        <w:tab/>
      </w:r>
      <w:r>
        <w:rPr>
          <w:lang w:val="en-US"/>
        </w:rPr>
        <w:t xml:space="preserve">Disclosure can be reasonably refused, for reasons consistent with the </w:t>
      </w:r>
    </w:p>
    <w:p>
      <w:pPr>
        <w:pStyle w:val="Normal"/>
        <w:spacing w:before="0" w:after="0"/>
        <w:ind w:left="2271" w:right="10" w:hanging="10"/>
        <w:rPr>
          <w:lang w:val="en-US"/>
        </w:rPr>
      </w:pPr>
      <w:r>
        <w:rPr>
          <w:lang w:val="en-US"/>
        </w:rPr>
        <w:t xml:space="preserve">general policy stated herein, including without limitation any of the following: </w:t>
      </w:r>
    </w:p>
    <w:p>
      <w:pPr>
        <w:pStyle w:val="Normal"/>
        <w:spacing w:lineRule="auto" w:line="259" w:before="0" w:after="7"/>
        <w:ind w:left="2261" w:hanging="0"/>
        <w:rPr>
          <w:lang w:val="en-US"/>
        </w:rPr>
      </w:pPr>
      <w:r>
        <w:rPr>
          <w:lang w:val="en-US"/>
        </w:rPr>
        <w:t xml:space="preserve"> </w:t>
      </w:r>
    </w:p>
    <w:p>
      <w:pPr>
        <w:pStyle w:val="Normal"/>
        <w:spacing w:before="0" w:after="0"/>
        <w:ind w:left="2981" w:right="10" w:hanging="1090"/>
        <w:rPr>
          <w:lang w:val="en-US"/>
        </w:rPr>
      </w:pPr>
      <w:r>
        <w:rPr>
          <w:lang w:val="en-US"/>
        </w:rPr>
        <w:t>4.2.2.1.</w:t>
      </w:r>
      <w:r>
        <w:rPr>
          <w:rFonts w:eastAsia="Arial" w:cs="Arial" w:ascii="Arial" w:hAnsi="Arial"/>
          <w:lang w:val="en-US"/>
        </w:rPr>
        <w:t xml:space="preserve"> </w:t>
        <w:tab/>
      </w:r>
      <w:r>
        <w:rPr>
          <w:lang w:val="en-US"/>
        </w:rPr>
        <w:t xml:space="preserve">The LEA Requestor failed to provide to information to meet the minimum standard for acceptance as outlined in Section 2; </w:t>
      </w:r>
    </w:p>
    <w:p>
      <w:pPr>
        <w:pStyle w:val="Normal"/>
        <w:spacing w:lineRule="auto" w:line="259" w:before="0" w:after="5"/>
        <w:ind w:left="2261" w:hanging="0"/>
        <w:rPr>
          <w:lang w:val="en-US"/>
        </w:rPr>
      </w:pPr>
      <w:r>
        <w:rPr>
          <w:lang w:val="en-US"/>
        </w:rPr>
        <w:t xml:space="preserve"> </w:t>
      </w:r>
    </w:p>
    <w:p>
      <w:pPr>
        <w:pStyle w:val="Normal"/>
        <w:spacing w:before="0" w:after="0"/>
        <w:ind w:left="2981" w:right="10" w:hanging="1090"/>
        <w:rPr>
          <w:lang w:val="en-US"/>
        </w:rPr>
      </w:pPr>
      <w:r>
        <w:rPr>
          <w:lang w:val="en-US"/>
        </w:rPr>
        <w:t>4.2.2.2.</w:t>
      </w:r>
      <w:r>
        <w:rPr>
          <w:rFonts w:eastAsia="Arial" w:cs="Arial" w:ascii="Arial" w:hAnsi="Arial"/>
          <w:lang w:val="en-US"/>
        </w:rPr>
        <w:t xml:space="preserve"> </w:t>
      </w:r>
      <w:r>
        <w:rPr>
          <w:lang w:val="en-US"/>
        </w:rPr>
        <w:t xml:space="preserve">If disclosure would lead to a contravention of national or international law; </w:t>
      </w:r>
    </w:p>
    <w:p>
      <w:pPr>
        <w:pStyle w:val="Normal"/>
        <w:spacing w:lineRule="auto" w:line="259" w:before="0" w:after="5"/>
        <w:ind w:left="2261" w:hanging="0"/>
        <w:rPr>
          <w:lang w:val="en-US"/>
        </w:rPr>
      </w:pPr>
      <w:r>
        <w:rPr>
          <w:lang w:val="en-US"/>
        </w:rPr>
        <w:t xml:space="preserve"> </w:t>
      </w:r>
    </w:p>
    <w:p>
      <w:pPr>
        <w:pStyle w:val="Normal"/>
        <w:spacing w:lineRule="auto" w:line="237" w:before="0" w:after="4"/>
        <w:ind w:left="2981" w:right="78" w:hanging="1090"/>
        <w:jc w:val="both"/>
        <w:rPr>
          <w:lang w:val="en-US"/>
        </w:rPr>
      </w:pPr>
      <w:r>
        <w:rPr>
          <w:lang w:val="en-US"/>
        </w:rPr>
        <w:t>4.2.2.3.</w:t>
      </w:r>
      <w:r>
        <w:rPr>
          <w:rFonts w:eastAsia="Arial" w:cs="Arial" w:ascii="Arial" w:hAnsi="Arial"/>
          <w:lang w:val="en-US"/>
        </w:rPr>
        <w:t xml:space="preserve"> </w:t>
      </w:r>
      <w:r>
        <w:rPr>
          <w:lang w:val="en-US"/>
        </w:rPr>
        <w:t xml:space="preserve">Where the Customer has provided, or Provider has found, specific information, facts, or circumstances showing that disclosure will endanger the safety of the Customer. </w:t>
      </w:r>
    </w:p>
    <w:p>
      <w:pPr>
        <w:pStyle w:val="Normal"/>
        <w:spacing w:lineRule="auto" w:line="259" w:before="0" w:after="6"/>
        <w:ind w:left="2261" w:hanging="0"/>
        <w:rPr>
          <w:lang w:val="en-US"/>
        </w:rPr>
      </w:pPr>
      <w:r>
        <w:rPr>
          <w:lang w:val="en-US"/>
        </w:rPr>
        <w:t xml:space="preserve"> </w:t>
      </w:r>
    </w:p>
    <w:p>
      <w:pPr>
        <w:pStyle w:val="Normal"/>
        <w:spacing w:lineRule="auto" w:line="237" w:before="0" w:after="4"/>
        <w:ind w:left="2256" w:right="78" w:hanging="917"/>
        <w:jc w:val="both"/>
        <w:rPr>
          <w:lang w:val="en-US"/>
        </w:rPr>
      </w:pPr>
      <w:r>
        <w:rPr>
          <w:lang w:val="en-US"/>
        </w:rPr>
        <w:t>4.2.3.</w:t>
      </w:r>
      <w:r>
        <w:rPr>
          <w:rFonts w:eastAsia="Arial" w:cs="Arial" w:ascii="Arial" w:hAnsi="Arial"/>
          <w:lang w:val="en-US"/>
        </w:rPr>
        <w:t xml:space="preserve"> </w:t>
      </w:r>
      <w:r>
        <w:rPr>
          <w:lang w:val="en-US"/>
        </w:rPr>
        <w:t xml:space="preserve">If disclosure is refused, Provider must state to the LEA Requestor in writing or by electronic communication its specific reasons for refusing to disclose. This must be completed prior to any Customer notification, irrespective of the reason for refusal; </w:t>
      </w:r>
    </w:p>
    <w:p>
      <w:pPr>
        <w:pStyle w:val="Normal"/>
        <w:spacing w:lineRule="auto" w:line="259" w:before="0" w:after="5"/>
        <w:ind w:left="2261" w:hanging="0"/>
        <w:rPr>
          <w:lang w:val="en-US"/>
        </w:rPr>
      </w:pPr>
      <w:r>
        <w:rPr>
          <w:lang w:val="en-US"/>
        </w:rPr>
        <w:t xml:space="preserve"> </w:t>
      </w:r>
    </w:p>
    <w:p>
      <w:pPr>
        <w:pStyle w:val="Normal"/>
        <w:spacing w:lineRule="auto" w:line="237" w:before="0" w:after="4"/>
        <w:ind w:left="2256" w:right="78" w:hanging="917"/>
        <w:jc w:val="both"/>
        <w:rPr>
          <w:lang w:val="en-US"/>
        </w:rPr>
      </w:pPr>
      <w:r>
        <w:rPr>
          <w:lang w:val="en-US"/>
        </w:rPr>
        <w:t>4.2.4.</w:t>
      </w:r>
      <w:r>
        <w:rPr>
          <w:rFonts w:eastAsia="Arial" w:cs="Arial" w:ascii="Arial" w:hAnsi="Arial"/>
          <w:lang w:val="en-US"/>
        </w:rPr>
        <w:t xml:space="preserve"> </w:t>
      </w:r>
      <w:r>
        <w:rPr>
          <w:lang w:val="en-US"/>
        </w:rPr>
        <w:t xml:space="preserve">In exceptional circumstances, if Provider requires additional time to respond to the LEA Requestor, Provider shall inform the LEA Requestor of the cause of the delay, and agree with the LEA Requestor a new date by which it will provide its response under this Section. 4.2 </w:t>
      </w:r>
    </w:p>
    <w:p>
      <w:pPr>
        <w:pStyle w:val="Normal"/>
        <w:spacing w:lineRule="auto" w:line="259" w:before="0" w:after="5"/>
        <w:ind w:left="2261" w:hanging="0"/>
        <w:rPr>
          <w:lang w:val="en-US"/>
        </w:rPr>
      </w:pPr>
      <w:r>
        <w:rPr>
          <w:lang w:val="en-US"/>
        </w:rPr>
        <w:t xml:space="preserve"> </w:t>
      </w:r>
    </w:p>
    <w:p>
      <w:pPr>
        <w:pStyle w:val="Normal"/>
        <w:spacing w:lineRule="auto" w:line="237" w:before="0" w:after="4"/>
        <w:ind w:left="2256" w:right="78" w:hanging="917"/>
        <w:jc w:val="both"/>
        <w:rPr>
          <w:lang w:val="en-US"/>
        </w:rPr>
      </w:pPr>
      <w:r>
        <w:rPr>
          <w:lang w:val="en-US"/>
        </w:rPr>
        <w:t>4.2.5.</w:t>
      </w:r>
      <w:r>
        <w:rPr>
          <w:rFonts w:eastAsia="Arial" w:cs="Arial" w:ascii="Arial" w:hAnsi="Arial"/>
          <w:lang w:val="en-US"/>
        </w:rPr>
        <w:t xml:space="preserve"> </w:t>
      </w:r>
      <w:r>
        <w:rPr>
          <w:lang w:val="en-US"/>
        </w:rPr>
        <w:t xml:space="preserve">For all refusals made in accordance with the policy and requirements herein, Provider must accept and give due consideration to the LEA Requestor’s requests for reconsideration of the refusal to disclose. </w:t>
      </w:r>
    </w:p>
    <w:p>
      <w:pPr>
        <w:pStyle w:val="Normal"/>
        <w:spacing w:lineRule="auto" w:line="259" w:before="0" w:after="5"/>
        <w:ind w:left="821" w:hanging="0"/>
        <w:rPr>
          <w:lang w:val="en-US"/>
        </w:rPr>
      </w:pPr>
      <w:r>
        <w:rPr>
          <w:lang w:val="en-US"/>
        </w:rPr>
        <w:t xml:space="preserve"> </w:t>
      </w:r>
    </w:p>
    <w:p>
      <w:pPr>
        <w:pStyle w:val="Normal"/>
        <w:tabs>
          <w:tab w:val="center" w:pos="998" w:leader="none"/>
          <w:tab w:val="center" w:pos="2701" w:leader="none"/>
        </w:tabs>
        <w:spacing w:before="0" w:after="11"/>
        <w:ind w:left="0" w:hanging="0"/>
        <w:rPr>
          <w:lang w:val="en-US"/>
        </w:rPr>
      </w:pPr>
      <w:r>
        <w:rPr>
          <w:rFonts w:eastAsia="Calibri" w:cs="Calibri" w:ascii="Calibri" w:hAnsi="Calibri"/>
          <w:sz w:val="22"/>
          <w:lang w:val="en-US"/>
        </w:rPr>
        <w:tab/>
      </w:r>
      <w:r>
        <w:rPr>
          <w:lang w:val="en-US"/>
        </w:rPr>
        <w:t>4.3.</w:t>
      </w:r>
      <w:r>
        <w:rPr>
          <w:rFonts w:eastAsia="Arial" w:cs="Arial" w:ascii="Arial" w:hAnsi="Arial"/>
          <w:lang w:val="en-US"/>
        </w:rPr>
        <w:t xml:space="preserve"> </w:t>
        <w:tab/>
      </w:r>
      <w:r>
        <w:rPr>
          <w:lang w:val="en-US"/>
        </w:rPr>
        <w:t xml:space="preserve">Customer Notification: </w:t>
      </w:r>
    </w:p>
    <w:p>
      <w:pPr>
        <w:pStyle w:val="Normal"/>
        <w:spacing w:lineRule="auto" w:line="259" w:before="0" w:after="5"/>
        <w:ind w:left="821" w:hanging="0"/>
        <w:rPr>
          <w:lang w:val="en-US"/>
        </w:rPr>
      </w:pPr>
      <w:r>
        <w:rPr>
          <w:lang w:val="en-US"/>
        </w:rPr>
        <w:t xml:space="preserve"> </w:t>
      </w:r>
    </w:p>
    <w:p>
      <w:pPr>
        <w:pStyle w:val="Normal"/>
        <w:spacing w:lineRule="auto" w:line="237" w:before="0" w:after="2"/>
        <w:ind w:left="2271" w:right="75" w:hanging="917"/>
        <w:jc w:val="both"/>
        <w:rPr>
          <w:lang w:val="en-US"/>
        </w:rPr>
      </w:pPr>
      <w:r>
        <w:rPr>
          <w:lang w:val="en-US"/>
        </w:rPr>
        <w:t>4.3.1.</w:t>
      </w:r>
      <w:r>
        <w:rPr>
          <w:rFonts w:eastAsia="Arial" w:cs="Arial" w:ascii="Arial" w:hAnsi="Arial"/>
          <w:lang w:val="en-US"/>
        </w:rPr>
        <w:t xml:space="preserve"> </w:t>
      </w:r>
      <w:r>
        <w:rPr>
          <w:lang w:val="en-US"/>
        </w:rPr>
        <w:t xml:space="preserve">Provider will notify the Customer of the disclosure request (“Customer Notification”) in accordance with its published Terms of Service and the timeframe identified by the LEA Requestor. </w:t>
      </w:r>
    </w:p>
    <w:p>
      <w:pPr>
        <w:pStyle w:val="Normal"/>
        <w:spacing w:lineRule="auto" w:line="259" w:before="0" w:after="5"/>
        <w:ind w:left="1541" w:hanging="0"/>
        <w:rPr>
          <w:lang w:val="en-US"/>
        </w:rPr>
      </w:pPr>
      <w:r>
        <w:rPr>
          <w:color w:val="FF0000"/>
          <w:lang w:val="en-US"/>
        </w:rPr>
        <w:t xml:space="preserve"> </w:t>
      </w:r>
    </w:p>
    <w:p>
      <w:pPr>
        <w:pStyle w:val="Normal"/>
        <w:spacing w:lineRule="auto" w:line="237" w:before="0" w:after="4"/>
        <w:ind w:left="2256" w:right="78" w:hanging="917"/>
        <w:jc w:val="both"/>
        <w:rPr>
          <w:lang w:val="en-US"/>
        </w:rPr>
      </w:pPr>
      <w:r>
        <w:rPr>
          <w:lang w:val="en-US"/>
        </w:rPr>
        <w:t>4.3.2.</w:t>
      </w:r>
      <w:r>
        <w:rPr>
          <w:rFonts w:eastAsia="Arial" w:cs="Arial" w:ascii="Arial" w:hAnsi="Arial"/>
          <w:lang w:val="en-US"/>
        </w:rPr>
        <w:t xml:space="preserve"> </w:t>
      </w:r>
      <w:r>
        <w:rPr>
          <w:lang w:val="en-US"/>
        </w:rPr>
        <w:t xml:space="preserve">Provider may voluntarily set a generic timeframe for Customer Notifications (e.g., 90 days), which can be extended at the behest of the LEA Requestor. Details of any generic timeframe must be published on Provider’s website, and the LEA Requestor must always be informed in advance of any time limit being implemented or changed. </w:t>
      </w:r>
    </w:p>
    <w:p>
      <w:pPr>
        <w:pStyle w:val="Normal"/>
        <w:spacing w:lineRule="auto" w:line="259" w:before="0" w:after="5"/>
        <w:ind w:left="1541" w:hanging="0"/>
        <w:rPr>
          <w:lang w:val="en-US"/>
        </w:rPr>
      </w:pPr>
      <w:r>
        <w:rPr>
          <w:lang w:val="en-US"/>
        </w:rPr>
        <w:t xml:space="preserve"> </w:t>
      </w:r>
    </w:p>
    <w:p>
      <w:pPr>
        <w:pStyle w:val="Normal"/>
        <w:spacing w:before="0" w:after="0"/>
        <w:ind w:left="2261" w:right="10" w:hanging="907"/>
        <w:rPr>
          <w:lang w:val="en-US"/>
        </w:rPr>
      </w:pPr>
      <w:r>
        <w:rPr>
          <w:lang w:val="en-US"/>
        </w:rPr>
        <w:t>4.3.3.</w:t>
      </w:r>
      <w:r>
        <w:rPr>
          <w:rFonts w:eastAsia="Arial" w:cs="Arial" w:ascii="Arial" w:hAnsi="Arial"/>
          <w:lang w:val="en-US"/>
        </w:rPr>
        <w:t xml:space="preserve"> </w:t>
      </w:r>
      <w:r>
        <w:rPr>
          <w:lang w:val="en-US"/>
        </w:rPr>
        <w:t xml:space="preserve">Provider must notify the LEA Requestor at least three working days before a Customer Notification takes place. </w:t>
      </w:r>
    </w:p>
    <w:p>
      <w:pPr>
        <w:pStyle w:val="Normal"/>
        <w:spacing w:lineRule="auto" w:line="259" w:before="0" w:after="5"/>
        <w:ind w:left="101" w:hanging="0"/>
        <w:rPr>
          <w:lang w:val="en-US"/>
        </w:rPr>
      </w:pPr>
      <w:r>
        <w:rPr>
          <w:b/>
          <w:lang w:val="en-US"/>
        </w:rPr>
        <w:t xml:space="preserve"> </w:t>
      </w:r>
    </w:p>
    <w:p>
      <w:pPr>
        <w:pStyle w:val="Kop1"/>
        <w:tabs>
          <w:tab w:val="center" w:pos="363" w:leader="none"/>
          <w:tab w:val="center" w:pos="4109" w:leader="none"/>
        </w:tabs>
        <w:spacing w:lineRule="auto" w:line="247" w:before="0" w:after="11"/>
        <w:ind w:left="0" w:hanging="0"/>
        <w:jc w:val="left"/>
        <w:rPr>
          <w:lang w:val="en-US"/>
        </w:rPr>
      </w:pPr>
      <w:r>
        <w:rPr>
          <w:rFonts w:eastAsia="Calibri" w:cs="Calibri" w:ascii="Calibri" w:hAnsi="Calibri"/>
          <w:b w:val="false"/>
          <w:sz w:val="22"/>
          <w:lang w:val="en-US"/>
        </w:rPr>
        <w:tab/>
      </w:r>
      <w:r>
        <w:rPr>
          <w:lang w:val="en-US"/>
        </w:rPr>
        <w:t>5.</w:t>
      </w:r>
      <w:r>
        <w:rPr>
          <w:rFonts w:eastAsia="Arial" w:cs="Arial" w:ascii="Arial" w:hAnsi="Arial"/>
          <w:lang w:val="en-US"/>
        </w:rPr>
        <w:t xml:space="preserve"> </w:t>
        <w:tab/>
      </w:r>
      <w:r>
        <w:rPr>
          <w:lang w:val="en-US"/>
        </w:rPr>
        <w:t xml:space="preserve">Issues of Non-response/Non-Compliance with LEA Requests </w:t>
      </w:r>
    </w:p>
    <w:p>
      <w:pPr>
        <w:pStyle w:val="Normal"/>
        <w:spacing w:lineRule="auto" w:line="259" w:before="0" w:after="5"/>
        <w:ind w:left="821" w:hanging="0"/>
        <w:rPr>
          <w:lang w:val="en-US"/>
        </w:rPr>
      </w:pPr>
      <w:r>
        <w:rPr>
          <w:lang w:val="en-US"/>
        </w:rPr>
        <w:t xml:space="preserve"> </w:t>
      </w:r>
    </w:p>
    <w:p>
      <w:pPr>
        <w:pStyle w:val="Normal"/>
        <w:spacing w:before="0" w:after="0"/>
        <w:ind w:left="1541" w:right="10" w:hanging="725"/>
        <w:rPr>
          <w:lang w:val="en-US"/>
        </w:rPr>
      </w:pPr>
      <w:r>
        <w:rPr>
          <w:lang w:val="en-US"/>
        </w:rPr>
        <w:t>5.1.</w:t>
      </w:r>
      <w:r>
        <w:rPr>
          <w:rFonts w:eastAsia="Arial" w:cs="Arial" w:ascii="Arial" w:hAnsi="Arial"/>
          <w:lang w:val="en-US"/>
        </w:rPr>
        <w:t xml:space="preserve"> </w:t>
      </w:r>
      <w:r>
        <w:rPr>
          <w:lang w:val="en-US"/>
        </w:rPr>
        <w:t xml:space="preserve">In cases of the LEA Requestor receiving no response from Provider, or noncompliance with disclosure requests within contractually defined or mutually </w:t>
      </w:r>
    </w:p>
    <w:p>
      <w:pPr>
        <w:pStyle w:val="Normal"/>
        <w:spacing w:lineRule="auto" w:line="237" w:before="0" w:after="4"/>
        <w:ind w:left="1541" w:right="78" w:hanging="0"/>
        <w:jc w:val="both"/>
        <w:rPr>
          <w:lang w:val="en-US"/>
        </w:rPr>
      </w:pPr>
      <w:r>
        <w:rPr>
          <w:lang w:val="en-US"/>
        </w:rPr>
        <w:t xml:space="preserve">agreed timelines, the issue may be escalated to ICANN in accordance with existing compliance mechanisms, or other appropriate legal mechanisms available within the jurisdiction in which Provider is established or maintains a physical office. </w:t>
      </w:r>
    </w:p>
    <w:p>
      <w:pPr>
        <w:pStyle w:val="Normal"/>
        <w:spacing w:lineRule="auto" w:line="259" w:before="0" w:after="4"/>
        <w:ind w:left="101" w:hanging="0"/>
        <w:rPr>
          <w:lang w:val="en-US"/>
        </w:rPr>
      </w:pPr>
      <w:r>
        <w:rPr>
          <w:lang w:val="en-US"/>
        </w:rPr>
        <w:t xml:space="preserve"> </w:t>
      </w:r>
    </w:p>
    <w:p>
      <w:pPr>
        <w:pStyle w:val="Kop1"/>
        <w:tabs>
          <w:tab w:val="center" w:pos="363" w:leader="none"/>
          <w:tab w:val="center" w:pos="1946" w:leader="none"/>
        </w:tabs>
        <w:spacing w:lineRule="auto" w:line="247" w:before="0" w:after="11"/>
        <w:ind w:left="0" w:hanging="0"/>
        <w:jc w:val="left"/>
        <w:rPr>
          <w:lang w:val="en-US"/>
        </w:rPr>
      </w:pPr>
      <w:r>
        <w:rPr>
          <w:rFonts w:eastAsia="Calibri" w:cs="Calibri" w:ascii="Calibri" w:hAnsi="Calibri"/>
          <w:b w:val="false"/>
          <w:sz w:val="22"/>
          <w:lang w:val="en-US"/>
        </w:rPr>
        <w:tab/>
      </w:r>
      <w:r>
        <w:rPr>
          <w:lang w:val="en-US"/>
        </w:rPr>
        <w:t>6.</w:t>
      </w:r>
      <w:r>
        <w:rPr>
          <w:rFonts w:eastAsia="Arial" w:cs="Arial" w:ascii="Arial" w:hAnsi="Arial"/>
          <w:lang w:val="en-US"/>
        </w:rPr>
        <w:t xml:space="preserve"> </w:t>
        <w:tab/>
      </w:r>
      <w:r>
        <w:rPr>
          <w:lang w:val="en-US"/>
        </w:rPr>
        <w:t xml:space="preserve">Additional Guidance </w:t>
      </w:r>
    </w:p>
    <w:p>
      <w:pPr>
        <w:pStyle w:val="Normal"/>
        <w:spacing w:lineRule="auto" w:line="259" w:before="0" w:after="7"/>
        <w:ind w:left="101" w:hanging="0"/>
        <w:rPr>
          <w:lang w:val="en-US"/>
        </w:rPr>
      </w:pPr>
      <w:r>
        <w:rPr>
          <w:lang w:val="en-US"/>
        </w:rPr>
        <w:t xml:space="preserve"> </w:t>
      </w:r>
    </w:p>
    <w:p>
      <w:pPr>
        <w:pStyle w:val="Normal"/>
        <w:spacing w:lineRule="auto" w:line="237" w:before="0" w:after="4"/>
        <w:ind w:left="1541" w:right="78" w:hanging="725"/>
        <w:jc w:val="both"/>
        <w:rPr>
          <w:lang w:val="en-US"/>
        </w:rPr>
      </w:pPr>
      <w:r>
        <w:rPr>
          <w:lang w:val="en-US"/>
        </w:rPr>
        <w:t>6.1.</w:t>
      </w:r>
      <w:r>
        <w:rPr>
          <w:rFonts w:eastAsia="Arial" w:cs="Arial" w:ascii="Arial" w:hAnsi="Arial"/>
          <w:lang w:val="en-US"/>
        </w:rPr>
        <w:t xml:space="preserve"> </w:t>
      </w:r>
      <w:r>
        <w:rPr>
          <w:lang w:val="en-US"/>
        </w:rPr>
        <w:t>Provider may voluntarily action disclosure requests from non-designated government authorities in accordance with the processes detailed within this document,</w:t>
      </w:r>
      <w:r>
        <w:rPr>
          <w:strike/>
          <w:lang w:val="en-US"/>
        </w:rPr>
        <w:t xml:space="preserve"> </w:t>
      </w:r>
      <w:r>
        <w:rPr>
          <w:lang w:val="en-US"/>
        </w:rPr>
        <w:t xml:space="preserve">where such action does not conflict with national or international law(s). </w:t>
      </w:r>
    </w:p>
    <w:p>
      <w:pPr>
        <w:pStyle w:val="Normal"/>
        <w:spacing w:lineRule="auto" w:line="259" w:before="0" w:after="5"/>
        <w:ind w:left="821" w:hanging="0"/>
        <w:rPr>
          <w:lang w:val="en-US"/>
        </w:rPr>
      </w:pPr>
      <w:r>
        <w:rPr>
          <w:lang w:val="en-US"/>
        </w:rPr>
        <w:t xml:space="preserve"> </w:t>
      </w:r>
    </w:p>
    <w:p>
      <w:pPr>
        <w:pStyle w:val="Normal"/>
        <w:spacing w:lineRule="auto" w:line="237" w:before="0" w:after="4"/>
        <w:ind w:left="1541" w:right="78" w:hanging="725"/>
        <w:jc w:val="both"/>
        <w:rPr>
          <w:lang w:val="en-US"/>
        </w:rPr>
      </w:pPr>
      <w:r>
        <w:rPr>
          <w:lang w:val="en-US"/>
        </w:rPr>
        <w:t>6.2.</w:t>
      </w:r>
      <w:r>
        <w:rPr>
          <w:rFonts w:eastAsia="Arial" w:cs="Arial" w:ascii="Arial" w:hAnsi="Arial"/>
          <w:lang w:val="en-US"/>
        </w:rPr>
        <w:t xml:space="preserve"> </w:t>
      </w:r>
      <w:r>
        <w:rPr>
          <w:lang w:val="en-US"/>
        </w:rPr>
        <w:t xml:space="preserve">A LEA Requestor must comply with all applicable data protection laws and use any information disclosed to it solely for the purpose of determining whether further action on the issue is warranted, to contact the Customer, or in legal proceeding concerning the issue for which the request was made. </w:t>
      </w:r>
    </w:p>
    <w:p>
      <w:pPr>
        <w:pStyle w:val="Normal"/>
        <w:spacing w:lineRule="auto" w:line="259" w:before="0" w:after="5"/>
        <w:ind w:left="1541" w:hanging="0"/>
        <w:rPr>
          <w:lang w:val="en-US"/>
        </w:rPr>
      </w:pPr>
      <w:r>
        <w:rPr>
          <w:lang w:val="en-US"/>
        </w:rPr>
        <w:t xml:space="preserve"> </w:t>
      </w:r>
    </w:p>
    <w:p>
      <w:pPr>
        <w:pStyle w:val="Normal"/>
        <w:spacing w:lineRule="auto" w:line="237" w:before="0" w:after="4"/>
        <w:ind w:left="1541" w:right="78" w:hanging="725"/>
        <w:jc w:val="both"/>
        <w:rPr>
          <w:lang w:val="en-US"/>
        </w:rPr>
      </w:pPr>
      <w:r>
        <w:rPr>
          <w:lang w:val="en-US"/>
        </w:rPr>
        <w:t>6.3.</w:t>
      </w:r>
      <w:r>
        <w:rPr>
          <w:rFonts w:eastAsia="Arial" w:cs="Arial" w:ascii="Arial" w:hAnsi="Arial"/>
          <w:lang w:val="en-US"/>
        </w:rPr>
        <w:t xml:space="preserve"> </w:t>
      </w:r>
      <w:r>
        <w:rPr>
          <w:lang w:val="en-US"/>
        </w:rPr>
        <w:t xml:space="preserve">Customer notification should take place at the earliest opportunity, unless such disclosure would pose a risk to operational sensitivity; safety of individuals; or is prohibited by law or court order. Such circumstances must be detailed in the disclosure request. </w:t>
      </w:r>
    </w:p>
    <w:p>
      <w:pPr>
        <w:pStyle w:val="Normal"/>
        <w:spacing w:lineRule="auto" w:line="259" w:before="0" w:after="157"/>
        <w:ind w:left="101" w:hanging="0"/>
        <w:rPr>
          <w:lang w:val="en-US"/>
        </w:rPr>
      </w:pPr>
      <w:r>
        <w:rPr>
          <w:lang w:val="en-US"/>
        </w:rPr>
        <w:t xml:space="preserve"> </w:t>
      </w:r>
    </w:p>
    <w:p>
      <w:pPr>
        <w:pStyle w:val="Normal"/>
        <w:spacing w:lineRule="auto" w:line="259" w:before="0" w:after="0"/>
        <w:ind w:left="64" w:hanging="0"/>
        <w:jc w:val="center"/>
        <w:rPr>
          <w:lang w:val="en-US"/>
        </w:rPr>
      </w:pPr>
      <w:r>
        <w:rPr>
          <w:b/>
          <w:lang w:val="en-US"/>
        </w:rPr>
        <w:t xml:space="preserve"> </w:t>
      </w:r>
    </w:p>
    <w:p>
      <w:pPr>
        <w:pStyle w:val="Kop1"/>
        <w:spacing w:before="0" w:after="205"/>
        <w:ind w:left="129" w:right="119" w:hanging="10"/>
        <w:rPr>
          <w:lang w:val="en-US"/>
        </w:rPr>
      </w:pPr>
      <w:r>
        <w:rPr>
          <w:lang w:val="en-US"/>
        </w:rPr>
        <w:t xml:space="preserve">SPECIFICATION 5: INTELLECTUAL PROPERTY DISCLOSURE FRAMEWORK SPECIFICATION </w:t>
      </w:r>
    </w:p>
    <w:p>
      <w:pPr>
        <w:pStyle w:val="Normal"/>
        <w:spacing w:before="0" w:after="0"/>
        <w:ind w:left="111" w:right="10" w:hanging="10"/>
        <w:rPr>
          <w:lang w:val="en-US"/>
        </w:rPr>
      </w:pPr>
      <w:r>
        <w:rPr>
          <w:lang w:val="en-US"/>
        </w:rPr>
        <w:t xml:space="preserve">Provider shall implement and comply with the requirements set forth in this Intellectual Property Disclosure Framework Specification, as well as any commercially practical updates to this Specification that are developed by ICANN and the Working Group during the Term of this Agreement.  </w:t>
      </w:r>
    </w:p>
    <w:p>
      <w:pPr>
        <w:pStyle w:val="Normal"/>
        <w:spacing w:lineRule="auto" w:line="259" w:before="0" w:after="5"/>
        <w:ind w:left="101" w:hanging="0"/>
        <w:rPr>
          <w:lang w:val="en-US"/>
        </w:rPr>
      </w:pPr>
      <w:r>
        <w:rPr>
          <w:lang w:val="en-US"/>
        </w:rPr>
        <w:t xml:space="preserve"> </w:t>
      </w:r>
    </w:p>
    <w:p>
      <w:pPr>
        <w:pStyle w:val="Kop1"/>
        <w:spacing w:lineRule="auto" w:line="247" w:before="0" w:after="258"/>
        <w:ind w:left="103" w:hanging="10"/>
        <w:jc w:val="left"/>
        <w:rPr>
          <w:lang w:val="en-US"/>
        </w:rPr>
      </w:pPr>
      <w:r>
        <w:rPr>
          <w:lang w:val="en-US"/>
        </w:rPr>
        <w:t>1.</w:t>
      </w:r>
      <w:r>
        <w:rPr>
          <w:rFonts w:eastAsia="Arial" w:cs="Arial" w:ascii="Arial" w:hAnsi="Arial"/>
          <w:lang w:val="en-US"/>
        </w:rPr>
        <w:t xml:space="preserve"> </w:t>
      </w:r>
      <w:r>
        <w:rPr>
          <w:lang w:val="en-US"/>
        </w:rPr>
        <w:t xml:space="preserve">Provider Process for Intake of Requests </w:t>
      </w:r>
    </w:p>
    <w:p>
      <w:pPr>
        <w:pStyle w:val="Normal"/>
        <w:ind w:left="893" w:right="10" w:hanging="432"/>
        <w:rPr>
          <w:lang w:val="en-US"/>
        </w:rPr>
      </w:pPr>
      <w:r>
        <w:rPr>
          <w:lang w:val="en-US"/>
        </w:rPr>
        <w:t>1.1.</w:t>
      </w:r>
      <w:r>
        <w:rPr>
          <w:rFonts w:eastAsia="Arial" w:cs="Arial" w:ascii="Arial" w:hAnsi="Arial"/>
          <w:lang w:val="en-US"/>
        </w:rPr>
        <w:t xml:space="preserve"> </w:t>
      </w:r>
      <w:r>
        <w:rPr>
          <w:lang w:val="en-US"/>
        </w:rPr>
        <w:t xml:space="preserve">Provider will establish and publish a point of contact for submitting complaints that registration or use of a domain name for which the Provider provides privacy/proxy services infringes copyright or trademark rights of the Requester. The point of contact shall enable all the information described in Section 2 of this Specification to be submitted electronically, whether via email, through a web submission form, or similar means. Telephonic point of contact may also be provided. </w:t>
      </w:r>
    </w:p>
    <w:p>
      <w:pPr>
        <w:pStyle w:val="Normal"/>
        <w:ind w:left="893" w:right="10" w:hanging="432"/>
        <w:rPr>
          <w:lang w:val="en-US"/>
        </w:rPr>
      </w:pPr>
      <w:r>
        <w:rPr>
          <w:lang w:val="en-US"/>
        </w:rPr>
        <w:t>1.2.</w:t>
      </w:r>
      <w:r>
        <w:rPr>
          <w:rFonts w:eastAsia="Arial" w:cs="Arial" w:ascii="Arial" w:hAnsi="Arial"/>
          <w:lang w:val="en-US"/>
        </w:rPr>
        <w:t xml:space="preserve"> </w:t>
      </w:r>
      <w:r>
        <w:rPr>
          <w:lang w:val="en-US"/>
        </w:rPr>
        <w:t xml:space="preserve">Nothing in this document prevents a Provider from implementing measures to optimize or manage access to the Request submission process. This could include: </w:t>
      </w:r>
    </w:p>
    <w:p>
      <w:pPr>
        <w:pStyle w:val="Normal"/>
        <w:ind w:left="1325" w:right="10" w:hanging="504"/>
        <w:rPr>
          <w:lang w:val="en-US"/>
        </w:rPr>
      </w:pPr>
      <w:r>
        <w:rPr>
          <w:lang w:val="en-US"/>
        </w:rPr>
        <w:t>1.2.1.</w:t>
      </w:r>
      <w:r>
        <w:rPr>
          <w:rFonts w:eastAsia="Arial" w:cs="Arial" w:ascii="Arial" w:hAnsi="Arial"/>
          <w:lang w:val="en-US"/>
        </w:rPr>
        <w:t xml:space="preserve"> </w:t>
      </w:r>
      <w:r>
        <w:rPr>
          <w:lang w:val="en-US"/>
        </w:rPr>
        <w:t xml:space="preserve">Requiring Requesters to register themselves and/or their organizations with Provider. </w:t>
      </w:r>
    </w:p>
    <w:p>
      <w:pPr>
        <w:pStyle w:val="Normal"/>
        <w:ind w:left="1325" w:right="10" w:hanging="504"/>
        <w:rPr>
          <w:lang w:val="en-US"/>
        </w:rPr>
      </w:pPr>
      <w:r>
        <w:rPr>
          <w:lang w:val="en-US"/>
        </w:rPr>
        <w:t>1.2.2.</w:t>
      </w:r>
      <w:r>
        <w:rPr>
          <w:rFonts w:eastAsia="Arial" w:cs="Arial" w:ascii="Arial" w:hAnsi="Arial"/>
          <w:lang w:val="en-US"/>
        </w:rPr>
        <w:t xml:space="preserve"> </w:t>
      </w:r>
      <w:r>
        <w:rPr>
          <w:lang w:val="en-US"/>
        </w:rPr>
        <w:t xml:space="preserve">Authenticating complaint submissions as originating from a registered Requester (e.g., log- in, use of pre-identified e-mail address). </w:t>
      </w:r>
    </w:p>
    <w:p>
      <w:pPr>
        <w:pStyle w:val="Normal"/>
        <w:ind w:left="1325" w:right="10" w:hanging="504"/>
        <w:rPr>
          <w:lang w:val="en-US"/>
        </w:rPr>
      </w:pPr>
      <w:r>
        <w:rPr>
          <w:lang w:val="en-US"/>
        </w:rPr>
        <w:t>1.2.3.</w:t>
      </w:r>
      <w:r>
        <w:rPr>
          <w:rFonts w:eastAsia="Arial" w:cs="Arial" w:ascii="Arial" w:hAnsi="Arial"/>
          <w:lang w:val="en-US"/>
        </w:rPr>
        <w:t xml:space="preserve"> </w:t>
      </w:r>
      <w:r>
        <w:rPr>
          <w:lang w:val="en-US"/>
        </w:rPr>
        <w:t xml:space="preserve">Assessing a nominal cost-recovery fee for processing complaint submissions, or to maintain Requester account so long as this does not serve as an unreasonable barrier to access to the process. </w:t>
      </w:r>
    </w:p>
    <w:p>
      <w:pPr>
        <w:pStyle w:val="Normal"/>
        <w:ind w:left="1325" w:hanging="504"/>
        <w:rPr>
          <w:lang w:val="en-US"/>
        </w:rPr>
      </w:pPr>
      <w:r>
        <w:rPr>
          <w:lang w:val="en-US"/>
        </w:rPr>
        <w:t>1.2.4.</w:t>
      </w:r>
      <w:r>
        <w:rPr>
          <w:rFonts w:eastAsia="Arial" w:cs="Arial" w:ascii="Arial" w:hAnsi="Arial"/>
          <w:lang w:val="en-US"/>
        </w:rPr>
        <w:t xml:space="preserve"> </w:t>
      </w:r>
      <w:r>
        <w:rPr>
          <w:lang w:val="en-US"/>
        </w:rPr>
        <w:t xml:space="preserve">Qualifying Requesters meeting certain reliable criteria as “trusted Requesters” whose requests would be subject to a streamlined process. </w:t>
      </w:r>
    </w:p>
    <w:p>
      <w:pPr>
        <w:pStyle w:val="Normal"/>
        <w:ind w:left="1325" w:right="10" w:hanging="504"/>
        <w:rPr>
          <w:lang w:val="en-US"/>
        </w:rPr>
      </w:pPr>
      <w:r>
        <w:rPr>
          <w:lang w:val="en-US"/>
        </w:rPr>
        <w:t>1.2.5.</w:t>
      </w:r>
      <w:r>
        <w:rPr>
          <w:rFonts w:eastAsia="Arial" w:cs="Arial" w:ascii="Arial" w:hAnsi="Arial"/>
          <w:lang w:val="en-US"/>
        </w:rPr>
        <w:t xml:space="preserve"> </w:t>
      </w:r>
      <w:r>
        <w:rPr>
          <w:lang w:val="en-US"/>
        </w:rPr>
        <w:t xml:space="preserve">Revoking or blocking Requester access to the submission tool for egregious abuse of the tool or system, including submission of frivolous, vexatious, or harassing requests, or numerous Requests that are identical, i.e., that concern the same domain name, the same intellectual property, and the same Requester. </w:t>
      </w:r>
    </w:p>
    <w:p>
      <w:pPr>
        <w:pStyle w:val="Normal"/>
        <w:ind w:left="893" w:right="10" w:hanging="432"/>
        <w:rPr>
          <w:lang w:val="en-US"/>
        </w:rPr>
      </w:pPr>
      <w:r>
        <w:rPr>
          <w:lang w:val="en-US"/>
        </w:rPr>
        <w:t>1.3.</w:t>
      </w:r>
      <w:r>
        <w:rPr>
          <w:rFonts w:eastAsia="Arial" w:cs="Arial" w:ascii="Arial" w:hAnsi="Arial"/>
          <w:lang w:val="en-US"/>
        </w:rPr>
        <w:t xml:space="preserve"> </w:t>
      </w:r>
      <w:r>
        <w:rPr>
          <w:lang w:val="en-US"/>
        </w:rPr>
        <w:t xml:space="preserve">Nothing in this document prevents Providers from sharing information with one another regarding Requesters who have been revoked or blocked from their systems or who have engaged in misconduct under this Policy, including frivolous or harassing requests. </w:t>
      </w:r>
    </w:p>
    <w:p>
      <w:pPr>
        <w:pStyle w:val="Normal"/>
        <w:ind w:left="893" w:right="10" w:hanging="432"/>
        <w:rPr>
          <w:lang w:val="en-US"/>
        </w:rPr>
      </w:pPr>
      <w:r>
        <w:rPr>
          <w:lang w:val="en-US"/>
        </w:rPr>
        <w:t>1.4.</w:t>
      </w:r>
      <w:r>
        <w:rPr>
          <w:rFonts w:eastAsia="Arial" w:cs="Arial" w:ascii="Arial" w:hAnsi="Arial"/>
          <w:lang w:val="en-US"/>
        </w:rPr>
        <w:t xml:space="preserve"> </w:t>
      </w:r>
      <w:r>
        <w:rPr>
          <w:lang w:val="en-US"/>
        </w:rPr>
        <w:t xml:space="preserve">Nothing in this document prevents a Provider from adopting and implementing policies to publish the contact details of Customers in WHOIS, or to terminate privacy/proxy service to a Customer, for breach of Service Provider’s published Terms of Service, or on other grounds stated in the published Terms of Service, even if the criteria outlined in this document for a Request have not been met. </w:t>
      </w:r>
    </w:p>
    <w:p>
      <w:pPr>
        <w:pStyle w:val="Kop1"/>
        <w:spacing w:lineRule="auto" w:line="247" w:before="0" w:after="258"/>
        <w:ind w:left="103" w:hanging="10"/>
        <w:jc w:val="left"/>
        <w:rPr>
          <w:lang w:val="en-US"/>
        </w:rPr>
      </w:pPr>
      <w:r>
        <w:rPr>
          <w:lang w:val="en-US"/>
        </w:rPr>
        <w:t>2.</w:t>
      </w:r>
      <w:r>
        <w:rPr>
          <w:rFonts w:eastAsia="Arial" w:cs="Arial" w:ascii="Arial" w:hAnsi="Arial"/>
          <w:lang w:val="en-US"/>
        </w:rPr>
        <w:t xml:space="preserve"> </w:t>
      </w:r>
      <w:r>
        <w:rPr>
          <w:lang w:val="en-US"/>
        </w:rPr>
        <w:t xml:space="preserve">Request Templates for Disclosure </w:t>
      </w:r>
    </w:p>
    <w:p>
      <w:pPr>
        <w:pStyle w:val="Normal"/>
        <w:ind w:left="893" w:right="10" w:hanging="432"/>
        <w:rPr>
          <w:lang w:val="en-US"/>
        </w:rPr>
      </w:pPr>
      <w:r>
        <w:rPr>
          <w:lang w:val="en-US"/>
        </w:rPr>
        <w:t>2.1.</w:t>
      </w:r>
      <w:r>
        <w:rPr>
          <w:rFonts w:eastAsia="Arial" w:cs="Arial" w:ascii="Arial" w:hAnsi="Arial"/>
          <w:lang w:val="en-US"/>
        </w:rPr>
        <w:t xml:space="preserve"> </w:t>
      </w:r>
      <w:r>
        <w:rPr>
          <w:b/>
          <w:lang w:val="en-US"/>
        </w:rPr>
        <w:t xml:space="preserve">Where a domain name allegedly infringes a trademark.  </w:t>
      </w:r>
      <w:r>
        <w:rPr>
          <w:lang w:val="en-US"/>
        </w:rPr>
        <w:t>Requester provides to Provider verifiable evidence of wrongdoing, including:</w:t>
      </w:r>
      <w:r>
        <w:rPr>
          <w:b/>
          <w:lang w:val="en-US"/>
        </w:rPr>
        <w:t xml:space="preserve"> </w:t>
      </w:r>
    </w:p>
    <w:p>
      <w:pPr>
        <w:pStyle w:val="Normal"/>
        <w:ind w:left="831" w:right="10" w:hanging="10"/>
        <w:rPr>
          <w:lang w:val="en-US"/>
        </w:rPr>
      </w:pPr>
      <w:r>
        <w:rPr>
          <w:lang w:val="en-US"/>
        </w:rPr>
        <w:t>2.1.1.</w:t>
      </w:r>
      <w:r>
        <w:rPr>
          <w:rFonts w:eastAsia="Arial" w:cs="Arial" w:ascii="Arial" w:hAnsi="Arial"/>
          <w:lang w:val="en-US"/>
        </w:rPr>
        <w:t xml:space="preserve"> </w:t>
      </w:r>
      <w:r>
        <w:rPr>
          <w:lang w:val="en-US"/>
        </w:rPr>
        <w:t xml:space="preserve">The domain name that allegedly infringes the trademark; </w:t>
      </w:r>
    </w:p>
    <w:p>
      <w:pPr>
        <w:pStyle w:val="Normal"/>
        <w:ind w:left="1325" w:right="10" w:hanging="504"/>
        <w:rPr>
          <w:lang w:val="en-US"/>
        </w:rPr>
      </w:pPr>
      <w:r>
        <w:rPr>
          <w:lang w:val="en-US"/>
        </w:rPr>
        <w:t>2.1.2.</w:t>
      </w:r>
      <w:r>
        <w:rPr>
          <w:rFonts w:eastAsia="Arial" w:cs="Arial" w:ascii="Arial" w:hAnsi="Arial"/>
          <w:lang w:val="en-US"/>
        </w:rPr>
        <w:t xml:space="preserve"> </w:t>
      </w:r>
      <w:r>
        <w:rPr>
          <w:lang w:val="en-US"/>
        </w:rPr>
        <w:t xml:space="preserve">Evidence of previous use of a relay function (compliant with the relevant section of accreditation standards regarding Relay) to attempt to contact the Customer regarding the subject matter of the request, if any, and of any responses thereto, if any; </w:t>
      </w:r>
    </w:p>
    <w:p>
      <w:pPr>
        <w:pStyle w:val="Normal"/>
        <w:ind w:left="1325" w:right="10" w:hanging="504"/>
        <w:rPr>
          <w:lang w:val="en-US"/>
        </w:rPr>
      </w:pPr>
      <w:r>
        <w:rPr>
          <w:lang w:val="en-US"/>
        </w:rPr>
        <w:t>2.1.3.</w:t>
      </w:r>
      <w:r>
        <w:rPr>
          <w:rFonts w:eastAsia="Arial" w:cs="Arial" w:ascii="Arial" w:hAnsi="Arial"/>
          <w:lang w:val="en-US"/>
        </w:rPr>
        <w:t xml:space="preserve"> </w:t>
      </w:r>
      <w:r>
        <w:rPr>
          <w:lang w:val="en-US"/>
        </w:rPr>
        <w:t xml:space="preserve">Full name, physical address, email address, and telephone number of the trademark holder, and for legal entities, the country where incorporated or organized; </w:t>
      </w:r>
    </w:p>
    <w:p>
      <w:pPr>
        <w:pStyle w:val="Normal"/>
        <w:ind w:left="1325" w:right="10" w:hanging="504"/>
        <w:rPr>
          <w:lang w:val="en-US"/>
        </w:rPr>
      </w:pPr>
      <w:r>
        <w:rPr>
          <w:lang w:val="en-US"/>
        </w:rPr>
        <w:t>2.1.4.</w:t>
      </w:r>
      <w:r>
        <w:rPr>
          <w:rFonts w:eastAsia="Arial" w:cs="Arial" w:ascii="Arial" w:hAnsi="Arial"/>
          <w:lang w:val="en-US"/>
        </w:rPr>
        <w:t xml:space="preserve"> </w:t>
      </w:r>
      <w:r>
        <w:rPr>
          <w:lang w:val="en-US"/>
        </w:rPr>
        <w:t xml:space="preserve">Authorized legal contact for trademark holder and his/her name, title, law firm, if outside counsel, physical address, email address and telephone number for contact purposes; </w:t>
      </w:r>
    </w:p>
    <w:p>
      <w:pPr>
        <w:pStyle w:val="Normal"/>
        <w:ind w:left="1325" w:right="10" w:hanging="504"/>
        <w:rPr>
          <w:lang w:val="en-US"/>
        </w:rPr>
      </w:pPr>
      <w:r>
        <w:rPr>
          <w:lang w:val="en-US"/>
        </w:rPr>
        <w:t>2.1.5.</w:t>
      </w:r>
      <w:r>
        <w:rPr>
          <w:rFonts w:eastAsia="Arial" w:cs="Arial" w:ascii="Arial" w:hAnsi="Arial"/>
          <w:lang w:val="en-US"/>
        </w:rPr>
        <w:t xml:space="preserve"> </w:t>
      </w:r>
      <w:r>
        <w:rPr>
          <w:lang w:val="en-US"/>
        </w:rPr>
        <w:t xml:space="preserve">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 and the date of first use and/or of application and registration of the mark; and </w:t>
      </w:r>
    </w:p>
    <w:p>
      <w:pPr>
        <w:pStyle w:val="Normal"/>
        <w:ind w:left="1325" w:right="10" w:hanging="504"/>
        <w:rPr>
          <w:lang w:val="en-US"/>
        </w:rPr>
      </w:pPr>
      <w:r>
        <w:rPr>
          <w:lang w:val="en-US"/>
        </w:rPr>
        <w:t>2.1.6.</w:t>
      </w:r>
      <w:r>
        <w:rPr>
          <w:rFonts w:eastAsia="Arial" w:cs="Arial" w:ascii="Arial" w:hAnsi="Arial"/>
          <w:lang w:val="en-US"/>
        </w:rPr>
        <w:t xml:space="preserve"> </w:t>
      </w:r>
      <w:r>
        <w:rPr>
          <w:lang w:val="en-US"/>
        </w:rPr>
        <w:t xml:space="preserve">A good faith statement, either under penalty of perjury or notarized or accompanied by sworn statement, from either the trademark holder or an authorized representative of the trademark holder, that: </w:t>
      </w:r>
    </w:p>
    <w:p>
      <w:pPr>
        <w:pStyle w:val="Normal"/>
        <w:ind w:left="1829" w:right="84" w:hanging="648"/>
        <w:rPr>
          <w:lang w:val="en-US"/>
        </w:rPr>
      </w:pPr>
      <w:r>
        <w:rPr>
          <w:lang w:val="en-US"/>
        </w:rPr>
        <w:t>2.1.6.1.</w:t>
      </w:r>
      <w:r>
        <w:rPr>
          <w:rFonts w:eastAsia="Arial" w:cs="Arial" w:ascii="Arial" w:hAnsi="Arial"/>
          <w:lang w:val="en-US"/>
        </w:rPr>
        <w:t xml:space="preserve"> </w:t>
        <w:tab/>
      </w:r>
      <w:r>
        <w:rPr>
          <w:lang w:val="en-US"/>
        </w:rPr>
        <w:t xml:space="preserve">Provides a basis for reasonably believing that the use of the trademark in the domain name (i) allegedly infringes the trademark holder’s rights and (ii) is not defensible; </w:t>
      </w:r>
    </w:p>
    <w:p>
      <w:pPr>
        <w:pStyle w:val="Normal"/>
        <w:ind w:left="1829" w:right="10" w:hanging="648"/>
        <w:rPr>
          <w:lang w:val="en-US"/>
        </w:rPr>
      </w:pPr>
      <w:r>
        <w:rPr>
          <w:lang w:val="en-US"/>
        </w:rPr>
        <w:t>2.1.6.2.</w:t>
      </w:r>
      <w:r>
        <w:rPr>
          <w:rFonts w:eastAsia="Arial" w:cs="Arial" w:ascii="Arial" w:hAnsi="Arial"/>
          <w:lang w:val="en-US"/>
        </w:rPr>
        <w:t xml:space="preserve"> </w:t>
        <w:tab/>
      </w:r>
      <w:r>
        <w:rPr>
          <w:lang w:val="en-US"/>
        </w:rPr>
        <w:t xml:space="preserve">States that Requester will comply with all applicable data protection laws while retaining Customer’s contact details and will use Customer’s contact details only (i) to determine where further action is warranted to resolve the issue, (ii) to attempt to contact Customer regarding the issue, or (iii) in a legal proceeding concerning the issue; and </w:t>
      </w:r>
    </w:p>
    <w:p>
      <w:pPr>
        <w:pStyle w:val="Normal"/>
        <w:ind w:left="1829" w:right="10" w:hanging="648"/>
        <w:rPr>
          <w:lang w:val="en-US"/>
        </w:rPr>
      </w:pPr>
      <w:r>
        <w:rPr>
          <w:lang w:val="en-US"/>
        </w:rPr>
        <w:t>2.1.6.3.</w:t>
      </w:r>
      <w:r>
        <w:rPr>
          <w:rFonts w:eastAsia="Arial" w:cs="Arial" w:ascii="Arial" w:hAnsi="Arial"/>
          <w:lang w:val="en-US"/>
        </w:rPr>
        <w:t xml:space="preserve"> </w:t>
        <w:tab/>
      </w:r>
      <w:r>
        <w:rPr>
          <w:lang w:val="en-US"/>
        </w:rPr>
        <w:t xml:space="preserve">Agrees that the Requester and trademark holder will submit, without prejudice to other potentially applicable jurisdictions, to the jurisdiction of </w:t>
      </w:r>
    </w:p>
    <w:p>
      <w:pPr>
        <w:pStyle w:val="Normal"/>
        <w:ind w:left="1839" w:right="10" w:hanging="10"/>
        <w:rPr>
          <w:lang w:val="en-US"/>
        </w:rPr>
      </w:pPr>
      <w:r>
        <w:rPr>
          <w:lang w:val="en-US"/>
        </w:rPr>
        <w:t xml:space="preserve">the courts (i) where it is incorporated (or of its home address, if an individual), and (ii) where the Provider specifies on its request form, solely for disputes arising from alleged improper disclosures caused by knowingly false statements made by the Requester, or from Requester’s and/or trademark holder’s knowing misuse of information disclosed to it in response to its request. </w:t>
      </w:r>
    </w:p>
    <w:p>
      <w:pPr>
        <w:pStyle w:val="Normal"/>
        <w:ind w:left="1325" w:right="10" w:hanging="504"/>
        <w:rPr>
          <w:lang w:val="en-US"/>
        </w:rPr>
      </w:pPr>
      <w:r>
        <w:rPr>
          <w:lang w:val="en-US"/>
        </w:rPr>
        <w:t>2.1.7.</w:t>
      </w:r>
      <w:r>
        <w:rPr>
          <w:rFonts w:eastAsia="Arial" w:cs="Arial" w:ascii="Arial" w:hAnsi="Arial"/>
          <w:lang w:val="en-US"/>
        </w:rPr>
        <w:t xml:space="preserve"> </w:t>
      </w:r>
      <w:r>
        <w:rPr>
          <w:lang w:val="en-US"/>
        </w:rPr>
        <w:t xml:space="preserve">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 </w:t>
      </w:r>
    </w:p>
    <w:p>
      <w:pPr>
        <w:pStyle w:val="Normal"/>
        <w:ind w:left="1325" w:right="10" w:hanging="504"/>
        <w:rPr>
          <w:lang w:val="en-US"/>
        </w:rPr>
      </w:pPr>
      <w:r>
        <w:rPr>
          <w:lang w:val="en-US"/>
        </w:rPr>
        <w:t>2.1.8.</w:t>
      </w:r>
      <w:r>
        <w:rPr>
          <w:rFonts w:eastAsia="Arial" w:cs="Arial" w:ascii="Arial" w:hAnsi="Arial"/>
          <w:lang w:val="en-US"/>
        </w:rPr>
        <w:t xml:space="preserve"> </w:t>
      </w:r>
      <w:r>
        <w:rPr>
          <w:lang w:val="en-US"/>
        </w:rPr>
        <w:t xml:space="preserve">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 </w:t>
      </w:r>
    </w:p>
    <w:p>
      <w:pPr>
        <w:pStyle w:val="Normal"/>
        <w:ind w:left="893" w:right="10" w:hanging="432"/>
        <w:rPr>
          <w:lang w:val="en-US"/>
        </w:rPr>
      </w:pPr>
      <w:r>
        <w:rPr>
          <w:lang w:val="en-US"/>
        </w:rPr>
        <w:t>2.2.</w:t>
      </w:r>
      <w:r>
        <w:rPr>
          <w:rFonts w:eastAsia="Arial" w:cs="Arial" w:ascii="Arial" w:hAnsi="Arial"/>
          <w:lang w:val="en-US"/>
        </w:rPr>
        <w:t xml:space="preserve"> </w:t>
      </w:r>
      <w:r>
        <w:rPr>
          <w:b/>
          <w:lang w:val="en-US"/>
        </w:rPr>
        <w:t xml:space="preserve">Domain Name Resolves to Website Where Copyright Is Allegedly Infringed.  </w:t>
      </w:r>
      <w:r>
        <w:rPr>
          <w:lang w:val="en-US"/>
        </w:rPr>
        <w:t>Requester provides to Provider verifiable evidence of wrongdoing, including:</w:t>
      </w:r>
      <w:r>
        <w:rPr>
          <w:b/>
          <w:lang w:val="en-US"/>
        </w:rPr>
        <w:t xml:space="preserve"> </w:t>
      </w:r>
    </w:p>
    <w:p>
      <w:pPr>
        <w:pStyle w:val="Normal"/>
        <w:ind w:left="1325" w:right="10" w:hanging="504"/>
        <w:rPr>
          <w:lang w:val="en-US"/>
        </w:rPr>
      </w:pPr>
      <w:r>
        <w:rPr>
          <w:lang w:val="en-US"/>
        </w:rPr>
        <w:t>2.2.1.</w:t>
      </w:r>
      <w:r>
        <w:rPr>
          <w:rFonts w:eastAsia="Arial" w:cs="Arial" w:ascii="Arial" w:hAnsi="Arial"/>
          <w:lang w:val="en-US"/>
        </w:rPr>
        <w:t xml:space="preserve"> </w:t>
      </w:r>
      <w:r>
        <w:rPr>
          <w:lang w:val="en-US"/>
        </w:rPr>
        <w:t xml:space="preserve">The exact URL where the allegedly infringing work or infringing activity is located, or a representative sample of where such work or activity is located; </w:t>
      </w:r>
    </w:p>
    <w:p>
      <w:pPr>
        <w:pStyle w:val="Normal"/>
        <w:ind w:left="1325" w:right="10" w:hanging="504"/>
        <w:rPr>
          <w:lang w:val="en-US"/>
        </w:rPr>
      </w:pPr>
      <w:r>
        <w:rPr>
          <w:lang w:val="en-US"/>
        </w:rPr>
        <w:t>2.2.2.</w:t>
      </w:r>
      <w:r>
        <w:rPr>
          <w:rFonts w:eastAsia="Arial" w:cs="Arial" w:ascii="Arial" w:hAnsi="Arial"/>
          <w:lang w:val="en-US"/>
        </w:rPr>
        <w:t xml:space="preserve"> </w:t>
      </w:r>
      <w:r>
        <w:rPr>
          <w:lang w:val="en-US"/>
        </w:rPr>
        <w:t xml:space="preserve">Evidence of previous use of a relay function (compliant with the relevant section of accreditation standards regarding Relay) to attempt to contact the Customer with regard to the subject matter of the request, if any, and of any responses thereto, if any. Requesters are also encouraged (but not required under this Policy) to provide evidence of previous attempts to contact the web host or the domain name registrar with regard to the subject matter of the request, if any, and of any responses thereto, if any; </w:t>
      </w:r>
    </w:p>
    <w:p>
      <w:pPr>
        <w:pStyle w:val="Normal"/>
        <w:ind w:left="1325" w:right="10" w:hanging="504"/>
        <w:rPr>
          <w:lang w:val="en-US"/>
        </w:rPr>
      </w:pPr>
      <w:r>
        <w:rPr>
          <w:lang w:val="en-US"/>
        </w:rPr>
        <w:t>2.2.3.</w:t>
      </w:r>
      <w:r>
        <w:rPr>
          <w:rFonts w:eastAsia="Arial" w:cs="Arial" w:ascii="Arial" w:hAnsi="Arial"/>
          <w:lang w:val="en-US"/>
        </w:rPr>
        <w:t xml:space="preserve"> </w:t>
      </w:r>
      <w:r>
        <w:rPr>
          <w:lang w:val="en-US"/>
        </w:rPr>
        <w:t xml:space="preserve">Full name, physical address, email address, and telephone number of the copyright holder; and for legal entities, the country where incorporated or organized; </w:t>
      </w:r>
    </w:p>
    <w:p>
      <w:pPr>
        <w:pStyle w:val="Normal"/>
        <w:ind w:left="1325" w:right="10" w:hanging="504"/>
        <w:rPr>
          <w:lang w:val="en-US"/>
        </w:rPr>
      </w:pPr>
      <w:r>
        <w:rPr>
          <w:lang w:val="en-US"/>
        </w:rPr>
        <w:t>2.2.4.</w:t>
      </w:r>
      <w:r>
        <w:rPr>
          <w:rFonts w:eastAsia="Arial" w:cs="Arial" w:ascii="Arial" w:hAnsi="Arial"/>
          <w:lang w:val="en-US"/>
        </w:rPr>
        <w:t xml:space="preserve"> </w:t>
      </w:r>
      <w:r>
        <w:rPr>
          <w:lang w:val="en-US"/>
        </w:rPr>
        <w:t xml:space="preserve">Authorized legal contact for the copyright holder and his/her name, law firm, if outside counsel, physical address, email address and telephone number for contact purposes; </w:t>
      </w:r>
    </w:p>
    <w:p>
      <w:pPr>
        <w:pStyle w:val="Normal"/>
        <w:ind w:left="1325" w:right="10" w:hanging="504"/>
        <w:rPr>
          <w:lang w:val="en-US"/>
        </w:rPr>
      </w:pPr>
      <w:r>
        <w:rPr>
          <w:lang w:val="en-US"/>
        </w:rPr>
        <w:t>2.2.5.</w:t>
      </w:r>
      <w:r>
        <w:rPr>
          <w:rFonts w:eastAsia="Arial" w:cs="Arial" w:ascii="Arial" w:hAnsi="Arial"/>
          <w:lang w:val="en-US"/>
        </w:rPr>
        <w:t xml:space="preserve"> </w:t>
      </w:r>
      <w:r>
        <w:rPr>
          <w:lang w:val="en-US"/>
        </w:rPr>
        <w:t xml:space="preserve">Information reasonably sufficient to identify the copyrighted work, which may include, where applicable, the copyright registration number, and the country where the copyright is registered; </w:t>
      </w:r>
    </w:p>
    <w:p>
      <w:pPr>
        <w:pStyle w:val="Normal"/>
        <w:ind w:left="1325" w:right="10" w:hanging="504"/>
        <w:rPr>
          <w:lang w:val="en-US"/>
        </w:rPr>
      </w:pPr>
      <w:r>
        <w:rPr>
          <w:lang w:val="en-US"/>
        </w:rPr>
        <w:t>2.2.6.</w:t>
        <w:tab/>
        <w:t xml:space="preserve">If possible, the exact URL where the original content is located (if online content) or where the claim can be verified; and </w:t>
      </w:r>
    </w:p>
    <w:p>
      <w:pPr>
        <w:pStyle w:val="Normal"/>
        <w:ind w:left="1325" w:right="10" w:hanging="504"/>
        <w:rPr>
          <w:lang w:val="en-US"/>
        </w:rPr>
      </w:pPr>
      <w:r>
        <w:rPr>
          <w:lang w:val="en-US"/>
        </w:rPr>
        <w:t>2.2.7.</w:t>
      </w:r>
      <w:r>
        <w:rPr>
          <w:rFonts w:eastAsia="Arial" w:cs="Arial" w:ascii="Arial" w:hAnsi="Arial"/>
          <w:lang w:val="en-US"/>
        </w:rPr>
        <w:t xml:space="preserve"> </w:t>
      </w:r>
      <w:r>
        <w:rPr>
          <w:lang w:val="en-US"/>
        </w:rPr>
        <w:t xml:space="preserve">A good faith statement, either under penalty of perjury or notarized or accompanied by sworn statement, from either the copyright holder or an authorized representative of the copyright holder, that: </w:t>
      </w:r>
    </w:p>
    <w:p>
      <w:pPr>
        <w:pStyle w:val="Normal"/>
        <w:ind w:left="1829" w:right="10" w:hanging="648"/>
        <w:rPr>
          <w:lang w:val="en-US"/>
        </w:rPr>
      </w:pPr>
      <w:r>
        <w:rPr>
          <w:lang w:val="en-US"/>
        </w:rPr>
        <w:t>2.2.7.1.</w:t>
      </w:r>
      <w:r>
        <w:rPr>
          <w:rFonts w:eastAsia="Arial" w:cs="Arial" w:ascii="Arial" w:hAnsi="Arial"/>
          <w:lang w:val="en-US"/>
        </w:rPr>
        <w:t xml:space="preserve"> </w:t>
        <w:tab/>
      </w:r>
      <w:r>
        <w:rPr>
          <w:lang w:val="en-US"/>
        </w:rPr>
        <w:t xml:space="preserve">Provides a basis for reasonably believing that the use of the copyright content on the website (i) infringes the copyright holder’s rights and (ii) is not defensible. </w:t>
      </w:r>
    </w:p>
    <w:p>
      <w:pPr>
        <w:pStyle w:val="Normal"/>
        <w:ind w:left="1829" w:right="10" w:hanging="648"/>
        <w:rPr>
          <w:lang w:val="en-US"/>
        </w:rPr>
      </w:pPr>
      <w:r>
        <w:rPr>
          <w:lang w:val="en-US"/>
        </w:rPr>
        <w:t>2.2.7.2.</w:t>
      </w:r>
      <w:r>
        <w:rPr>
          <w:rFonts w:eastAsia="Arial" w:cs="Arial" w:ascii="Arial" w:hAnsi="Arial"/>
          <w:lang w:val="en-US"/>
        </w:rPr>
        <w:t xml:space="preserve"> </w:t>
        <w:tab/>
      </w:r>
      <w:r>
        <w:rPr>
          <w:lang w:val="en-US"/>
        </w:rPr>
        <w:t xml:space="preserve">Provides a basis for reasonably believing that the copyright protection extends to the locale the website targets; </w:t>
      </w:r>
    </w:p>
    <w:p>
      <w:pPr>
        <w:pStyle w:val="Normal"/>
        <w:ind w:left="1829" w:right="10" w:hanging="648"/>
        <w:rPr>
          <w:lang w:val="en-US"/>
        </w:rPr>
      </w:pPr>
      <w:r>
        <w:rPr>
          <w:lang w:val="en-US"/>
        </w:rPr>
        <w:t>2.2.7.3.</w:t>
      </w:r>
      <w:r>
        <w:rPr>
          <w:rFonts w:eastAsia="Arial" w:cs="Arial" w:ascii="Arial" w:hAnsi="Arial"/>
          <w:lang w:val="en-US"/>
        </w:rPr>
        <w:t xml:space="preserve"> </w:t>
        <w:tab/>
      </w:r>
      <w:r>
        <w:rPr>
          <w:lang w:val="en-US"/>
        </w:rPr>
        <w:t xml:space="preserve">States that Requester will comply with all applicable data protection laws while retaining Customer’s contact details and will use Customer’s contact details only (i) to determine whether further action is warranted to resolve the issue, (ii) to attempt to contact Customer regarding the issue; or (iii) in a legal proceeding concerning the issue; and </w:t>
      </w:r>
    </w:p>
    <w:p>
      <w:pPr>
        <w:pStyle w:val="Normal"/>
        <w:ind w:left="1829" w:right="83" w:hanging="648"/>
        <w:rPr>
          <w:lang w:val="en-US"/>
        </w:rPr>
      </w:pPr>
      <w:r>
        <w:rPr>
          <w:lang w:val="en-US"/>
        </w:rPr>
        <w:t>2.2.7.4.</w:t>
      </w:r>
      <w:r>
        <w:rPr>
          <w:rFonts w:eastAsia="Arial" w:cs="Arial" w:ascii="Arial" w:hAnsi="Arial"/>
          <w:lang w:val="en-US"/>
        </w:rPr>
        <w:t xml:space="preserve"> </w:t>
        <w:tab/>
      </w:r>
      <w:r>
        <w:rPr>
          <w:lang w:val="en-US"/>
        </w:rPr>
        <w:t xml:space="preserve">Agrees that the Requester and the copyright holder will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copyright holder’s knowing misuse of information disclosed to it in response to its request. </w:t>
      </w:r>
    </w:p>
    <w:p>
      <w:pPr>
        <w:pStyle w:val="Normal"/>
        <w:ind w:left="1325" w:right="10" w:hanging="504"/>
        <w:rPr>
          <w:lang w:val="en-US"/>
        </w:rPr>
      </w:pPr>
      <w:r>
        <w:rPr>
          <w:lang w:val="en-US"/>
        </w:rPr>
        <w:t>2.2.8.</w:t>
      </w:r>
      <w:r>
        <w:rPr>
          <w:rFonts w:eastAsia="Arial" w:cs="Arial" w:ascii="Arial" w:hAnsi="Arial"/>
          <w:lang w:val="en-US"/>
        </w:rPr>
        <w:t xml:space="preserve"> </w:t>
      </w:r>
      <w:r>
        <w:rPr>
          <w:lang w:val="en-US"/>
        </w:rPr>
        <w:t xml:space="preserve">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 </w:t>
      </w:r>
    </w:p>
    <w:p>
      <w:pPr>
        <w:pStyle w:val="Normal"/>
        <w:ind w:left="1325" w:right="10" w:hanging="504"/>
        <w:rPr>
          <w:lang w:val="en-US"/>
        </w:rPr>
      </w:pPr>
      <w:r>
        <w:rPr>
          <w:lang w:val="en-US"/>
        </w:rPr>
        <w:t>2.2.9.</w:t>
      </w:r>
      <w:r>
        <w:rPr>
          <w:rFonts w:eastAsia="Arial" w:cs="Arial" w:ascii="Arial" w:hAnsi="Arial"/>
          <w:lang w:val="en-US"/>
        </w:rPr>
        <w:t xml:space="preserve"> </w:t>
      </w:r>
      <w:r>
        <w:rPr>
          <w:lang w:val="en-US"/>
        </w:rPr>
        <w:t xml:space="preserve">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 </w:t>
      </w:r>
    </w:p>
    <w:p>
      <w:pPr>
        <w:pStyle w:val="Normal"/>
        <w:ind w:left="893" w:right="10" w:hanging="432"/>
        <w:rPr>
          <w:lang w:val="en-US"/>
        </w:rPr>
      </w:pPr>
      <w:r>
        <w:rPr>
          <w:lang w:val="en-US"/>
        </w:rPr>
        <w:t>2.3.</w:t>
      </w:r>
      <w:r>
        <w:rPr>
          <w:rFonts w:eastAsia="Arial" w:cs="Arial" w:ascii="Arial" w:hAnsi="Arial"/>
          <w:lang w:val="en-US"/>
        </w:rPr>
        <w:t xml:space="preserve"> </w:t>
      </w:r>
      <w:commentRangeStart w:id="22"/>
      <w:r>
        <w:rPr>
          <w:b/>
          <w:lang w:val="en-US"/>
        </w:rPr>
        <w:t xml:space="preserve">Domain Name Resolves to Website Where Trademark Is Allegedly Infringed.  </w:t>
      </w:r>
      <w:r>
        <w:rPr>
          <w:b/>
          <w:lang w:val="en-US"/>
        </w:rPr>
      </w:r>
      <w:commentRangeEnd w:id="22"/>
      <w:r>
        <w:commentReference w:id="22"/>
      </w:r>
      <w:r>
        <w:rPr>
          <w:lang w:val="en-US"/>
        </w:rPr>
        <w:t>Requester provides to Provider verifiable evidence of wrongdoing, including:</w:t>
      </w:r>
      <w:r>
        <w:rPr>
          <w:b/>
          <w:lang w:val="en-US"/>
        </w:rPr>
        <w:t xml:space="preserve"> </w:t>
      </w:r>
    </w:p>
    <w:p>
      <w:pPr>
        <w:pStyle w:val="Normal"/>
        <w:ind w:left="831" w:right="10" w:hanging="10"/>
        <w:rPr>
          <w:lang w:val="en-US"/>
        </w:rPr>
      </w:pPr>
      <w:r>
        <w:rPr>
          <w:lang w:val="en-US"/>
        </w:rPr>
        <w:t>2.3.1.</w:t>
      </w:r>
      <w:r>
        <w:rPr>
          <w:rFonts w:eastAsia="Arial" w:cs="Arial" w:ascii="Arial" w:hAnsi="Arial"/>
          <w:lang w:val="en-US"/>
        </w:rPr>
        <w:t xml:space="preserve"> </w:t>
      </w:r>
      <w:r>
        <w:rPr>
          <w:lang w:val="en-US"/>
        </w:rPr>
        <w:t xml:space="preserve">The exact URL where the allegedly infringing content is located; </w:t>
      </w:r>
    </w:p>
    <w:p>
      <w:pPr>
        <w:pStyle w:val="Normal"/>
        <w:ind w:left="1325" w:right="10" w:hanging="504"/>
        <w:rPr>
          <w:lang w:val="en-US"/>
        </w:rPr>
      </w:pPr>
      <w:r>
        <w:rPr>
          <w:lang w:val="en-US"/>
        </w:rPr>
        <w:t>2.3.2.</w:t>
        <w:tab/>
        <w:t xml:space="preserve">Evidence of previous use of a relay function (compliant with the relevant section of accreditation standards regarding Relay) to attempt to contact the Customer with regard to the subject matter of the request, if any, and of any responses thereto, if any. Requesters are also encouraged (but not required under this Policy) to provide evidence of previous attempts to contact the web host or the domain name registrar with regard to the subject matter of the request, if any, and of any responses thereto, if any; </w:t>
      </w:r>
    </w:p>
    <w:p>
      <w:pPr>
        <w:pStyle w:val="Normal"/>
        <w:ind w:left="1325" w:right="10" w:hanging="504"/>
        <w:rPr>
          <w:lang w:val="en-US"/>
        </w:rPr>
      </w:pPr>
      <w:r>
        <w:rPr>
          <w:lang w:val="en-US"/>
        </w:rPr>
        <w:t>2.3.3.</w:t>
      </w:r>
      <w:r>
        <w:rPr>
          <w:rFonts w:eastAsia="Arial" w:cs="Arial" w:ascii="Arial" w:hAnsi="Arial"/>
          <w:lang w:val="en-US"/>
        </w:rPr>
        <w:t xml:space="preserve"> </w:t>
      </w:r>
      <w:r>
        <w:rPr>
          <w:lang w:val="en-US"/>
        </w:rPr>
        <w:t xml:space="preserve">Full name, physical address, email address, and telephone number of the trademark holder; and for legal entities, the country where incorporated or organized; </w:t>
      </w:r>
    </w:p>
    <w:p>
      <w:pPr>
        <w:pStyle w:val="Normal"/>
        <w:ind w:left="1325" w:right="10" w:hanging="504"/>
        <w:rPr>
          <w:lang w:val="en-US"/>
        </w:rPr>
      </w:pPr>
      <w:r>
        <w:rPr>
          <w:lang w:val="en-US"/>
        </w:rPr>
        <w:t>2.3.4.</w:t>
      </w:r>
      <w:r>
        <w:rPr>
          <w:rFonts w:eastAsia="Arial" w:cs="Arial" w:ascii="Arial" w:hAnsi="Arial"/>
          <w:lang w:val="en-US"/>
        </w:rPr>
        <w:t xml:space="preserve"> </w:t>
      </w:r>
      <w:r>
        <w:rPr>
          <w:lang w:val="en-US"/>
        </w:rPr>
        <w:t xml:space="preserve">Authorized legal contact for the trademark holder and his/her name, law firm, if outside counsel, physical address, email address and telephone number for contact purposes; </w:t>
      </w:r>
    </w:p>
    <w:p>
      <w:pPr>
        <w:pStyle w:val="Normal"/>
        <w:ind w:left="1325" w:right="10" w:hanging="504"/>
        <w:rPr>
          <w:lang w:val="en-US"/>
        </w:rPr>
      </w:pPr>
      <w:r>
        <w:rPr>
          <w:lang w:val="en-US"/>
        </w:rPr>
        <w:t>2.3.5.</w:t>
      </w:r>
      <w:r>
        <w:rPr>
          <w:rFonts w:eastAsia="Arial" w:cs="Arial" w:ascii="Arial" w:hAnsi="Arial"/>
          <w:lang w:val="en-US"/>
        </w:rPr>
        <w:t xml:space="preserve"> </w:t>
      </w:r>
      <w:r>
        <w:rPr>
          <w:lang w:val="en-US"/>
        </w:rPr>
        <w:t xml:space="preserve">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 and the date of first use and/or of application and registration of the mark; and </w:t>
      </w:r>
    </w:p>
    <w:p>
      <w:pPr>
        <w:pStyle w:val="Normal"/>
        <w:ind w:left="1325" w:right="10" w:hanging="504"/>
        <w:rPr>
          <w:lang w:val="en-US"/>
        </w:rPr>
      </w:pPr>
      <w:r>
        <w:rPr>
          <w:lang w:val="en-US"/>
        </w:rPr>
        <w:t>2.3.6.</w:t>
      </w:r>
      <w:r>
        <w:rPr>
          <w:rFonts w:eastAsia="Arial" w:cs="Arial" w:ascii="Arial" w:hAnsi="Arial"/>
          <w:lang w:val="en-US"/>
        </w:rPr>
        <w:t xml:space="preserve"> </w:t>
      </w:r>
      <w:r>
        <w:rPr>
          <w:lang w:val="en-US"/>
        </w:rPr>
        <w:t xml:space="preserve">A good faith statement, either under penalty of perjury or notarized or accompanied by sworn statement, from either the trademark holder or an authorized representative of the trademark holder, that: </w:t>
      </w:r>
    </w:p>
    <w:p>
      <w:pPr>
        <w:pStyle w:val="Normal"/>
        <w:ind w:left="1829" w:right="86" w:hanging="648"/>
        <w:rPr>
          <w:lang w:val="en-US"/>
        </w:rPr>
      </w:pPr>
      <w:r>
        <w:rPr>
          <w:lang w:val="en-US"/>
        </w:rPr>
        <w:t>2.3.6.1.</w:t>
      </w:r>
      <w:r>
        <w:rPr>
          <w:rFonts w:eastAsia="Arial" w:cs="Arial" w:ascii="Arial" w:hAnsi="Arial"/>
          <w:lang w:val="en-US"/>
        </w:rPr>
        <w:t xml:space="preserve"> </w:t>
        <w:tab/>
      </w:r>
      <w:r>
        <w:rPr>
          <w:lang w:val="en-US"/>
        </w:rPr>
        <w:t xml:space="preserve">Provides a reasonable basis for believing that the use of the trademark on the website (i) infringes the trademark holder’s rights and (ii) is not defensible. </w:t>
      </w:r>
    </w:p>
    <w:p>
      <w:pPr>
        <w:pStyle w:val="Normal"/>
        <w:ind w:left="1829" w:right="77" w:hanging="648"/>
        <w:rPr>
          <w:lang w:val="en-US"/>
        </w:rPr>
      </w:pPr>
      <w:r>
        <w:rPr>
          <w:lang w:val="en-US"/>
        </w:rPr>
        <w:t>2.3.6.2.</w:t>
      </w:r>
      <w:r>
        <w:rPr>
          <w:rFonts w:eastAsia="Arial" w:cs="Arial" w:ascii="Arial" w:hAnsi="Arial"/>
          <w:lang w:val="en-US"/>
        </w:rPr>
        <w:t xml:space="preserve"> </w:t>
        <w:tab/>
      </w:r>
      <w:r>
        <w:rPr>
          <w:lang w:val="en-US"/>
        </w:rPr>
        <w:t xml:space="preserve">States that Requester will comply with all applicable data protection laws while retaining Customer’s contact details and will use Customer’s contact details only (i) to determine whether further action is warranted to resolve the issue, (ii) to attempt to contact Customer regarding the issue or (iii) in a legal proceeding concerning the issue; and </w:t>
      </w:r>
    </w:p>
    <w:p>
      <w:pPr>
        <w:pStyle w:val="Normal"/>
        <w:ind w:left="1829" w:right="83" w:hanging="648"/>
        <w:rPr>
          <w:lang w:val="en-US"/>
        </w:rPr>
      </w:pPr>
      <w:r>
        <w:rPr>
          <w:lang w:val="en-US"/>
        </w:rPr>
        <w:t>2.3.6.3.</w:t>
      </w:r>
      <w:r>
        <w:rPr>
          <w:rFonts w:eastAsia="Arial" w:cs="Arial" w:ascii="Arial" w:hAnsi="Arial"/>
          <w:lang w:val="en-US"/>
        </w:rPr>
        <w:t xml:space="preserve"> </w:t>
        <w:tab/>
      </w:r>
      <w:r>
        <w:rPr>
          <w:lang w:val="en-US"/>
        </w:rPr>
        <w:t xml:space="preserve">Agrees that the Requester and the trademark holder will submit, without prejudice to other potentially applicable jurisdictions, to the jurisdiction of the courts (1) where it is incorporated (or of its home address, if an individual), and (2) where the Provider specifies on its request form, solely for disputes arising from alleged improper disclosures caused by knowingly false statements made by the Requester, or from Requester’s and/or the trademark holder’s knowing misuse of information disclosed to it in response to its request. </w:t>
      </w:r>
    </w:p>
    <w:p>
      <w:pPr>
        <w:pStyle w:val="Normal"/>
        <w:ind w:left="1325" w:right="10" w:hanging="504"/>
        <w:rPr>
          <w:lang w:val="en-US"/>
        </w:rPr>
      </w:pPr>
      <w:r>
        <w:rPr>
          <w:lang w:val="en-US"/>
        </w:rPr>
        <w:t>2.3.7.</w:t>
        <w:tab/>
        <w:t xml:space="preserve">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 </w:t>
      </w:r>
    </w:p>
    <w:p>
      <w:pPr>
        <w:pStyle w:val="Normal"/>
        <w:ind w:left="1325" w:right="10" w:hanging="504"/>
        <w:rPr>
          <w:lang w:val="en-US"/>
        </w:rPr>
      </w:pPr>
      <w:r>
        <w:rPr>
          <w:lang w:val="en-US"/>
        </w:rPr>
        <w:t>2.3.8.</w:t>
      </w:r>
      <w:r>
        <w:rPr>
          <w:rFonts w:eastAsia="Arial" w:cs="Arial" w:ascii="Arial" w:hAnsi="Arial"/>
          <w:lang w:val="en-US"/>
        </w:rPr>
        <w:t xml:space="preserve"> </w:t>
      </w:r>
      <w:r>
        <w:rPr>
          <w:lang w:val="en-US"/>
        </w:rPr>
        <w:t xml:space="preserve">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 </w:t>
      </w:r>
    </w:p>
    <w:p>
      <w:pPr>
        <w:pStyle w:val="Kop1"/>
        <w:spacing w:lineRule="auto" w:line="247" w:before="0" w:after="258"/>
        <w:ind w:left="103" w:hanging="10"/>
        <w:jc w:val="left"/>
        <w:rPr>
          <w:lang w:val="en-US"/>
        </w:rPr>
      </w:pPr>
      <w:r>
        <w:rPr>
          <w:lang w:val="en-US"/>
        </w:rPr>
        <w:t>3.</w:t>
      </w:r>
      <w:r>
        <w:rPr>
          <w:rFonts w:eastAsia="Arial" w:cs="Arial" w:ascii="Arial" w:hAnsi="Arial"/>
          <w:lang w:val="en-US"/>
        </w:rPr>
        <w:t xml:space="preserve"> </w:t>
      </w:r>
      <w:r>
        <w:rPr>
          <w:lang w:val="en-US"/>
        </w:rPr>
        <w:t xml:space="preserve">Provider Action on Request </w:t>
      </w:r>
    </w:p>
    <w:p>
      <w:pPr>
        <w:pStyle w:val="Normal"/>
        <w:ind w:left="893" w:right="10" w:hanging="432"/>
        <w:rPr>
          <w:lang w:val="en-US"/>
        </w:rPr>
      </w:pPr>
      <w:r>
        <w:rPr>
          <w:lang w:val="en-US"/>
        </w:rPr>
        <w:t>3.1.</w:t>
      </w:r>
      <w:r>
        <w:rPr>
          <w:rFonts w:eastAsia="Arial" w:cs="Arial" w:ascii="Arial" w:hAnsi="Arial"/>
          <w:lang w:val="en-US"/>
        </w:rPr>
        <w:t xml:space="preserve"> </w:t>
      </w:r>
      <w:r>
        <w:rPr>
          <w:lang w:val="en-US"/>
        </w:rPr>
        <w:t xml:space="preserve">Upon receipt of the verifiable evidence of wrongdoing set forth above in writing, Provider will take reasonable and prompt steps to investigate and respond appropriately to the request for disclosure, as follows: </w:t>
      </w:r>
    </w:p>
    <w:p>
      <w:pPr>
        <w:pStyle w:val="Normal"/>
        <w:ind w:left="1325" w:right="10" w:hanging="504"/>
        <w:rPr>
          <w:lang w:val="en-US"/>
        </w:rPr>
      </w:pPr>
      <w:r>
        <w:rPr>
          <w:lang w:val="en-US"/>
        </w:rPr>
        <w:t>3.1.1.</w:t>
      </w:r>
      <w:r>
        <w:rPr>
          <w:rFonts w:eastAsia="Arial" w:cs="Arial" w:ascii="Arial" w:hAnsi="Arial"/>
          <w:lang w:val="en-US"/>
        </w:rPr>
        <w:t xml:space="preserve"> </w:t>
      </w:r>
      <w:commentRangeStart w:id="23"/>
      <w:r>
        <w:rPr>
          <w:lang w:val="en-US"/>
        </w:rPr>
        <w:t xml:space="preserve">Promptly notify the Customer about the complaint and disclosure request and request that the Customer respond to Provider within 15 calendar days. </w:t>
      </w:r>
      <w:r>
        <w:rPr>
          <w:lang w:val="en-US"/>
        </w:rPr>
      </w:r>
      <w:commentRangeEnd w:id="23"/>
      <w:r>
        <w:commentReference w:id="23"/>
      </w:r>
      <w:r>
        <w:rPr>
          <w:lang w:val="en-US"/>
        </w:rPr>
        <w:t xml:space="preserve">Provider shall advise the Customer that if the Customer believes there are legitimate reason(s) to object to disclosure, the Customer must disclose these reasons to the Provider and authorize the Provider to communicate such reason(s) to the Requester (so long as doing so will not endanger the safety of the Customer, as outlined in Section 3.3.6 of this Specification); and </w:t>
      </w:r>
    </w:p>
    <w:p>
      <w:pPr>
        <w:pStyle w:val="Normal"/>
        <w:ind w:left="1325" w:hanging="504"/>
        <w:rPr>
          <w:lang w:val="en-US"/>
        </w:rPr>
      </w:pPr>
      <w:r>
        <w:rPr>
          <w:lang w:val="en-US"/>
        </w:rPr>
        <w:t>3.1.2.</w:t>
      </w:r>
      <w:r>
        <w:rPr>
          <w:rFonts w:eastAsia="Arial" w:cs="Arial" w:ascii="Arial" w:hAnsi="Arial"/>
          <w:lang w:val="en-US"/>
        </w:rPr>
        <w:t xml:space="preserve"> </w:t>
      </w:r>
      <w:r>
        <w:rPr>
          <w:lang w:val="en-US"/>
        </w:rPr>
        <w:t xml:space="preserve">Within 5 business days after receiving the Customer’s response, or within 2 business days after the time for Customer’s response has passed, Provider shall take one of the following actions: </w:t>
      </w:r>
    </w:p>
    <w:p>
      <w:pPr>
        <w:pStyle w:val="Normal"/>
        <w:ind w:left="1829" w:right="10" w:hanging="648"/>
        <w:rPr>
          <w:lang w:val="en-US"/>
        </w:rPr>
      </w:pPr>
      <w:r>
        <w:rPr>
          <w:lang w:val="en-US"/>
        </w:rPr>
        <w:t>3.1.2.1.</w:t>
      </w:r>
      <w:r>
        <w:rPr>
          <w:rFonts w:eastAsia="Arial" w:cs="Arial" w:ascii="Arial" w:hAnsi="Arial"/>
          <w:lang w:val="en-US"/>
        </w:rPr>
        <w:t xml:space="preserve"> </w:t>
        <w:tab/>
      </w:r>
      <w:r>
        <w:rPr>
          <w:lang w:val="en-US"/>
        </w:rPr>
        <w:t xml:space="preserve">Disclose to Requester using secure communication channels the contact information it has for Customer that would ordinarily appear in the publicly accessible WHOIS for nonproxy/privacy registration; or </w:t>
      </w:r>
    </w:p>
    <w:p>
      <w:pPr>
        <w:pStyle w:val="Normal"/>
        <w:ind w:left="1829" w:right="10" w:hanging="648"/>
        <w:rPr>
          <w:lang w:val="en-US"/>
        </w:rPr>
      </w:pPr>
      <w:r>
        <w:rPr>
          <w:lang w:val="en-US"/>
        </w:rPr>
        <w:t>3.1.2.2.</w:t>
      </w:r>
      <w:r>
        <w:rPr>
          <w:rFonts w:eastAsia="Arial" w:cs="Arial" w:ascii="Arial" w:hAnsi="Arial"/>
          <w:lang w:val="en-US"/>
        </w:rPr>
        <w:t xml:space="preserve"> </w:t>
        <w:tab/>
      </w:r>
      <w:r>
        <w:rPr>
          <w:lang w:val="en-US"/>
        </w:rPr>
        <w:t xml:space="preserve">State to Requester in writing or by electronic communication its specific reasons for refusing to disclose. </w:t>
      </w:r>
    </w:p>
    <w:p>
      <w:pPr>
        <w:pStyle w:val="Normal"/>
        <w:ind w:left="893" w:right="10" w:hanging="432"/>
        <w:rPr>
          <w:lang w:val="en-US"/>
        </w:rPr>
      </w:pPr>
      <w:r>
        <w:rPr>
          <w:lang w:val="en-US"/>
        </w:rPr>
        <w:t>3.2.</w:t>
      </w:r>
      <w:r>
        <w:rPr>
          <w:rFonts w:eastAsia="Arial" w:cs="Arial" w:ascii="Arial" w:hAnsi="Arial"/>
          <w:lang w:val="en-US"/>
        </w:rPr>
        <w:t xml:space="preserve"> </w:t>
      </w:r>
      <w:r>
        <w:rPr>
          <w:lang w:val="en-US"/>
        </w:rPr>
        <w:t xml:space="preserve">In exceptional circumstances, if Provider requires additional time to respond to the Requester, Provider shall inform the Requester of the cause of the delay, and state a new date by which it will provide its response under this Section. </w:t>
      </w:r>
    </w:p>
    <w:p>
      <w:pPr>
        <w:pStyle w:val="Normal"/>
        <w:ind w:left="893" w:right="10" w:hanging="432"/>
        <w:rPr>
          <w:lang w:val="en-US"/>
        </w:rPr>
      </w:pPr>
      <w:r>
        <w:rPr>
          <w:lang w:val="en-US"/>
        </w:rPr>
        <w:t>3.3.</w:t>
      </w:r>
      <w:r>
        <w:rPr>
          <w:rFonts w:eastAsia="Arial" w:cs="Arial" w:ascii="Arial" w:hAnsi="Arial"/>
          <w:lang w:val="en-US"/>
        </w:rPr>
        <w:t xml:space="preserve"> </w:t>
      </w:r>
      <w:r>
        <w:rPr>
          <w:lang w:val="en-US"/>
        </w:rPr>
        <w:t xml:space="preserve">Disclosure can be reasonably refused, for reasons consistent with the general policy stated herein, including without limitation any of the following: </w:t>
      </w:r>
    </w:p>
    <w:p>
      <w:pPr>
        <w:pStyle w:val="Normal"/>
        <w:ind w:left="1325" w:right="10" w:hanging="504"/>
        <w:rPr>
          <w:lang w:val="en-US"/>
        </w:rPr>
      </w:pPr>
      <w:r>
        <w:rPr>
          <w:lang w:val="en-US"/>
        </w:rPr>
        <w:t>3.3.1.</w:t>
        <w:tab/>
        <w:t xml:space="preserve">the Provider has already published Customer contact details in WHOIS as the result of termination of privacy/proxy service; </w:t>
      </w:r>
    </w:p>
    <w:p>
      <w:pPr>
        <w:pStyle w:val="Normal"/>
        <w:ind w:left="1325" w:right="10" w:hanging="504"/>
        <w:rPr>
          <w:lang w:val="en-US"/>
        </w:rPr>
      </w:pPr>
      <w:r>
        <w:rPr>
          <w:lang w:val="en-US"/>
        </w:rPr>
        <w:t>3.3.2.</w:t>
      </w:r>
      <w:r>
        <w:rPr>
          <w:rFonts w:eastAsia="Arial" w:cs="Arial" w:ascii="Arial" w:hAnsi="Arial"/>
          <w:lang w:val="en-US"/>
        </w:rPr>
        <w:t xml:space="preserve"> </w:t>
      </w:r>
      <w:r>
        <w:rPr>
          <w:lang w:val="en-US"/>
        </w:rPr>
        <w:t xml:space="preserve">the Customer has objected to the disclosure and has provided a basis for reasonably believing (i) that it is not infringing the Requester’s claimed intellectual property rights, or (ii) that its use of the claimed intellectual property is defensible; </w:t>
      </w:r>
    </w:p>
    <w:p>
      <w:pPr>
        <w:pStyle w:val="Normal"/>
        <w:ind w:left="1325" w:hanging="504"/>
        <w:rPr>
          <w:lang w:val="en-US"/>
        </w:rPr>
      </w:pPr>
      <w:r>
        <w:rPr>
          <w:lang w:val="en-US"/>
        </w:rPr>
        <w:t>3.3.3.</w:t>
      </w:r>
      <w:r>
        <w:rPr>
          <w:rFonts w:eastAsia="Arial" w:cs="Arial" w:ascii="Arial" w:hAnsi="Arial"/>
          <w:lang w:val="en-US"/>
        </w:rPr>
        <w:t xml:space="preserve"> </w:t>
      </w:r>
      <w:r>
        <w:rPr>
          <w:lang w:val="en-US"/>
        </w:rPr>
        <w:t xml:space="preserve">the Provider has a basis for reasonably believing (i) that the Customer is not infringing the Requester’s claimed intellectual property rights, or (ii) that the Customer’s use of the claimed intellectual property is defensible; </w:t>
      </w:r>
    </w:p>
    <w:p>
      <w:pPr>
        <w:pStyle w:val="Normal"/>
        <w:ind w:left="1325" w:right="10" w:hanging="504"/>
        <w:rPr>
          <w:lang w:val="en-US"/>
        </w:rPr>
      </w:pPr>
      <w:r>
        <w:rPr>
          <w:lang w:val="en-US"/>
        </w:rPr>
        <w:t>3.3.4.</w:t>
      </w:r>
      <w:r>
        <w:rPr>
          <w:rFonts w:eastAsia="Arial" w:cs="Arial" w:ascii="Arial" w:hAnsi="Arial"/>
          <w:lang w:val="en-US"/>
        </w:rPr>
        <w:t xml:space="preserve"> </w:t>
      </w:r>
      <w:r>
        <w:rPr>
          <w:lang w:val="en-US"/>
        </w:rPr>
        <w:t xml:space="preserve">the Customer has surrendered its domain name registration in lieu of disclosure, if the Provider offers its Customers this option; </w:t>
      </w:r>
    </w:p>
    <w:p>
      <w:pPr>
        <w:pStyle w:val="Normal"/>
        <w:ind w:left="1325" w:right="10" w:hanging="504"/>
        <w:rPr>
          <w:lang w:val="en-US"/>
        </w:rPr>
      </w:pPr>
      <w:r>
        <w:rPr>
          <w:lang w:val="en-US"/>
        </w:rPr>
        <w:t>3.3.5.</w:t>
      </w:r>
      <w:r>
        <w:rPr>
          <w:rFonts w:eastAsia="Arial" w:cs="Arial" w:ascii="Arial" w:hAnsi="Arial"/>
          <w:lang w:val="en-US"/>
        </w:rPr>
        <w:t xml:space="preserve"> </w:t>
      </w:r>
      <w:r>
        <w:rPr>
          <w:lang w:val="en-US"/>
        </w:rPr>
        <w:t xml:space="preserve">the Customer has provided, or the Provider has found, specific information, facts or circumstances showing that the Requester’s trademark or copyright complaint is a pretext for obtaining the Customer’s contact details by effecting removal of the Service for some other purpose unrelated to addressing the alleged infringement described in the Request; </w:t>
      </w:r>
    </w:p>
    <w:p>
      <w:pPr>
        <w:pStyle w:val="Normal"/>
        <w:ind w:left="1325" w:right="10" w:hanging="504"/>
        <w:rPr>
          <w:lang w:val="en-US"/>
        </w:rPr>
      </w:pPr>
      <w:r>
        <w:rPr>
          <w:lang w:val="en-US"/>
        </w:rPr>
        <w:t>3.3.6.</w:t>
      </w:r>
      <w:r>
        <w:rPr>
          <w:rFonts w:eastAsia="Arial" w:cs="Arial" w:ascii="Arial" w:hAnsi="Arial"/>
          <w:lang w:val="en-US"/>
        </w:rPr>
        <w:t xml:space="preserve"> </w:t>
      </w:r>
      <w:r>
        <w:rPr>
          <w:lang w:val="en-US"/>
        </w:rPr>
        <w:t xml:space="preserve">the Customer has provided, or the Provider has found, specific information, facts, or circumstances showing that disclosure to the Requester will endanger the safety of the Customer; or </w:t>
      </w:r>
    </w:p>
    <w:p>
      <w:pPr>
        <w:pStyle w:val="Normal"/>
        <w:ind w:left="1325" w:right="10" w:hanging="504"/>
        <w:rPr>
          <w:lang w:val="en-US"/>
        </w:rPr>
      </w:pPr>
      <w:r>
        <w:rPr>
          <w:lang w:val="en-US"/>
        </w:rPr>
        <w:t>3.3.7.</w:t>
      </w:r>
      <w:r>
        <w:rPr>
          <w:rFonts w:eastAsia="Arial" w:cs="Arial" w:ascii="Arial" w:hAnsi="Arial"/>
          <w:lang w:val="en-US"/>
        </w:rPr>
        <w:t xml:space="preserve"> </w:t>
      </w:r>
      <w:r>
        <w:rPr>
          <w:lang w:val="en-US"/>
        </w:rPr>
        <w:t xml:space="preserve">the Requester failed to provide to the Provider the verifiable evidence of wrongdoing outlined in Section II. </w:t>
      </w:r>
    </w:p>
    <w:p>
      <w:pPr>
        <w:pStyle w:val="Normal"/>
        <w:ind w:left="893" w:right="88" w:hanging="432"/>
        <w:rPr>
          <w:lang w:val="en-US"/>
        </w:rPr>
      </w:pPr>
      <w:r>
        <w:rPr>
          <w:lang w:val="en-US"/>
        </w:rPr>
        <w:t>3.4.</w:t>
      </w:r>
      <w:r>
        <w:rPr>
          <w:rFonts w:eastAsia="Arial" w:cs="Arial" w:ascii="Arial" w:hAnsi="Arial"/>
          <w:lang w:val="en-US"/>
        </w:rPr>
        <w:t xml:space="preserve"> </w:t>
      </w:r>
      <w:r>
        <w:rPr>
          <w:lang w:val="en-US"/>
        </w:rPr>
        <w:t xml:space="preserve">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 </w:t>
      </w:r>
    </w:p>
    <w:p>
      <w:pPr>
        <w:pStyle w:val="Normal"/>
        <w:ind w:left="893" w:right="10" w:hanging="432"/>
        <w:rPr>
          <w:lang w:val="en-US"/>
        </w:rPr>
      </w:pPr>
      <w:r>
        <w:rPr>
          <w:lang w:val="en-US"/>
        </w:rPr>
        <w:t>3.5.</w:t>
      </w:r>
      <w:r>
        <w:rPr>
          <w:rFonts w:eastAsia="Arial" w:cs="Arial" w:ascii="Arial" w:hAnsi="Arial"/>
          <w:lang w:val="en-US"/>
        </w:rPr>
        <w:t xml:space="preserve"> </w:t>
      </w:r>
      <w:r>
        <w:rPr>
          <w:lang w:val="en-US"/>
        </w:rPr>
        <w:t xml:space="preserve">For all refusals made in accordance with the policy and requirements herein, Provider must accept and give due consideration to Requester’s requests for reconsideration of the refusal to disclose. </w:t>
      </w:r>
    </w:p>
    <w:p>
      <w:pPr>
        <w:pStyle w:val="Normal"/>
        <w:ind w:left="893" w:right="10" w:hanging="432"/>
        <w:rPr>
          <w:lang w:val="en-US"/>
        </w:rPr>
      </w:pPr>
      <w:r>
        <w:rPr>
          <w:lang w:val="en-US"/>
        </w:rPr>
        <w:t>3.6.</w:t>
      </w:r>
      <w:r>
        <w:rPr>
          <w:rFonts w:eastAsia="Arial" w:cs="Arial" w:ascii="Arial" w:hAnsi="Arial"/>
          <w:lang w:val="en-US"/>
        </w:rPr>
        <w:t xml:space="preserve"> </w:t>
      </w:r>
      <w:r>
        <w:rPr>
          <w:lang w:val="en-US"/>
        </w:rPr>
        <w:t xml:space="preserve">A recommended mechanism for resolving disputes in which a Provider is alleged to have made a wrongful disclosure based on a Requester having provided false information is outlined in Section 4 of this Specification. </w:t>
      </w:r>
    </w:p>
    <w:p>
      <w:pPr>
        <w:pStyle w:val="Kop1"/>
        <w:spacing w:lineRule="auto" w:line="247" w:before="0" w:after="258"/>
        <w:ind w:left="103" w:hanging="10"/>
        <w:jc w:val="left"/>
        <w:rPr>
          <w:lang w:val="en-US"/>
        </w:rPr>
      </w:pPr>
      <w:r>
        <w:rPr>
          <w:lang w:val="en-US"/>
        </w:rPr>
        <w:t>4.</w:t>
      </w:r>
      <w:r>
        <w:rPr>
          <w:rFonts w:eastAsia="Arial" w:cs="Arial" w:ascii="Arial" w:hAnsi="Arial"/>
          <w:lang w:val="en-US"/>
        </w:rPr>
        <w:t xml:space="preserve"> </w:t>
      </w:r>
      <w:r>
        <w:rPr>
          <w:lang w:val="en-US"/>
        </w:rPr>
        <w:t xml:space="preserve">Resolving Disputes Arising From Disclosures Made as a Result of Allegedly Improper Requests  </w:t>
      </w:r>
    </w:p>
    <w:p>
      <w:pPr>
        <w:pStyle w:val="Normal"/>
        <w:spacing w:lineRule="auto" w:line="247" w:before="0" w:after="261"/>
        <w:ind w:left="79" w:hanging="10"/>
        <w:jc w:val="center"/>
        <w:rPr>
          <w:lang w:val="en-US"/>
        </w:rPr>
      </w:pPr>
      <w:r>
        <w:rPr>
          <w:lang w:val="en-US"/>
        </w:rPr>
        <w:t>4.1.</w:t>
      </w:r>
      <w:r>
        <w:rPr>
          <w:rFonts w:eastAsia="Arial" w:cs="Arial" w:ascii="Arial" w:hAnsi="Arial"/>
          <w:lang w:val="en-US"/>
        </w:rPr>
        <w:t xml:space="preserve"> </w:t>
      </w:r>
      <w:r>
        <w:rPr>
          <w:lang w:val="en-US"/>
        </w:rPr>
        <w:t xml:space="preserve">For the avoidance of doubt, this option is not intended to preclude any party from seeking other available remedies at law. 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 Under these standards, misuse occurs only when a Requester knowingly uses Customer contact information disclosed to it by a Service Provider for a purpose other than one of the specific purposes for which it had agreed to use such information (as listed in Sections 2.1.6, 2.2.7 and 2.3.6 of this Specification) </w:t>
      </w:r>
    </w:p>
    <w:p>
      <w:pPr>
        <w:pStyle w:val="Kop1"/>
        <w:spacing w:lineRule="auto" w:line="247" w:before="0" w:after="258"/>
        <w:ind w:left="103" w:hanging="10"/>
        <w:jc w:val="left"/>
        <w:rPr>
          <w:lang w:val="en-US"/>
        </w:rPr>
      </w:pPr>
      <w:r>
        <w:rPr>
          <w:lang w:val="en-US"/>
        </w:rPr>
        <w:t>5.</w:t>
      </w:r>
      <w:r>
        <w:rPr>
          <w:rFonts w:eastAsia="Arial" w:cs="Arial" w:ascii="Arial" w:hAnsi="Arial"/>
          <w:lang w:val="en-US"/>
        </w:rPr>
        <w:t xml:space="preserve"> </w:t>
      </w:r>
      <w:r>
        <w:rPr>
          <w:lang w:val="en-US"/>
        </w:rPr>
        <w:t xml:space="preserve">Jurisdiction </w:t>
      </w:r>
    </w:p>
    <w:p>
      <w:pPr>
        <w:pStyle w:val="Normal"/>
        <w:spacing w:before="0" w:after="232"/>
        <w:ind w:left="893" w:right="10" w:hanging="432"/>
        <w:rPr>
          <w:lang w:val="en-US"/>
        </w:rPr>
      </w:pPr>
      <w:r>
        <w:rPr>
          <w:lang w:val="en-US"/>
        </w:rPr>
        <w:t>5.1.</w:t>
      </w:r>
      <w:r>
        <w:rPr>
          <w:rFonts w:eastAsia="Arial" w:cs="Arial" w:ascii="Arial" w:hAnsi="Arial"/>
          <w:lang w:val="en-US"/>
        </w:rPr>
        <w:t xml:space="preserve"> </w:t>
      </w:r>
      <w:r>
        <w:rPr>
          <w:lang w:val="en-US"/>
        </w:rPr>
        <w:t>In making a submission to request disclosure of a Customer’s contact information, the Requester and the rights holder agrees to submit, without prejudice to other potentially applicable jurisdictions, to the jurisdiction of the courts (1) where it is incorporated (or of its home address, if an individual), and) where the Provider specifies on its request form, solely for disputes arising from alleged improper disclosures caused by knowingly false statements made by the Requester, or from Requester’s</w:t>
      </w:r>
      <w:r>
        <w:rPr>
          <w:b/>
          <w:lang w:val="en-US"/>
        </w:rPr>
        <w:t xml:space="preserve"> </w:t>
      </w:r>
    </w:p>
    <w:p>
      <w:pPr>
        <w:pStyle w:val="Normal"/>
        <w:spacing w:lineRule="auto" w:line="259" w:before="0" w:after="0"/>
        <w:ind w:left="461" w:hanging="0"/>
        <w:rPr>
          <w:lang w:val="en-US"/>
        </w:rPr>
      </w:pPr>
      <w:r>
        <w:rPr>
          <w:b/>
          <w:i/>
          <w:lang w:val="en-US"/>
        </w:rPr>
        <w:t xml:space="preserve"> </w:t>
      </w:r>
      <w:r>
        <w:br w:type="page"/>
      </w:r>
    </w:p>
    <w:p>
      <w:pPr>
        <w:pStyle w:val="Kop1"/>
        <w:ind w:left="129" w:right="108" w:hanging="10"/>
        <w:rPr/>
      </w:pPr>
      <w:r>
        <w:rPr/>
        <w:t xml:space="preserve">SPECIFICATION 6: DATA RETENTION SPECIFICATION </w:t>
      </w:r>
    </w:p>
    <w:p>
      <w:pPr>
        <w:pStyle w:val="Normal"/>
        <w:spacing w:lineRule="auto" w:line="259" w:before="0" w:after="5"/>
        <w:ind w:left="101" w:hanging="0"/>
        <w:rPr/>
      </w:pPr>
      <w:r>
        <w:rPr/>
        <w:t xml:space="preserve"> </w:t>
      </w:r>
    </w:p>
    <w:p>
      <w:pPr>
        <w:pStyle w:val="Normal"/>
        <w:numPr>
          <w:ilvl w:val="0"/>
          <w:numId w:val="11"/>
        </w:numPr>
        <w:ind w:left="461" w:right="10" w:hanging="360"/>
        <w:rPr>
          <w:lang w:val="en-US"/>
        </w:rPr>
      </w:pPr>
      <w:r>
        <w:rPr>
          <w:lang w:val="en-US"/>
        </w:rPr>
        <w:t xml:space="preserve">During the Term of this Agreement, for Registered Name for which Provider is providing the Services, Provider shall collect and securely maintain in its own electronic database (as updated from time to time) the data specified below: </w:t>
      </w:r>
    </w:p>
    <w:p>
      <w:pPr>
        <w:pStyle w:val="Normal"/>
        <w:numPr>
          <w:ilvl w:val="1"/>
          <w:numId w:val="11"/>
        </w:numPr>
        <w:ind w:left="1001" w:right="10" w:hanging="540"/>
        <w:rPr>
          <w:lang w:val="en-US"/>
        </w:rPr>
      </w:pPr>
      <w:r>
        <w:rPr>
          <w:lang w:val="en-US"/>
        </w:rPr>
        <w:t xml:space="preserve">Provider shall collect the following information from the Customer at the time of Provider’s provides the Services for a Customer and shall maintain that information for the duration of Provider’s provision of the Services for the Registration and for a period of one additional year thereafter:  </w:t>
      </w:r>
    </w:p>
    <w:p>
      <w:pPr>
        <w:pStyle w:val="Normal"/>
        <w:numPr>
          <w:ilvl w:val="2"/>
          <w:numId w:val="11"/>
        </w:numPr>
        <w:ind w:left="1812" w:right="10" w:hanging="775"/>
        <w:rPr>
          <w:lang w:val="en-US"/>
        </w:rPr>
      </w:pPr>
      <w:r>
        <w:rPr>
          <w:lang w:val="en-US"/>
        </w:rPr>
        <w:t xml:space="preserve">First and last name or full legal name of the Customer;  </w:t>
      </w:r>
    </w:p>
    <w:p>
      <w:pPr>
        <w:pStyle w:val="Normal"/>
        <w:numPr>
          <w:ilvl w:val="2"/>
          <w:numId w:val="11"/>
        </w:numPr>
        <w:ind w:left="1812" w:right="10" w:hanging="775"/>
        <w:rPr>
          <w:lang w:val="en-US"/>
        </w:rPr>
      </w:pPr>
      <w:r>
        <w:rPr>
          <w:lang w:val="en-US"/>
        </w:rPr>
        <w:t xml:space="preserve">First and last name or, in the event the Customer is a legal person, the title of the Customer’s administrative contact, technical contact, and billing contact; </w:t>
      </w:r>
    </w:p>
    <w:p>
      <w:pPr>
        <w:pStyle w:val="Normal"/>
        <w:numPr>
          <w:ilvl w:val="2"/>
          <w:numId w:val="11"/>
        </w:numPr>
        <w:ind w:left="1812" w:right="10" w:hanging="775"/>
        <w:rPr>
          <w:lang w:val="en-US"/>
        </w:rPr>
      </w:pPr>
      <w:r>
        <w:rPr>
          <w:lang w:val="en-US"/>
        </w:rPr>
        <w:t xml:space="preserve">Postal address of the Customer, administrative contact, technical contact, and billing contact; </w:t>
      </w:r>
    </w:p>
    <w:p>
      <w:pPr>
        <w:pStyle w:val="Normal"/>
        <w:numPr>
          <w:ilvl w:val="2"/>
          <w:numId w:val="11"/>
        </w:numPr>
        <w:ind w:left="1812" w:right="10" w:hanging="775"/>
        <w:rPr>
          <w:lang w:val="en-US"/>
        </w:rPr>
      </w:pPr>
      <w:r>
        <w:rPr>
          <w:lang w:val="en-US"/>
        </w:rPr>
        <w:t xml:space="preserve">Email address of the Customer, administrative contact, technical contact, and billing contact;  </w:t>
      </w:r>
    </w:p>
    <w:p>
      <w:pPr>
        <w:pStyle w:val="Normal"/>
        <w:numPr>
          <w:ilvl w:val="2"/>
          <w:numId w:val="11"/>
        </w:numPr>
        <w:ind w:left="1812" w:right="10" w:hanging="775"/>
        <w:rPr>
          <w:lang w:val="en-US"/>
        </w:rPr>
      </w:pPr>
      <w:r>
        <w:rPr>
          <w:lang w:val="en-US"/>
        </w:rPr>
        <w:t xml:space="preserve">Telephone contact for the Customer, administrative contact, technical contact, and billing contact; </w:t>
      </w:r>
    </w:p>
    <w:p>
      <w:pPr>
        <w:pStyle w:val="Normal"/>
        <w:numPr>
          <w:ilvl w:val="2"/>
          <w:numId w:val="11"/>
        </w:numPr>
        <w:ind w:left="1812" w:right="10" w:hanging="775"/>
        <w:rPr>
          <w:lang w:val="en-US"/>
        </w:rPr>
      </w:pPr>
      <w:commentRangeStart w:id="24"/>
      <w:r>
        <w:rPr>
          <w:lang w:val="en-US"/>
        </w:rPr>
        <w:t>WHOIS information</w:t>
      </w:r>
      <w:r>
        <w:rPr>
          <w:lang w:val="en-US"/>
        </w:rPr>
      </w:r>
      <w:commentRangeEnd w:id="24"/>
      <w:r>
        <w:commentReference w:id="24"/>
      </w:r>
      <w:r>
        <w:rPr>
          <w:lang w:val="en-US"/>
        </w:rPr>
        <w:t xml:space="preserve">, as set forth in the Labeling Specification; </w:t>
      </w:r>
    </w:p>
    <w:p>
      <w:pPr>
        <w:pStyle w:val="Normal"/>
        <w:numPr>
          <w:ilvl w:val="2"/>
          <w:numId w:val="11"/>
        </w:numPr>
        <w:ind w:left="1812" w:right="10" w:hanging="775"/>
        <w:rPr>
          <w:lang w:val="en-US"/>
        </w:rPr>
      </w:pPr>
      <w:r>
        <w:rPr>
          <w:lang w:val="en-US"/>
        </w:rPr>
        <w:t xml:space="preserve">Fax number of the Customer, the administrative contact, technical contact, and billing contact;  </w:t>
      </w:r>
    </w:p>
    <w:p>
      <w:pPr>
        <w:pStyle w:val="Normal"/>
        <w:numPr>
          <w:ilvl w:val="2"/>
          <w:numId w:val="11"/>
        </w:numPr>
        <w:spacing w:lineRule="auto" w:line="352" w:before="0" w:after="134"/>
        <w:ind w:left="1812" w:right="10" w:hanging="775"/>
        <w:rPr>
          <w:lang w:val="en-US"/>
        </w:rPr>
      </w:pPr>
      <w:r>
        <w:rPr>
          <w:lang w:val="en-US"/>
        </w:rPr>
        <w:t>To the extent collected by Provider, “card on file,” current period third party transaction number, or other recurring payment data; 1.1.9.</w:t>
      </w:r>
      <w:r>
        <w:rPr>
          <w:rFonts w:eastAsia="Arial" w:cs="Arial" w:ascii="Arial" w:hAnsi="Arial"/>
          <w:lang w:val="en-US"/>
        </w:rPr>
        <w:t xml:space="preserve"> </w:t>
      </w:r>
      <w:r>
        <w:rPr>
          <w:lang w:val="en-US"/>
        </w:rPr>
        <w:t xml:space="preserve">The name and Registry Object ID of the Registered Name; and </w:t>
      </w:r>
    </w:p>
    <w:p>
      <w:pPr>
        <w:pStyle w:val="Normal"/>
        <w:ind w:left="1047" w:right="10" w:hanging="10"/>
        <w:rPr>
          <w:lang w:val="en-US"/>
        </w:rPr>
      </w:pPr>
      <w:r>
        <w:rPr>
          <w:lang w:val="en-US"/>
        </w:rPr>
        <w:t>1.1.10.</w:t>
      </w:r>
      <w:r>
        <w:rPr>
          <w:rFonts w:eastAsia="Arial" w:cs="Arial" w:ascii="Arial" w:hAnsi="Arial"/>
          <w:lang w:val="en-US"/>
        </w:rPr>
        <w:t xml:space="preserve"> </w:t>
      </w:r>
      <w:r>
        <w:rPr>
          <w:lang w:val="en-US"/>
        </w:rPr>
        <w:t xml:space="preserve">The name and IANA ID of the sponsoring Registrar. </w:t>
      </w:r>
    </w:p>
    <w:p>
      <w:pPr>
        <w:pStyle w:val="Normal"/>
        <w:numPr>
          <w:ilvl w:val="1"/>
          <w:numId w:val="11"/>
        </w:numPr>
        <w:ind w:left="1001" w:right="10" w:hanging="540"/>
        <w:rPr>
          <w:lang w:val="en-US"/>
        </w:rPr>
      </w:pPr>
      <w:r>
        <w:rPr>
          <w:lang w:val="en-US"/>
        </w:rPr>
        <w:t xml:space="preserve">Provider shall collect the following information and maintain that information for no less than one hundred and eighty (180) days following the relevant interaction: </w:t>
      </w:r>
    </w:p>
    <w:p>
      <w:pPr>
        <w:pStyle w:val="Normal"/>
        <w:numPr>
          <w:ilvl w:val="2"/>
          <w:numId w:val="11"/>
        </w:numPr>
        <w:ind w:left="1812" w:right="10" w:hanging="775"/>
        <w:rPr>
          <w:lang w:val="en-US"/>
        </w:rPr>
      </w:pPr>
      <w:commentRangeStart w:id="25"/>
      <w:r>
        <w:rPr>
          <w:lang w:val="en-US"/>
        </w:rPr>
        <w:t xml:space="preserve">Information regarding the means and source of payment reasonably necessary for Provider to process the Service transaction, or a transaction number provided by a third party payment processor;  </w:t>
      </w:r>
      <w:commentRangeEnd w:id="25"/>
      <w:r>
        <w:commentReference w:id="25"/>
      </w:r>
      <w:r>
        <w:rPr>
          <w:lang w:val="en-US"/>
        </w:rPr>
      </w:r>
    </w:p>
    <w:p>
      <w:pPr>
        <w:pStyle w:val="Normal"/>
        <w:numPr>
          <w:ilvl w:val="2"/>
          <w:numId w:val="11"/>
        </w:numPr>
        <w:ind w:left="1812" w:right="10" w:hanging="775"/>
        <w:rPr>
          <w:lang w:val="en-US"/>
        </w:rPr>
      </w:pPr>
      <w:r>
        <w:rPr>
          <w:lang w:val="en-US"/>
        </w:rPr>
        <w:t xml:space="preserve">Log files, billing records and, to the extent collection and maintenance of such records is commercially practicable or consistent with industry-wide generally accepted standard practices within the industries in which </w:t>
      </w:r>
    </w:p>
    <w:p>
      <w:pPr>
        <w:pStyle w:val="Normal"/>
        <w:spacing w:before="0" w:after="0"/>
        <w:ind w:left="1822" w:right="10" w:hanging="10"/>
        <w:rPr>
          <w:lang w:val="en-US"/>
        </w:rPr>
      </w:pPr>
      <w:r>
        <w:rPr>
          <w:lang w:val="en-US"/>
        </w:rPr>
        <w:t xml:space="preserve">Provider operates, other records containing communications source and destination information, including, depending on the method of </w:t>
      </w:r>
    </w:p>
    <w:p>
      <w:pPr>
        <w:pStyle w:val="Normal"/>
        <w:ind w:left="1822" w:right="10" w:hanging="10"/>
        <w:rPr>
          <w:lang w:val="en-US"/>
        </w:rPr>
      </w:pPr>
      <w:r>
        <w:rPr>
          <w:lang w:val="en-US"/>
        </w:rPr>
        <w:t xml:space="preserve">transmission and without limitation: (1) Source IP address, HTTP headers, (2) the telephone, text, or fax number; and (3) email address, Skype handle, or instant messaging identifier, associated with communications between Provider and the registrant about the Registration; and </w:t>
      </w:r>
    </w:p>
    <w:p>
      <w:pPr>
        <w:pStyle w:val="Normal"/>
        <w:numPr>
          <w:ilvl w:val="2"/>
          <w:numId w:val="11"/>
        </w:numPr>
        <w:ind w:left="1812" w:right="10" w:hanging="775"/>
        <w:rPr>
          <w:lang w:val="en-US"/>
        </w:rPr>
      </w:pPr>
      <w:r>
        <w:rPr>
          <w:lang w:val="en-US"/>
        </w:rPr>
        <w:t xml:space="preserve">Log files and, to the extent collection and maintenance of such records is commercially practicable or consistent with industry-wide generally accepted standard practices within the industries in which Provider operates, other records associated with the Services containing dates, times, and time zones of communications and sessions, including initial registration. </w:t>
      </w:r>
    </w:p>
    <w:p>
      <w:pPr>
        <w:pStyle w:val="Normal"/>
        <w:numPr>
          <w:ilvl w:val="0"/>
          <w:numId w:val="11"/>
        </w:numPr>
        <w:ind w:left="461" w:right="10" w:hanging="360"/>
        <w:rPr>
          <w:lang w:val="en-US"/>
        </w:rPr>
      </w:pPr>
      <w:r>
        <w:rPr>
          <w:lang w:val="en-US"/>
        </w:rPr>
        <w:t>If, based on the receipt of either (i) a written legal opinion from a nationally recognized law firm in the applicable jurisdiction that states that the collection or retention of any data element specified herein by Provider is reasonably likely to violate applicable law (the “Opinion”) or (ii) a ruling of, or written guidance from, a governmental body of competent jurisdiction providing that compliance with the data collection or retention requirements of this Specification violates applicable law, Provider determines in good faith that the collection or retention of any data element specified in this Specification violates applicable law, Provider may provide written notice of such determination to ICANN and request a waiver from compliance with specific terms and conditions of this Specification (a “</w:t>
      </w:r>
      <w:commentRangeStart w:id="26"/>
      <w:r>
        <w:rPr>
          <w:lang w:val="en-US"/>
        </w:rPr>
        <w:t>Waiver Request</w:t>
      </w:r>
      <w:r>
        <w:rPr>
          <w:lang w:val="en-US"/>
        </w:rPr>
      </w:r>
      <w:commentRangeEnd w:id="26"/>
      <w:r>
        <w:commentReference w:id="26"/>
      </w:r>
      <w:r>
        <w:rPr>
          <w:lang w:val="en-US"/>
        </w:rPr>
        <w:t xml:space="preserve">”). Such written notice shall: (i) specify the relevant applicable law, the allegedly offending data collection and retention elements, the manner in which the collection or retention of such data violates applicable law, and a reasonable description of such determination and any other facts and circumstances related thereto, (ii) be accompanied by a copy of the Opinion and governmental ruling or guidance, as applicable, and (iii) be accompanied by any documentation received by Provider from any governmental authority, in each case, related to such determination, and such other documentation reasonably requested by ICANN. Following receipt of such notice, ICANN and Provider shall discuss the matter in good faith in an effort to reach a mutually acceptable resolution of the matter. Until such time as ICANN’s Procedure for Handling WHOIS Conflicts with Privacy Law is modified to include conflicts relating to the requirements of this Specification and if ICANN agrees with Provider’s determination, ICANN's office of general counsel may temporarily or permanently suspend compliance and enforcement of the affected provisions of this Specification and grant the Waiver Request. Prior to granting any exemption hereunder, ICANN will post its determination on its website for a period of thirty (30) calendar days. Following such modification of ICANN’s Procedure for Handling WHOIS Conflicts with Privacy Law, all Wavier Requests (whether granted or denied) shall be resolved pursuant to such modified procedures. </w:t>
      </w:r>
    </w:p>
    <w:p>
      <w:pPr>
        <w:pStyle w:val="Normal"/>
        <w:numPr>
          <w:ilvl w:val="0"/>
          <w:numId w:val="11"/>
        </w:numPr>
        <w:ind w:left="461" w:right="10" w:hanging="360"/>
        <w:rPr>
          <w:lang w:val="en-US"/>
        </w:rPr>
      </w:pPr>
      <w:r>
        <w:rPr>
          <w:lang w:val="en-US"/>
        </w:rPr>
        <w:t xml:space="preserve">If (i) ICANN has previously waived compliance with the requirements of any requirement of this Data Retention Specification in response to a Waiver Request from a provider that is located in the same jurisdiction as Provider and (ii) Provider is </w:t>
      </w:r>
    </w:p>
    <w:p>
      <w:pPr>
        <w:pStyle w:val="Normal"/>
        <w:ind w:left="471" w:right="10" w:hanging="10"/>
        <w:rPr>
          <w:lang w:val="en-US"/>
        </w:rPr>
      </w:pPr>
      <w:r>
        <w:rPr>
          <w:lang w:val="en-US"/>
        </w:rPr>
        <w:t xml:space="preserve">subject to the same applicable law that gave rise to ICANN’s agreement to grant such wavier, Provider may request that ICANN grant a similar waiver, which request shall be approved by ICANN unless ICANN provides Provider with a reasonable justification for not approving such request, in which case Provider may thereafter make an Wavier Request pursuant to Section 2 of this Data Retention Specification.  </w:t>
      </w:r>
    </w:p>
    <w:p>
      <w:pPr>
        <w:pStyle w:val="Normal"/>
        <w:numPr>
          <w:ilvl w:val="0"/>
          <w:numId w:val="11"/>
        </w:numPr>
        <w:ind w:left="461" w:right="10" w:hanging="360"/>
        <w:rPr>
          <w:lang w:val="en-US"/>
        </w:rPr>
      </w:pPr>
      <w:r>
        <w:rPr>
          <w:lang w:val="en-US"/>
        </w:rPr>
        <w:t xml:space="preserve">Any modification of this Data Retention Specification to address violations of applicable law shall only apply during the period of time that the specific provisions of the applicable law giving rise to such violations remain in effect. If the applicable law is repealed or modified (or preempted) in a manner that would no longer prohibit the collection or retention of data and information as originally specified in this Data Retention Specification, Provider agrees that the original version of this Specification will apply to the maximum extent permitted by such modified applicable law. </w:t>
      </w:r>
      <w:r>
        <w:br w:type="page"/>
      </w:r>
    </w:p>
    <w:p>
      <w:pPr>
        <w:pStyle w:val="Kop1"/>
        <w:tabs>
          <w:tab w:val="center" w:pos="3187" w:leader="none"/>
          <w:tab w:val="center" w:pos="6220" w:leader="none"/>
        </w:tabs>
        <w:spacing w:lineRule="auto" w:line="247" w:before="0" w:after="230"/>
        <w:ind w:left="0" w:hanging="0"/>
        <w:jc w:val="left"/>
        <w:rPr>
          <w:lang w:val="en-US"/>
        </w:rPr>
      </w:pPr>
      <w:r>
        <w:rPr>
          <w:rFonts w:eastAsia="Calibri" w:cs="Calibri" w:ascii="Calibri" w:hAnsi="Calibri"/>
          <w:b w:val="false"/>
          <w:sz w:val="22"/>
          <w:lang w:val="en-US"/>
        </w:rPr>
        <w:tab/>
      </w:r>
      <w:r>
        <w:rPr>
          <w:lang w:val="en-US"/>
        </w:rPr>
        <w:t xml:space="preserve">SPECIFICATION 7: </w:t>
        <w:tab/>
        <w:t xml:space="preserve">COMPLIANCE CERTIFICATE </w:t>
      </w:r>
    </w:p>
    <w:p>
      <w:pPr>
        <w:pStyle w:val="Normal"/>
        <w:spacing w:before="0" w:after="225"/>
        <w:ind w:left="471" w:right="10" w:hanging="10"/>
        <w:rPr>
          <w:lang w:val="en-US"/>
        </w:rPr>
      </w:pPr>
      <w:r>
        <w:rPr>
          <w:lang w:val="en-US"/>
        </w:rPr>
        <w:t xml:space="preserve">_____________, 20__ </w:t>
      </w:r>
    </w:p>
    <w:p>
      <w:pPr>
        <w:pStyle w:val="Normal"/>
        <w:spacing w:before="0" w:after="11"/>
        <w:ind w:left="471" w:right="10" w:hanging="10"/>
        <w:rPr>
          <w:lang w:val="en-US"/>
        </w:rPr>
      </w:pPr>
      <w:r>
        <w:rPr>
          <w:lang w:val="en-US"/>
        </w:rPr>
        <w:t xml:space="preserve">Pursuant to Section 3.10 of the Privacy &amp; Proxy Service Provider Accreditation </w:t>
      </w:r>
    </w:p>
    <w:p>
      <w:pPr>
        <w:pStyle w:val="Normal"/>
        <w:spacing w:before="0" w:after="229"/>
        <w:ind w:left="471" w:hanging="10"/>
        <w:rPr>
          <w:lang w:val="en-US"/>
        </w:rPr>
      </w:pPr>
      <w:r>
        <w:rPr>
          <w:lang w:val="en-US"/>
        </w:rPr>
        <w:t xml:space="preserve">Agreement (the “Agreement”), dated __________, 20__, by and between the Internet Corporation for Assigned Names and Numbers, a California non-profit, public benefit corporation (“ICANN”), and [Provider Name], a [Organization type and jurisdiction] (“Provider”), the undersigned certifies, in his/her capacity as an officer of Provider and not in his/her individual capacity, on behalf of Provider as follows: </w:t>
      </w:r>
    </w:p>
    <w:p>
      <w:pPr>
        <w:pStyle w:val="Normal"/>
        <w:numPr>
          <w:ilvl w:val="0"/>
          <w:numId w:val="12"/>
        </w:numPr>
        <w:spacing w:before="0" w:after="230"/>
        <w:ind w:left="471" w:right="10" w:hanging="360"/>
        <w:rPr>
          <w:lang w:val="en-US"/>
        </w:rPr>
      </w:pPr>
      <w:r>
        <w:rPr>
          <w:lang w:val="en-US"/>
        </w:rPr>
        <w:t xml:space="preserve">The undersigned is the [Chief Executive Officer/President/Chief Operating Officer/Chief Financial Officer or functional equivalent thereof] of Provider. </w:t>
      </w:r>
    </w:p>
    <w:p>
      <w:pPr>
        <w:pStyle w:val="Normal"/>
        <w:numPr>
          <w:ilvl w:val="0"/>
          <w:numId w:val="12"/>
        </w:numPr>
        <w:spacing w:before="0" w:after="229"/>
        <w:ind w:left="471" w:right="10" w:hanging="360"/>
        <w:rPr>
          <w:lang w:val="en-US"/>
        </w:rPr>
      </w:pPr>
      <w:r>
        <w:rPr>
          <w:lang w:val="en-US"/>
        </w:rPr>
        <w:t xml:space="preserve">Provider has in place processes and procedures intended to establish, maintain, review, test, and modify policies and procedures reasonably designed to achieve compliance with the Agreement. </w:t>
      </w:r>
    </w:p>
    <w:p>
      <w:pPr>
        <w:pStyle w:val="Normal"/>
        <w:numPr>
          <w:ilvl w:val="0"/>
          <w:numId w:val="12"/>
        </w:numPr>
        <w:spacing w:before="0" w:after="229"/>
        <w:ind w:left="471" w:right="10" w:hanging="360"/>
        <w:rPr>
          <w:lang w:val="en-US"/>
        </w:rPr>
      </w:pPr>
      <w:r>
        <w:rPr>
          <w:lang w:val="en-US"/>
        </w:rPr>
        <w:t xml:space="preserve">To the best of the undersigned’s knowledge and belief, Provider has performed and complied with all covenants, agreements, obligations and conditions contained in the Agreement that are required to be performed or complied with by it for the calendar year 20___. </w:t>
      </w:r>
    </w:p>
    <w:p>
      <w:pPr>
        <w:pStyle w:val="Normal"/>
        <w:spacing w:lineRule="auto" w:line="439" w:before="0" w:after="0"/>
        <w:ind w:left="5862" w:right="10" w:hanging="5401"/>
        <w:rPr/>
      </w:pPr>
      <w:r>
        <w:rPr>
          <w:lang w:val="en-US"/>
        </w:rPr>
        <w:t xml:space="preserve">The undersigned signs this certificate as of the date indicated under the title. </w:t>
      </w:r>
      <w:r>
        <w:rPr/>
        <w:t xml:space="preserve">[PROVIDER] </w:t>
      </w:r>
    </w:p>
    <w:p>
      <w:pPr>
        <w:pStyle w:val="Normal"/>
        <w:spacing w:lineRule="auto" w:line="247" w:before="0" w:after="227"/>
        <w:ind w:left="2512" w:hanging="10"/>
        <w:jc w:val="center"/>
        <w:rPr/>
      </w:pPr>
      <w:r>
        <w:rPr/>
        <w:t xml:space="preserve">By: </w:t>
      </w:r>
    </w:p>
    <w:p>
      <w:pPr>
        <w:pStyle w:val="Normal"/>
        <w:spacing w:lineRule="auto" w:line="247" w:before="0" w:after="227"/>
        <w:ind w:left="2843" w:hanging="10"/>
        <w:jc w:val="center"/>
        <w:rPr/>
      </w:pPr>
      <w:r>
        <w:rPr/>
        <w:t xml:space="preserve">Name: </w:t>
      </w:r>
    </w:p>
    <w:p>
      <w:pPr>
        <w:pStyle w:val="Normal"/>
        <w:spacing w:lineRule="auto" w:line="247" w:before="0" w:after="227"/>
        <w:ind w:left="2718" w:hanging="10"/>
        <w:jc w:val="center"/>
        <w:rPr/>
      </w:pPr>
      <w:r>
        <w:rPr/>
        <w:t xml:space="preserve">Title: </w:t>
      </w:r>
    </w:p>
    <w:p>
      <w:pPr>
        <w:pStyle w:val="Normal"/>
        <w:spacing w:lineRule="auto" w:line="259" w:before="0" w:after="95"/>
        <w:ind w:left="101" w:hanging="0"/>
        <w:rPr/>
      </w:pPr>
      <w:r>
        <w:rPr/>
        <w:t xml:space="preserve"> </w:t>
      </w:r>
    </w:p>
    <w:p>
      <w:pPr>
        <w:pStyle w:val="Normal"/>
        <w:spacing w:lineRule="auto" w:line="259" w:before="0" w:after="0"/>
        <w:ind w:left="101" w:hanging="0"/>
        <w:rPr/>
      </w:pPr>
      <w:r>
        <w:rPr/>
        <w:t xml:space="preserve"> </w:t>
      </w:r>
    </w:p>
    <w:sectPr>
      <w:footerReference w:type="default" r:id="rId4"/>
      <w:type w:val="nextPage"/>
      <w:pgSz w:w="12240" w:h="15840"/>
      <w:pgMar w:left="1340" w:right="1349" w:header="0" w:top="1441" w:footer="889" w:bottom="1250" w:gutter="0"/>
      <w:pgNumType w:fmt="decimal"/>
      <w:formProt w:val="false"/>
      <w:textDirection w:val="lrTb"/>
      <w:docGrid w:type="default" w:linePitch="24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Theo Geurts" w:date="2017-07-22T09:27:00Z" w:initials="TG">
    <w:p>
      <w:r>
        <w:rPr>
          <w:lang w:val="en-US"/>
        </w:rPr>
        <w:t>I see no definition for NA-TPPP’s?</w:t>
      </w:r>
    </w:p>
    <w:p>
      <w:r>
        <w:rPr/>
      </w:r>
    </w:p>
  </w:comment>
  <w:comment w:id="1" w:author="Theo Geurts" w:date="2017-07-22T09:12:00Z" w:initials="TG">
    <w:p>
      <w:r>
        <w:rPr>
          <w:lang w:val="en-US"/>
        </w:rPr>
        <w:t>What is this?</w:t>
      </w:r>
    </w:p>
    <w:p>
      <w:r>
        <w:rPr/>
      </w:r>
    </w:p>
  </w:comment>
  <w:comment w:id="2" w:author="Theo Geurts" w:date="2017-07-22T10:00:00Z" w:initials="TG">
    <w:p>
      <w:r>
        <w:rPr>
          <w:lang w:val="en-US"/>
        </w:rPr>
        <w:t>Is there a task for the IRT to prevent this when it comes to transfers. Or is this out of scope?</w:t>
      </w:r>
    </w:p>
    <w:p>
      <w:r>
        <w:rPr/>
      </w:r>
    </w:p>
  </w:comment>
  <w:comment w:id="3" w:author="Theo Geurts" w:date="2017-07-22T10:04:00Z" w:initials="TG">
    <w:p>
      <w:r>
        <w:rPr>
          <w:lang w:val="en-US"/>
        </w:rPr>
        <w:t>In case of abuse, is this desired? Or are there other scenario’s where deletion of the domain name is not wanted? UDRP is covered in the section below.</w:t>
      </w:r>
    </w:p>
    <w:p>
      <w:r>
        <w:rPr/>
      </w:r>
    </w:p>
  </w:comment>
  <w:comment w:id="4" w:author="Theo Geurts" w:date="2017-07-22T10:08:00Z" w:initials="TG">
    <w:p>
      <w:r>
        <w:rPr/>
        <w:t xml:space="preserve">Are ICANN accredited Registrars excluded from this fee? </w:t>
      </w:r>
    </w:p>
    <w:p>
      <w:r>
        <w:rPr/>
      </w:r>
    </w:p>
  </w:comment>
  <w:comment w:id="5" w:author="Theo Geurts" w:date="2017-07-22T10:15:00Z" w:initials="TG">
    <w:p>
      <w:r>
        <w:rPr>
          <w:lang w:val="en-US"/>
        </w:rPr>
        <w:t>Web forms should be acceptable also, you want to streamline this to solve abuse issues faster. We still get abuse notifications without the domain name mentioned.</w:t>
      </w:r>
    </w:p>
    <w:p>
      <w:r>
        <w:rPr/>
      </w:r>
    </w:p>
  </w:comment>
  <w:comment w:id="6" w:author="Theo Geurts" w:date="2017-07-22T10:23:00Z" w:initials="TG">
    <w:p>
      <w:r>
        <w:rPr>
          <w:lang w:val="en-US"/>
        </w:rPr>
        <w:t xml:space="preserve">This should be up to the provider based on the situation. Restricting this might prevent faster solutions. </w:t>
      </w:r>
    </w:p>
    <w:p>
      <w:r>
        <w:rPr/>
      </w:r>
    </w:p>
  </w:comment>
  <w:comment w:id="7" w:author="Theo Geurts" w:date="2017-07-22T10:30:00Z" w:initials="TG">
    <w:p>
      <w:r>
        <w:rPr>
          <w:lang w:val="en-US"/>
        </w:rPr>
        <w:t>How does a Registrar become aware when the provider is a NA TPPP?</w:t>
      </w:r>
    </w:p>
    <w:p>
      <w:r>
        <w:rPr/>
      </w:r>
    </w:p>
  </w:comment>
  <w:comment w:id="8" w:author="Theo Geurts" w:date="2017-07-22T10:31:00Z" w:initials="TG">
    <w:p>
      <w:r>
        <w:rPr>
          <w:lang w:val="en-US"/>
        </w:rPr>
        <w:t xml:space="preserve">If a reseller is the privacy provider then only the reseller can process this request. The Registrar will  only have the information of the WHOIS in the database. </w:t>
      </w:r>
    </w:p>
    <w:p>
      <w:r>
        <w:rPr/>
      </w:r>
    </w:p>
  </w:comment>
  <w:comment w:id="9" w:author="Theo Geurts" w:date="2017-07-22T10:42:00Z" w:initials="TG">
    <w:p>
      <w:r>
        <w:rPr>
          <w:lang w:val="en-US"/>
        </w:rPr>
        <w:t xml:space="preserve">Not to be a goldfish here, but what are we trying to achieve here? What will these numbers tell us? </w:t>
      </w:r>
    </w:p>
    <w:p>
      <w:r>
        <w:rPr/>
      </w:r>
    </w:p>
  </w:comment>
  <w:comment w:id="10" w:author="Theo Geurts" w:date="2017-07-22T12:00:00Z" w:initials="TG">
    <w:p>
      <w:r>
        <w:rPr>
          <w:lang w:val="en-US"/>
        </w:rPr>
        <w:t>What if the provider is not affiliated with the Registrar? How does a Registrar verify such a request for suspension? How can unaffiliated providers verify they are dealing with the RNH? The current language is an attack vector to take domain names down.</w:t>
      </w:r>
    </w:p>
    <w:p>
      <w:r>
        <w:rPr/>
      </w:r>
    </w:p>
  </w:comment>
  <w:comment w:id="11" w:author="Theo Geurts" w:date="2017-07-22T12:49:00Z" w:initials="TG">
    <w:p>
      <w:r>
        <w:rPr>
          <w:lang w:val="en-US"/>
        </w:rPr>
        <w:t>How does a provider know this data has been updated at a Registrar or reseller level?</w:t>
      </w:r>
    </w:p>
    <w:p>
      <w:r>
        <w:rPr/>
      </w:r>
    </w:p>
  </w:comment>
  <w:comment w:id="12" w:author="Theo Geurts" w:date="2017-07-22T12:51:00Z" w:initials="TG">
    <w:p>
      <w:r>
        <w:rPr>
          <w:lang w:val="en-US"/>
        </w:rPr>
        <w:t xml:space="preserve">See above two comments. This is an operational challenge. </w:t>
      </w:r>
    </w:p>
    <w:p>
      <w:r>
        <w:rPr/>
      </w:r>
    </w:p>
  </w:comment>
  <w:comment w:id="13" w:author="Theo Geurts" w:date="2017-07-22T12:52:00Z" w:initials="TG">
    <w:p>
      <w:r>
        <w:rPr>
          <w:lang w:val="en-US"/>
        </w:rPr>
        <w:t>What is contact information? The data the non affiliated provider has or the data listed in the whois? There could be an issue with both</w:t>
      </w:r>
    </w:p>
    <w:p>
      <w:r>
        <w:rPr/>
      </w:r>
    </w:p>
  </w:comment>
  <w:comment w:id="14" w:author="Theo Geurts" w:date="2017-07-22T12:54:00Z" w:initials="TG">
    <w:p>
      <w:r>
        <w:rPr>
          <w:lang w:val="en-US"/>
        </w:rPr>
        <w:t xml:space="preserve">This is still problematic, even under the RAA. A bounce is not indication that something is incorrect.  Some email servers are setup very strict and bounce high volume messages. Even if they are relevant. </w:t>
      </w:r>
    </w:p>
    <w:p>
      <w:r>
        <w:rPr/>
      </w:r>
    </w:p>
  </w:comment>
  <w:comment w:id="15" w:author="Theo Geurts" w:date="2017-07-22T12:59:00Z" w:initials="TG">
    <w:p>
      <w:r>
        <w:rPr>
          <w:lang w:val="en-US"/>
        </w:rPr>
        <w:t>? It is up to the provider to provide the WHOIS data, not the customer?</w:t>
      </w:r>
    </w:p>
    <w:p>
      <w:r>
        <w:rPr/>
      </w:r>
    </w:p>
  </w:comment>
  <w:comment w:id="16" w:author="Theo Geurts" w:date="2017-07-22T13:02:00Z" w:initials="TG">
    <w:p>
      <w:r>
        <w:rPr>
          <w:lang w:val="en-US"/>
        </w:rPr>
        <w:t>This cannot be done by a non affiliated provider</w:t>
      </w:r>
    </w:p>
    <w:p>
      <w:r>
        <w:rPr/>
      </w:r>
    </w:p>
  </w:comment>
  <w:comment w:id="17" w:author="Theo Geurts" w:date="2017-07-22T13:04:00Z" w:initials="TG">
    <w:p>
      <w:r>
        <w:rPr/>
        <w:t>Up to Registrars and Registries</w:t>
      </w:r>
    </w:p>
    <w:p>
      <w:r>
        <w:rPr/>
      </w:r>
    </w:p>
  </w:comment>
  <w:comment w:id="18" w:author="Theo Geurts" w:date="2017-07-22T13:05:00Z" w:initials="TG">
    <w:p>
      <w:r>
        <w:rPr>
          <w:lang w:val="en-US"/>
        </w:rPr>
        <w:t>Up to Registrars and Registries, this is not done on a provider level or reseller level</w:t>
      </w:r>
    </w:p>
    <w:p>
      <w:r>
        <w:rPr/>
      </w:r>
    </w:p>
  </w:comment>
  <w:comment w:id="19" w:author="Theo Geurts" w:date="2017-07-22T13:06:00Z" w:initials="TG">
    <w:p>
      <w:r>
        <w:rPr>
          <w:lang w:val="en-US"/>
        </w:rPr>
        <w:t>With the current language there will situations that there are two different sets of data in the WHOIS. The Registrar and the Provider. Suggestion: Registrars who also become accredited as privacy provider should get the same ICANN ID?</w:t>
      </w:r>
    </w:p>
    <w:p>
      <w:r>
        <w:rPr/>
      </w:r>
    </w:p>
  </w:comment>
  <w:comment w:id="20" w:author="Theo Geurts" w:date="2017-07-22T13:10:00Z" w:initials="TG">
    <w:p>
      <w:r>
        <w:rPr>
          <w:lang w:val="en-US"/>
        </w:rPr>
        <w:t>How is this relevant for privacy services?</w:t>
      </w:r>
    </w:p>
    <w:p>
      <w:r>
        <w:rPr/>
      </w:r>
    </w:p>
  </w:comment>
  <w:comment w:id="21" w:author="Theo Geurts" w:date="2017-07-22T13:10:00Z" w:initials="TG">
    <w:p>
      <w:r>
        <w:rPr/>
        <w:t>See above</w:t>
      </w:r>
    </w:p>
    <w:p>
      <w:r>
        <w:rPr/>
      </w:r>
    </w:p>
  </w:comment>
  <w:comment w:id="22" w:author="Theo Geurts" w:date="2017-07-22T13:28:00Z" w:initials="TG">
    <w:p>
      <w:r>
        <w:rPr>
          <w:lang w:val="en-US"/>
        </w:rPr>
        <w:t>Was this the intention of the WG?</w:t>
      </w:r>
    </w:p>
    <w:p>
      <w:r>
        <w:rPr/>
      </w:r>
    </w:p>
  </w:comment>
  <w:comment w:id="23" w:author="Theo Geurts" w:date="2017-07-22T13:33:00Z" w:initials="TG">
    <w:p>
      <w:r>
        <w:rPr>
          <w:lang w:val="en-US"/>
        </w:rPr>
        <w:t xml:space="preserve">How do we prevent that for example on a forum. where there might be thousands of trademark infringements a provider gets swamped under requests and has to answer everyone who complains? That is one of my fears with this section that we get swamped in automated requests that might result in a lot of manual labor. </w:t>
      </w:r>
    </w:p>
    <w:p>
      <w:r>
        <w:rPr/>
      </w:r>
    </w:p>
  </w:comment>
  <w:comment w:id="24" w:author="Theo Geurts" w:date="2017-07-22T13:40:00Z" w:initials="TG">
    <w:p>
      <w:r>
        <w:rPr>
          <w:lang w:val="en-US"/>
        </w:rPr>
        <w:t>Not up to the provider, registrar or registry</w:t>
      </w:r>
    </w:p>
    <w:p>
      <w:r>
        <w:rPr/>
      </w:r>
    </w:p>
  </w:comment>
  <w:comment w:id="25" w:author="Theo Geurts" w:date="2017-07-22T13:43:00Z" w:initials="TG">
    <w:p>
      <w:r>
        <w:rPr>
          <w:lang w:val="en-US"/>
        </w:rPr>
        <w:t>Only applicable if there are costs to such a service? If the service is offered for free there is no source of payment.</w:t>
      </w:r>
    </w:p>
    <w:p>
      <w:r>
        <w:rPr/>
      </w:r>
    </w:p>
  </w:comment>
  <w:comment w:id="26" w:author="Theo Geurts" w:date="2017-07-22T13:46:00Z" w:initials="TG">
    <w:p>
      <w:r>
        <w:rPr>
          <w:lang w:val="en-US"/>
        </w:rPr>
        <w:t xml:space="preserve">Registrars with such a waiver will be granted one automatically for their privacy service as it is now? Section 3 of this specification seems to indicate this. </w:t>
      </w:r>
    </w:p>
    <w:p>
      <w:r>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mbria">
    <w:charset w:val="00"/>
    <w:family w:val="swiss"/>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pPr>
    <w:r>
      <w:rPr/>
      <w:t xml:space="preserve">Page </w:t>
    </w:r>
    <w:r>
      <w:rPr/>
      <w:fldChar w:fldCharType="begin"/>
    </w:r>
    <w:r>
      <w:instrText> PAGE </w:instrText>
    </w:r>
    <w:r>
      <w:fldChar w:fldCharType="separate"/>
    </w:r>
    <w:r>
      <w:t>1</w:t>
    </w:r>
    <w:r>
      <w:fldChar w:fldCharType="end"/>
    </w:r>
    <w:r>
      <w:rPr/>
      <w:t xml:space="preserve"> of </w:t>
    </w:r>
    <w:r>
      <w:rPr/>
      <w:fldChar w:fldCharType="begin"/>
    </w:r>
    <w:r>
      <w:instrText> NUMPAGES </w:instrText>
    </w:r>
    <w:r>
      <w:fldChar w:fldCharType="separate"/>
    </w:r>
    <w:r>
      <w:t>77</w:t>
    </w:r>
    <w:r>
      <w:fldChar w:fldCharType="end"/>
    </w:r>
    <w:r>
      <w:rPr/>
      <w:t xml:space="preserve"> </w:t>
    </w:r>
  </w:p>
  <w:p>
    <w:pPr>
      <w:pStyle w:val="Normal"/>
      <w:spacing w:lineRule="auto" w:line="259" w:before="0" w:after="0"/>
      <w:ind w:left="0" w:hanging="0"/>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3"/>
      <w:ind w:left="0" w:hanging="0"/>
      <w:rPr/>
    </w:pPr>
    <w:r>
      <w:rPr>
        <w:rFonts w:eastAsia="Times New Roman" w:cs="Times New Roman" w:ascii="Times New Roman" w:hAnsi="Times New Roman"/>
        <w:sz w:val="20"/>
      </w:rPr>
      <w:t xml:space="preserve"> </w:t>
    </w:r>
  </w:p>
  <w:p>
    <w:pPr>
      <w:pStyle w:val="Normal"/>
      <w:spacing w:lineRule="auto" w:line="259" w:before="0" w:after="0"/>
      <w:ind w:left="40" w:hanging="0"/>
      <w:jc w:val="center"/>
      <w:rPr/>
    </w:pPr>
    <w:r>
      <w:rPr>
        <w:rFonts w:eastAsia="Times New Roman" w:cs="Times New Roman" w:ascii="Times New Roman" w:hAnsi="Times New Roman"/>
      </w:rPr>
      <w:fldChar w:fldCharType="begin"/>
    </w:r>
    <w:r>
      <w:instrText> PAGE </w:instrText>
    </w:r>
    <w:r>
      <w:fldChar w:fldCharType="separate"/>
    </w:r>
    <w:r>
      <w:t>70</w:t>
    </w:r>
    <w:r>
      <w:fldChar w:fldCharType="end"/>
    </w:r>
    <w:r>
      <w:rPr>
        <w:rFonts w:eastAsia="Times New Roman" w:cs="Times New Roman" w:ascii="Times New Roman" w:hAnsi="Times New Roman"/>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 w:hanging="360"/>
      </w:pPr>
      <w:rPr>
        <w:dstrike w:val="false"/>
        <w:strike w:val="false"/>
        <w:vertAlign w:val="baseline"/>
        <w:position w:val="0"/>
        <w:sz w:val="24"/>
        <w:sz w:val="24"/>
        <w:i w:val="false"/>
        <w:u w:val="none" w:color="000000"/>
        <w:b/>
        <w:highlight w:val="white"/>
        <w:szCs w:val="24"/>
        <w:bCs/>
        <w:rFonts w:eastAsia="Cambria" w:cs="Cambria"/>
        <w:color w:val="000000"/>
      </w:rPr>
    </w:lvl>
    <w:lvl w:ilvl="1">
      <w:start w:val="1"/>
      <w:numFmt w:val="decimal"/>
      <w:lvlText w:val="%1.%2"/>
      <w:lvlJc w:val="left"/>
      <w:pPr>
        <w:ind w:left="1476"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lowerRoman"/>
      <w:lvlText w:val="%3"/>
      <w:lvlJc w:val="left"/>
      <w:pPr>
        <w:ind w:left="108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180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252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324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39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68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5400"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2">
    <w:lvl w:ilvl="0">
      <w:start w:val="2"/>
      <w:numFmt w:val="decimal"/>
      <w:lvlText w:val="%1."/>
      <w:lvlJc w:val="left"/>
      <w:pPr>
        <w:ind w:left="432" w:hanging="360"/>
      </w:pPr>
      <w:rPr>
        <w:dstrike w:val="false"/>
        <w:strike w:val="false"/>
        <w:vertAlign w:val="baseline"/>
        <w:position w:val="0"/>
        <w:sz w:val="24"/>
        <w:sz w:val="24"/>
        <w:i w:val="false"/>
        <w:u w:val="none" w:color="000000"/>
        <w:b/>
        <w:highlight w:val="white"/>
        <w:szCs w:val="24"/>
        <w:bCs/>
        <w:rFonts w:eastAsia="Cambria" w:cs="Cambria"/>
        <w:color w:val="000000"/>
      </w:rPr>
    </w:lvl>
    <w:lvl w:ilvl="1">
      <w:start w:val="1"/>
      <w:numFmt w:val="decimal"/>
      <w:lvlText w:val="%1.%2"/>
      <w:lvlJc w:val="left"/>
      <w:pPr>
        <w:ind w:left="152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decimal"/>
      <w:lvlText w:val="%1.%2.%3"/>
      <w:lvlJc w:val="left"/>
      <w:pPr>
        <w:ind w:left="2136"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1.%2.%3.%4"/>
      <w:lvlJc w:val="left"/>
      <w:pPr>
        <w:ind w:left="3025"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decimal"/>
      <w:lvlText w:val="%1.%2.%3.%4.%5"/>
      <w:lvlJc w:val="left"/>
      <w:pPr>
        <w:ind w:left="316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180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252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32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3961"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3">
    <w:lvl w:ilvl="0">
      <w:start w:val="7"/>
      <w:numFmt w:val="decimal"/>
      <w:lvlText w:val="%1."/>
      <w:lvlJc w:val="left"/>
      <w:pPr>
        <w:ind w:left="432" w:hanging="360"/>
      </w:pPr>
      <w:rPr>
        <w:dstrike w:val="false"/>
        <w:strike w:val="false"/>
        <w:vertAlign w:val="baseline"/>
        <w:position w:val="0"/>
        <w:sz w:val="24"/>
        <w:sz w:val="24"/>
        <w:i w:val="false"/>
        <w:u w:val="none" w:color="000000"/>
        <w:b/>
        <w:highlight w:val="white"/>
        <w:szCs w:val="24"/>
        <w:bCs/>
        <w:rFonts w:eastAsia="Cambria" w:cs="Cambria"/>
        <w:color w:val="000000"/>
      </w:rPr>
    </w:lvl>
    <w:lvl w:ilvl="1">
      <w:start w:val="1"/>
      <w:numFmt w:val="decimal"/>
      <w:lvlText w:val="%1.%2"/>
      <w:lvlJc w:val="left"/>
      <w:pPr>
        <w:ind w:left="135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decimal"/>
      <w:lvlText w:val="%1.%2.%3"/>
      <w:lvlJc w:val="left"/>
      <w:pPr>
        <w:ind w:left="145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1.%2.%3.%4"/>
      <w:lvlJc w:val="left"/>
      <w:pPr>
        <w:ind w:left="3152"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188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260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332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04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4769"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4">
    <w:lvl w:ilvl="0">
      <w:start w:val="1"/>
      <w:numFmt w:val="decimal"/>
      <w:lvlText w:val="%1."/>
      <w:lvlJc w:val="left"/>
      <w:pPr>
        <w:ind w:left="3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decimal"/>
      <w:lvlText w:val="%1.%2."/>
      <w:lvlJc w:val="left"/>
      <w:pPr>
        <w:ind w:left="792"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decimal"/>
      <w:lvlText w:val="%1.%2.%3."/>
      <w:lvlJc w:val="left"/>
      <w:pPr>
        <w:ind w:left="1332"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180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252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324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39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68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5400"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5">
    <w:lvl w:ilvl="0">
      <w:start w:val="1"/>
      <w:numFmt w:val="decimal"/>
      <w:lvlText w:val="%1"/>
      <w:lvlJc w:val="left"/>
      <w:pPr>
        <w:ind w:left="3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lowerLetter"/>
      <w:lvlText w:val="%2"/>
      <w:lvlJc w:val="left"/>
      <w:pPr>
        <w:ind w:left="634"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lowerRoman"/>
      <w:lvlText w:val="%3"/>
      <w:lvlJc w:val="left"/>
      <w:pPr>
        <w:ind w:left="907"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15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190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262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33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06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4781"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6">
    <w:lvl w:ilvl="0">
      <w:start w:val="1"/>
      <w:numFmt w:val="decimal"/>
      <w:lvlText w:val="%1"/>
      <w:lvlJc w:val="left"/>
      <w:pPr>
        <w:ind w:left="3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lowerLetter"/>
      <w:lvlText w:val="%2"/>
      <w:lvlJc w:val="left"/>
      <w:pPr>
        <w:ind w:left="634"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lowerRoman"/>
      <w:lvlText w:val="%3"/>
      <w:lvlJc w:val="left"/>
      <w:pPr>
        <w:ind w:left="907"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15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190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262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33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06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4781"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7">
    <w:lvl w:ilvl="0">
      <w:start w:val="1"/>
      <w:numFmt w:val="decimal"/>
      <w:lvlText w:val="%1"/>
      <w:lvlJc w:val="left"/>
      <w:pPr>
        <w:ind w:left="3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lowerLetter"/>
      <w:lvlText w:val="%2"/>
      <w:lvlJc w:val="left"/>
      <w:pPr>
        <w:ind w:left="634"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lowerRoman"/>
      <w:lvlText w:val="%3"/>
      <w:lvlJc w:val="left"/>
      <w:pPr>
        <w:ind w:left="907"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15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190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262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33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06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4781"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8">
    <w:lvl w:ilvl="0">
      <w:start w:val="1"/>
      <w:numFmt w:val="decimal"/>
      <w:lvlText w:val="%1."/>
      <w:lvlJc w:val="left"/>
      <w:pPr>
        <w:ind w:left="922"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decimal"/>
      <w:lvlText w:val="%1.%2."/>
      <w:lvlJc w:val="left"/>
      <w:pPr>
        <w:ind w:left="1642"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lowerRoman"/>
      <w:lvlText w:val="%3"/>
      <w:lvlJc w:val="left"/>
      <w:pPr>
        <w:ind w:left="190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262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334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406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478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550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6221"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9">
    <w:lvl w:ilvl="0">
      <w:start w:val="1"/>
      <w:numFmt w:val="decimal"/>
      <w:lvlText w:val="%1."/>
      <w:lvlJc w:val="left"/>
      <w:pPr>
        <w:ind w:left="46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lowerLetter"/>
      <w:lvlText w:val="%2."/>
      <w:lvlJc w:val="left"/>
      <w:pPr>
        <w:ind w:left="118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10">
    <w:lvl w:ilvl="0">
      <w:start w:val="1"/>
      <w:numFmt w:val="decimal"/>
      <w:lvlText w:val="%1."/>
      <w:lvlJc w:val="left"/>
      <w:pPr>
        <w:ind w:left="533"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decimal"/>
      <w:lvlText w:val="%1.%2"/>
      <w:lvlJc w:val="left"/>
      <w:pPr>
        <w:ind w:left="110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decimal"/>
      <w:lvlText w:val="%1.%2.%3"/>
      <w:lvlJc w:val="left"/>
      <w:pPr>
        <w:ind w:left="1829"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2088"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2808"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3528"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4248"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968"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5688"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11">
    <w:lvl w:ilvl="0">
      <w:start w:val="1"/>
      <w:numFmt w:val="decimal"/>
      <w:lvlText w:val="%1."/>
      <w:lvlJc w:val="left"/>
      <w:pPr>
        <w:ind w:left="46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decimal"/>
      <w:lvlText w:val="%1.%2."/>
      <w:lvlJc w:val="left"/>
      <w:pPr>
        <w:ind w:left="100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decimal"/>
      <w:lvlText w:val="%1.%2.%3."/>
      <w:lvlJc w:val="left"/>
      <w:pPr>
        <w:ind w:left="1812"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2016"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2736"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3456"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4176"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4896"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5616"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12">
    <w:lvl w:ilvl="0">
      <w:start w:val="1"/>
      <w:numFmt w:val="decimal"/>
      <w:lvlText w:val="%1."/>
      <w:lvlJc w:val="left"/>
      <w:pPr>
        <w:ind w:left="471"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1">
      <w:start w:val="1"/>
      <w:numFmt w:val="lowerLetter"/>
      <w:lvlText w:val="%2"/>
      <w:lvlJc w:val="left"/>
      <w:pPr>
        <w:ind w:left="144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2">
      <w:start w:val="1"/>
      <w:numFmt w:val="lowerRoman"/>
      <w:lvlText w:val="%3"/>
      <w:lvlJc w:val="left"/>
      <w:pPr>
        <w:ind w:left="21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3">
      <w:start w:val="1"/>
      <w:numFmt w:val="decimal"/>
      <w:lvlText w:val="%4"/>
      <w:lvlJc w:val="left"/>
      <w:pPr>
        <w:ind w:left="288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4">
      <w:start w:val="1"/>
      <w:numFmt w:val="lowerLetter"/>
      <w:lvlText w:val="%5"/>
      <w:lvlJc w:val="left"/>
      <w:pPr>
        <w:ind w:left="360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5">
      <w:start w:val="1"/>
      <w:numFmt w:val="lowerRoman"/>
      <w:lvlText w:val="%6"/>
      <w:lvlJc w:val="left"/>
      <w:pPr>
        <w:ind w:left="432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6">
      <w:start w:val="1"/>
      <w:numFmt w:val="decimal"/>
      <w:lvlText w:val="%7"/>
      <w:lvlJc w:val="left"/>
      <w:pPr>
        <w:ind w:left="504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7">
      <w:start w:val="1"/>
      <w:numFmt w:val="lowerLetter"/>
      <w:lvlText w:val="%8"/>
      <w:lvlJc w:val="left"/>
      <w:pPr>
        <w:ind w:left="5760" w:hanging="360"/>
      </w:pPr>
      <w:rPr>
        <w:dstrike w:val="false"/>
        <w:strike w:val="false"/>
        <w:vertAlign w:val="baseline"/>
        <w:position w:val="0"/>
        <w:sz w:val="24"/>
        <w:sz w:val="24"/>
        <w:i w:val="false"/>
        <w:u w:val="none" w:color="000000"/>
        <w:b w:val="false"/>
        <w:highlight w:val="white"/>
        <w:szCs w:val="24"/>
        <w:rFonts w:eastAsia="Cambria" w:cs="Cambria"/>
        <w:color w:val="000000"/>
      </w:rPr>
    </w:lvl>
    <w:lvl w:ilvl="8">
      <w:start w:val="1"/>
      <w:numFmt w:val="lowerRoman"/>
      <w:lvlText w:val="%9"/>
      <w:lvlJc w:val="left"/>
      <w:pPr>
        <w:ind w:left="6480" w:hanging="360"/>
      </w:pPr>
      <w:rPr>
        <w:dstrike w:val="false"/>
        <w:strike w:val="false"/>
        <w:vertAlign w:val="baseline"/>
        <w:position w:val="0"/>
        <w:sz w:val="24"/>
        <w:sz w:val="24"/>
        <w:i w:val="false"/>
        <w:u w:val="none" w:color="000000"/>
        <w:b w:val="false"/>
        <w:highlight w:val="white"/>
        <w:szCs w:val="24"/>
        <w:rFonts w:eastAsia="Cambria" w:cs="Cambria"/>
        <w:color w:val="000000"/>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5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l-NL" w:eastAsia="nl-NL" w:bidi="ar-SA"/>
      </w:rPr>
    </w:rPrDefault>
    <w:pPrDefault>
      <w:pPr>
        <w:spacing w:lineRule="auto" w:line="259"/>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bidi w:val="0"/>
      <w:spacing w:lineRule="auto" w:line="247" w:before="0" w:after="259"/>
      <w:ind w:left="10" w:hanging="10"/>
      <w:jc w:val="left"/>
    </w:pPr>
    <w:rPr>
      <w:rFonts w:ascii="Cambria" w:hAnsi="Cambria" w:eastAsia="Cambria" w:cs="Cambria"/>
      <w:color w:val="000000"/>
      <w:sz w:val="24"/>
      <w:szCs w:val="22"/>
      <w:lang w:val="nl-NL" w:eastAsia="nl-NL" w:bidi="ar-SA"/>
    </w:rPr>
  </w:style>
  <w:style w:type="paragraph" w:styleId="Kop1">
    <w:name w:val="Kop 1"/>
    <w:basedOn w:val="Kop"/>
    <w:next w:val="Normal"/>
    <w:link w:val="Heading1Char"/>
    <w:uiPriority w:val="9"/>
    <w:unhideWhenUsed/>
    <w:qFormat/>
    <w:pPr>
      <w:keepNext/>
      <w:keepLines/>
      <w:widowControl/>
      <w:bidi w:val="0"/>
      <w:spacing w:lineRule="auto" w:line="266" w:before="240" w:after="0"/>
      <w:ind w:left="10" w:hanging="10"/>
      <w:jc w:val="center"/>
      <w:outlineLvl w:val="0"/>
    </w:pPr>
    <w:rPr>
      <w:rFonts w:ascii="Cambria" w:hAnsi="Cambria" w:eastAsia="Cambria" w:cs="Cambria"/>
      <w:b/>
      <w:color w:val="000000"/>
      <w:sz w:val="24"/>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Cambria" w:hAnsi="Cambria" w:eastAsia="Cambria" w:cs="Cambria"/>
      <w:b/>
      <w:color w:val="000000"/>
      <w:sz w:val="24"/>
    </w:rPr>
  </w:style>
  <w:style w:type="character" w:styleId="Annotationreference">
    <w:name w:val="annotation reference"/>
    <w:basedOn w:val="DefaultParagraphFont"/>
    <w:uiPriority w:val="99"/>
    <w:semiHidden/>
    <w:unhideWhenUsed/>
    <w:qFormat/>
    <w:rsid w:val="00383a6c"/>
    <w:rPr>
      <w:sz w:val="16"/>
      <w:szCs w:val="16"/>
    </w:rPr>
  </w:style>
  <w:style w:type="character" w:styleId="CommentTextChar" w:customStyle="1">
    <w:name w:val="Comment Text Char"/>
    <w:basedOn w:val="DefaultParagraphFont"/>
    <w:link w:val="CommentText"/>
    <w:uiPriority w:val="99"/>
    <w:semiHidden/>
    <w:qFormat/>
    <w:rsid w:val="00383a6c"/>
    <w:rPr>
      <w:rFonts w:ascii="Cambria" w:hAnsi="Cambria" w:eastAsia="Cambria" w:cs="Cambria"/>
      <w:color w:val="000000"/>
      <w:sz w:val="20"/>
      <w:szCs w:val="20"/>
    </w:rPr>
  </w:style>
  <w:style w:type="character" w:styleId="CommentSubjectChar" w:customStyle="1">
    <w:name w:val="Comment Subject Char"/>
    <w:basedOn w:val="CommentTextChar"/>
    <w:link w:val="CommentSubject"/>
    <w:uiPriority w:val="99"/>
    <w:semiHidden/>
    <w:qFormat/>
    <w:rsid w:val="00383a6c"/>
    <w:rPr>
      <w:rFonts w:ascii="Cambria" w:hAnsi="Cambria" w:eastAsia="Cambria" w:cs="Cambria"/>
      <w:b/>
      <w:bCs/>
      <w:color w:val="000000"/>
      <w:sz w:val="20"/>
      <w:szCs w:val="20"/>
    </w:rPr>
  </w:style>
  <w:style w:type="character" w:styleId="BalloonTextChar" w:customStyle="1">
    <w:name w:val="Balloon Text Char"/>
    <w:basedOn w:val="DefaultParagraphFont"/>
    <w:link w:val="BalloonText"/>
    <w:uiPriority w:val="99"/>
    <w:semiHidden/>
    <w:qFormat/>
    <w:rsid w:val="00383a6c"/>
    <w:rPr>
      <w:rFonts w:ascii="Segoe UI" w:hAnsi="Segoe UI" w:eastAsia="Cambria" w:cs="Segoe UI"/>
      <w:color w:val="000000"/>
      <w:sz w:val="18"/>
      <w:szCs w:val="18"/>
    </w:rPr>
  </w:style>
  <w:style w:type="character" w:styleId="ListLabel1">
    <w:name w:val="ListLabel 1"/>
    <w:qFormat/>
    <w:rPr>
      <w:rFonts w:eastAsia="Cambria" w:cs="Cambria"/>
      <w:b/>
      <w:bCs/>
      <w:i w:val="false"/>
      <w:strike w:val="false"/>
      <w:dstrike w:val="false"/>
      <w:color w:val="000000"/>
      <w:position w:val="0"/>
      <w:sz w:val="24"/>
      <w:sz w:val="24"/>
      <w:szCs w:val="24"/>
      <w:highlight w:val="white"/>
      <w:u w:val="none" w:color="000000"/>
      <w:vertAlign w:val="baseline"/>
    </w:rPr>
  </w:style>
  <w:style w:type="character" w:styleId="ListLabel2">
    <w:name w:val="ListLabel 2"/>
    <w:qFormat/>
    <w:rPr>
      <w:rFonts w:eastAsia="Cambria" w:cs="Cambria"/>
      <w:b w:val="false"/>
      <w:i w:val="false"/>
      <w:strike w:val="false"/>
      <w:dstrike w:val="false"/>
      <w:color w:val="000000"/>
      <w:position w:val="0"/>
      <w:sz w:val="24"/>
      <w:sz w:val="24"/>
      <w:szCs w:val="24"/>
      <w:highlight w:val="white"/>
      <w:u w:val="none" w:color="000000"/>
      <w:vertAlign w:val="baseline"/>
    </w:rPr>
  </w:style>
  <w:style w:type="paragraph" w:styleId="Kop">
    <w:name w:val="Kop"/>
    <w:basedOn w:val="Normal"/>
    <w:next w:val="Tekstblok"/>
    <w:qFormat/>
    <w:pPr>
      <w:keepNext/>
      <w:spacing w:before="240" w:after="120"/>
    </w:pPr>
    <w:rPr>
      <w:rFonts w:ascii="Liberation Sans" w:hAnsi="Liberation Sans" w:eastAsia="Microsoft YaHei" w:cs="Arial"/>
      <w:sz w:val="28"/>
      <w:szCs w:val="28"/>
    </w:rPr>
  </w:style>
  <w:style w:type="paragraph" w:styleId="Tekstblok">
    <w:name w:val="Tekstblok"/>
    <w:basedOn w:val="Normal"/>
    <w:pPr>
      <w:spacing w:lineRule="auto" w:line="288" w:before="0" w:after="140"/>
    </w:pPr>
    <w:rPr/>
  </w:style>
  <w:style w:type="paragraph" w:styleId="Lijst">
    <w:name w:val="Lijst"/>
    <w:basedOn w:val="Tekstblok"/>
    <w:pPr/>
    <w:rPr>
      <w:rFonts w:cs="Arial"/>
    </w:rPr>
  </w:style>
  <w:style w:type="paragraph" w:styleId="Bijschrift">
    <w:name w:val="Bijschrift"/>
    <w:basedOn w:val="Normal"/>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notationtext">
    <w:name w:val="annotation text"/>
    <w:basedOn w:val="Normal"/>
    <w:link w:val="CommentTextChar"/>
    <w:uiPriority w:val="99"/>
    <w:semiHidden/>
    <w:unhideWhenUsed/>
    <w:qFormat/>
    <w:rsid w:val="00383a6c"/>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383a6c"/>
    <w:pPr/>
    <w:rPr>
      <w:b/>
      <w:bCs/>
    </w:rPr>
  </w:style>
  <w:style w:type="paragraph" w:styleId="BalloonText">
    <w:name w:val="Balloon Text"/>
    <w:basedOn w:val="Normal"/>
    <w:link w:val="BalloonTextChar"/>
    <w:uiPriority w:val="99"/>
    <w:semiHidden/>
    <w:unhideWhenUsed/>
    <w:qFormat/>
    <w:rsid w:val="00383a6c"/>
    <w:pPr>
      <w:spacing w:lineRule="auto" w:line="240" w:before="0" w:after="0"/>
    </w:pPr>
    <w:rPr>
      <w:rFonts w:ascii="Segoe UI" w:hAnsi="Segoe UI" w:cs="Segoe UI"/>
      <w:sz w:val="18"/>
      <w:szCs w:val="18"/>
    </w:rPr>
  </w:style>
  <w:style w:type="paragraph" w:styleId="Voettekst">
    <w:name w:val="Voettekst"/>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LibreOffice/5.0.3.2$Windows_x86 LibreOffice_project/e5f16313668ac592c1bfb310f4390624e3dbfb75</Application>
  <Paragraphs>841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2017-07-22T11:48:00Z</dcterms:created>
  <dc:creator>Theo Geurts</dc:creator>
  <dc:language>nl-NL</dc:language>
  <dcterms:modified xsi:type="dcterms:W3CDTF">2017-07-22T13:59:51Z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