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0B88" w14:textId="02ED6021" w:rsidR="004C3C2D" w:rsidRPr="004C3C2D" w:rsidRDefault="004C3C2D" w:rsidP="004C3C2D">
      <w:pPr>
        <w:jc w:val="center"/>
        <w:rPr>
          <w:rFonts w:ascii="Times New Roman" w:eastAsia="Times New Roman" w:hAnsi="Times New Roman" w:cs="Times New Roman"/>
        </w:rPr>
      </w:pPr>
      <w:r w:rsidRPr="004C3C2D">
        <w:rPr>
          <w:rFonts w:ascii="Times New Roman" w:eastAsia="Times New Roman" w:hAnsi="Times New Roman" w:cs="Times New Roman"/>
        </w:rPr>
        <w:t>Comparison of SAC 058, NIST</w:t>
      </w:r>
      <w:r>
        <w:rPr>
          <w:rFonts w:ascii="Times New Roman" w:eastAsia="Times New Roman" w:hAnsi="Times New Roman" w:cs="Times New Roman"/>
        </w:rPr>
        <w:t>,</w:t>
      </w:r>
      <w:r w:rsidRPr="004C3C2D">
        <w:rPr>
          <w:rFonts w:ascii="Times New Roman" w:eastAsia="Times New Roman" w:hAnsi="Times New Roman" w:cs="Times New Roman"/>
        </w:rPr>
        <w:t xml:space="preserve"> EU</w:t>
      </w:r>
      <w:r>
        <w:rPr>
          <w:rFonts w:ascii="Times New Roman" w:eastAsia="Times New Roman" w:hAnsi="Times New Roman" w:cs="Times New Roman"/>
        </w:rPr>
        <w:t xml:space="preserve">, and Edgemoor </w:t>
      </w:r>
      <w:r w:rsidRPr="004C3C2D">
        <w:rPr>
          <w:rFonts w:ascii="Times New Roman" w:eastAsia="Times New Roman" w:hAnsi="Times New Roman" w:cs="Times New Roman"/>
        </w:rPr>
        <w:t>identity scales</w:t>
      </w:r>
    </w:p>
    <w:p w14:paraId="72AF887B" w14:textId="70A36C07" w:rsidR="004C3C2D" w:rsidRPr="004C3C2D" w:rsidRDefault="004C3C2D" w:rsidP="004C3C2D">
      <w:pPr>
        <w:jc w:val="center"/>
        <w:rPr>
          <w:rFonts w:ascii="Times New Roman" w:eastAsia="Times New Roman" w:hAnsi="Times New Roman" w:cs="Times New Roman"/>
        </w:rPr>
      </w:pPr>
      <w:r w:rsidRPr="004C3C2D">
        <w:rPr>
          <w:rFonts w:ascii="Times New Roman" w:eastAsia="Times New Roman" w:hAnsi="Times New Roman" w:cs="Times New Roman"/>
        </w:rPr>
        <w:t>Steve Crocker, 5 October 2021</w:t>
      </w:r>
    </w:p>
    <w:p w14:paraId="48743018" w14:textId="2C65E3C2" w:rsidR="004C3C2D" w:rsidRPr="004C3C2D" w:rsidRDefault="004C3C2D" w:rsidP="004C3C2D">
      <w:pPr>
        <w:rPr>
          <w:rFonts w:ascii="Times New Roman" w:eastAsia="Times New Roman" w:hAnsi="Times New Roman" w:cs="Times New Roman"/>
        </w:rPr>
      </w:pPr>
    </w:p>
    <w:p w14:paraId="0F3B8C28" w14:textId="4FFB3434" w:rsidR="004C3C2D" w:rsidRPr="004C3C2D" w:rsidRDefault="004C3C2D" w:rsidP="004C3C2D">
      <w:pPr>
        <w:rPr>
          <w:rFonts w:ascii="Times New Roman" w:eastAsia="Times New Roman" w:hAnsi="Times New Roman" w:cs="Times New Roman"/>
          <w:color w:val="222222"/>
          <w:shd w:val="clear" w:color="auto" w:fill="FFFFFF"/>
        </w:rPr>
      </w:pPr>
      <w:r w:rsidRPr="004C3C2D">
        <w:rPr>
          <w:rFonts w:ascii="Times New Roman" w:eastAsia="Times New Roman" w:hAnsi="Times New Roman" w:cs="Times New Roman"/>
        </w:rPr>
        <w:t xml:space="preserve">This is a quick comparison of the identity scales in ICANN SSAC’s SAC 058, </w:t>
      </w:r>
      <w:proofErr w:type="spellStart"/>
      <w:r w:rsidRPr="004C3C2D">
        <w:rPr>
          <w:rFonts w:ascii="Times New Roman" w:eastAsia="Times New Roman" w:hAnsi="Times New Roman" w:cs="Times New Roman"/>
          <w:color w:val="222222"/>
          <w:shd w:val="clear" w:color="auto" w:fill="FFFFFF"/>
        </w:rPr>
        <w:t>NIST</w:t>
      </w:r>
      <w:proofErr w:type="spellEnd"/>
      <w:r w:rsidRPr="004C3C2D">
        <w:rPr>
          <w:rFonts w:ascii="Times New Roman" w:eastAsia="Times New Roman" w:hAnsi="Times New Roman" w:cs="Times New Roman"/>
          <w:color w:val="222222"/>
          <w:shd w:val="clear" w:color="auto" w:fill="FFFFFF"/>
        </w:rPr>
        <w:t xml:space="preserve"> SP 800-63a Digital Identity Guidelines</w:t>
      </w:r>
      <w:r w:rsidRPr="004C3C2D">
        <w:rPr>
          <w:rFonts w:ascii="Times New Roman" w:eastAsia="Times New Roman" w:hAnsi="Times New Roman" w:cs="Times New Roman"/>
          <w:color w:val="222222"/>
          <w:shd w:val="clear" w:color="auto" w:fill="FFFFFF"/>
        </w:rPr>
        <w:t xml:space="preserve">, and </w:t>
      </w:r>
      <w:r w:rsidRPr="004C3C2D">
        <w:rPr>
          <w:rFonts w:ascii="Times New Roman" w:eastAsia="Times New Roman" w:hAnsi="Times New Roman" w:cs="Times New Roman"/>
          <w:color w:val="222222"/>
          <w:shd w:val="clear" w:color="auto" w:fill="FFFFFF"/>
        </w:rPr>
        <w:t xml:space="preserve">EU </w:t>
      </w:r>
      <w:proofErr w:type="spellStart"/>
      <w:r w:rsidRPr="004C3C2D">
        <w:rPr>
          <w:rFonts w:ascii="Times New Roman" w:eastAsia="Times New Roman" w:hAnsi="Times New Roman" w:cs="Times New Roman"/>
          <w:color w:val="222222"/>
          <w:shd w:val="clear" w:color="auto" w:fill="FFFFFF"/>
        </w:rPr>
        <w:t>eIDAS</w:t>
      </w:r>
      <w:proofErr w:type="spellEnd"/>
      <w:r w:rsidRPr="004C3C2D">
        <w:rPr>
          <w:rFonts w:ascii="Times New Roman" w:eastAsia="Times New Roman" w:hAnsi="Times New Roman" w:cs="Times New Roman"/>
          <w:color w:val="222222"/>
          <w:shd w:val="clear" w:color="auto" w:fill="FFFFFF"/>
        </w:rPr>
        <w:t xml:space="preserve"> Regulation (2016)</w:t>
      </w:r>
      <w:r w:rsidRPr="004C3C2D">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 xml:space="preserve">  The relevant texts are copied below.</w:t>
      </w:r>
    </w:p>
    <w:p w14:paraId="4AA502C6" w14:textId="37684E28" w:rsidR="004C3C2D" w:rsidRPr="004C3C2D" w:rsidRDefault="004C3C2D" w:rsidP="004C3C2D">
      <w:pPr>
        <w:rPr>
          <w:rFonts w:ascii="Times New Roman" w:eastAsia="Times New Roman" w:hAnsi="Times New Roman" w:cs="Times New Roman"/>
          <w:color w:val="222222"/>
          <w:shd w:val="clear" w:color="auto" w:fill="FFFFFF"/>
        </w:rPr>
      </w:pPr>
    </w:p>
    <w:p w14:paraId="378B2169" w14:textId="730EA008" w:rsidR="004C3C2D" w:rsidRDefault="004C3C2D" w:rsidP="004C3C2D">
      <w:pPr>
        <w:rPr>
          <w:rFonts w:ascii="Times New Roman" w:eastAsia="Times New Roman" w:hAnsi="Times New Roman" w:cs="Times New Roman"/>
          <w:color w:val="222222"/>
          <w:shd w:val="clear" w:color="auto" w:fill="FFFFFF"/>
        </w:rPr>
      </w:pPr>
      <w:r w:rsidRPr="004C3C2D">
        <w:rPr>
          <w:rFonts w:ascii="Times New Roman" w:eastAsia="Times New Roman" w:hAnsi="Times New Roman" w:cs="Times New Roman"/>
          <w:color w:val="222222"/>
          <w:shd w:val="clear" w:color="auto" w:fill="FFFFFF"/>
        </w:rPr>
        <w:t>Caveat: I have not followed the developments of each of these scales.  This comparison is based on my quick reading of the text</w:t>
      </w:r>
      <w:r>
        <w:rPr>
          <w:rFonts w:ascii="Times New Roman" w:eastAsia="Times New Roman" w:hAnsi="Times New Roman" w:cs="Times New Roman"/>
          <w:color w:val="222222"/>
          <w:shd w:val="clear" w:color="auto" w:fill="FFFFFF"/>
        </w:rPr>
        <w:t>s</w:t>
      </w:r>
      <w:r w:rsidRPr="004C3C2D">
        <w:rPr>
          <w:rFonts w:ascii="Times New Roman" w:eastAsia="Times New Roman" w:hAnsi="Times New Roman" w:cs="Times New Roman"/>
          <w:color w:val="222222"/>
          <w:shd w:val="clear" w:color="auto" w:fill="FFFFFF"/>
        </w:rPr>
        <w:t>.  This note is provided for review and discussion.  Comments, criticisms, corrections, etc. are welcome.</w:t>
      </w:r>
    </w:p>
    <w:p w14:paraId="54B5FE39" w14:textId="64E6BB67" w:rsidR="004C3C2D" w:rsidRDefault="004C3C2D" w:rsidP="004C3C2D">
      <w:pPr>
        <w:rPr>
          <w:rFonts w:ascii="Times New Roman" w:eastAsia="Times New Roman" w:hAnsi="Times New Roman" w:cs="Times New Roman"/>
          <w:color w:val="222222"/>
          <w:shd w:val="clear" w:color="auto" w:fill="FFFFFF"/>
        </w:rPr>
      </w:pPr>
    </w:p>
    <w:p w14:paraId="02B05170" w14:textId="24F1660B" w:rsidR="004C3C2D" w:rsidRDefault="004C3C2D" w:rsidP="004C3C2D">
      <w:pPr>
        <w:pStyle w:val="Heading2"/>
        <w:rPr>
          <w:rFonts w:eastAsia="Times New Roman"/>
          <w:shd w:val="clear" w:color="auto" w:fill="FFFFFF"/>
        </w:rPr>
      </w:pPr>
      <w:r>
        <w:rPr>
          <w:rFonts w:eastAsia="Times New Roman"/>
          <w:shd w:val="clear" w:color="auto" w:fill="FFFFFF"/>
        </w:rPr>
        <w:t>Introduction</w:t>
      </w:r>
    </w:p>
    <w:p w14:paraId="5BE47D59" w14:textId="67A9B8DD" w:rsidR="004C3C2D" w:rsidRDefault="004C3C2D" w:rsidP="004C3C2D">
      <w:pPr>
        <w:rPr>
          <w:rFonts w:ascii="Times New Roman" w:eastAsia="Times New Roman" w:hAnsi="Times New Roman" w:cs="Times New Roman"/>
          <w:color w:val="222222"/>
          <w:shd w:val="clear" w:color="auto" w:fill="FFFFFF"/>
        </w:rPr>
      </w:pPr>
    </w:p>
    <w:p w14:paraId="7525E7F3" w14:textId="6FEDDAFA" w:rsidR="004C3C2D" w:rsidRDefault="004C3C2D" w:rsidP="004C3C2D">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An identity specification consists of a number of data elements, </w:t>
      </w:r>
      <w:proofErr w:type="gramStart"/>
      <w:r>
        <w:rPr>
          <w:rFonts w:ascii="Times New Roman" w:eastAsia="Times New Roman" w:hAnsi="Times New Roman" w:cs="Times New Roman"/>
          <w:color w:val="222222"/>
          <w:shd w:val="clear" w:color="auto" w:fill="FFFFFF"/>
        </w:rPr>
        <w:t>e.g.</w:t>
      </w:r>
      <w:proofErr w:type="gramEnd"/>
      <w:r>
        <w:rPr>
          <w:rFonts w:ascii="Times New Roman" w:eastAsia="Times New Roman" w:hAnsi="Times New Roman" w:cs="Times New Roman"/>
          <w:color w:val="222222"/>
          <w:shd w:val="clear" w:color="auto" w:fill="FFFFFF"/>
        </w:rPr>
        <w:t xml:space="preserve"> name, country, city, street address, phone number, email, etc. that are correlated with a specific person.  In principle, if this data is accurate, it should be possible to find and/or contact the indicated person.  In practice, even if the data is accurate the person may not be findable or reachable.  For example, the person may not be at the location indicated or the person may not answer a phone call or email message.</w:t>
      </w:r>
    </w:p>
    <w:p w14:paraId="12F6AC66" w14:textId="1C407709" w:rsidR="004C3C2D" w:rsidRDefault="004C3C2D" w:rsidP="004C3C2D">
      <w:pPr>
        <w:rPr>
          <w:rFonts w:ascii="Times New Roman" w:eastAsia="Times New Roman" w:hAnsi="Times New Roman" w:cs="Times New Roman"/>
          <w:color w:val="222222"/>
          <w:shd w:val="clear" w:color="auto" w:fill="FFFFFF"/>
        </w:rPr>
      </w:pPr>
    </w:p>
    <w:p w14:paraId="6D0D4C4B" w14:textId="69417F97" w:rsidR="004C3C2D" w:rsidRDefault="004C3C2D" w:rsidP="004C3C2D">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data elements are presumably acquired during a registration process based primarily on data supplied by the registrant.  In some settings, some of the data elements may be acquired by indirect means.</w:t>
      </w:r>
    </w:p>
    <w:p w14:paraId="10C8BBE5" w14:textId="7FDCF337" w:rsidR="004C3C2D" w:rsidRDefault="004C3C2D" w:rsidP="004C3C2D">
      <w:pPr>
        <w:rPr>
          <w:rFonts w:ascii="Times New Roman" w:eastAsia="Times New Roman" w:hAnsi="Times New Roman" w:cs="Times New Roman"/>
          <w:color w:val="222222"/>
          <w:shd w:val="clear" w:color="auto" w:fill="FFFFFF"/>
        </w:rPr>
      </w:pPr>
    </w:p>
    <w:p w14:paraId="5A6B7991" w14:textId="2B9FEADF" w:rsidR="004C3C2D" w:rsidRDefault="004C3C2D" w:rsidP="004C3C2D">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scales are intended to provide a basis for confidence (or lack of confidence) that the data is accurate.</w:t>
      </w:r>
    </w:p>
    <w:p w14:paraId="3102492D" w14:textId="3FBE06DC" w:rsidR="004C3C2D" w:rsidRDefault="004C3C2D" w:rsidP="004C3C2D">
      <w:pPr>
        <w:rPr>
          <w:rFonts w:ascii="Times New Roman" w:eastAsia="Times New Roman" w:hAnsi="Times New Roman" w:cs="Times New Roman"/>
          <w:color w:val="222222"/>
          <w:shd w:val="clear" w:color="auto" w:fill="FFFFFF"/>
        </w:rPr>
      </w:pPr>
    </w:p>
    <w:p w14:paraId="6A6B2180" w14:textId="678D7102" w:rsidR="004C3C2D" w:rsidRDefault="004C3C2D" w:rsidP="004C3C2D">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NIST and EU scales apply to the full collection of data elements and address the confidence level of the entire data set.  The SSAC scale is applicable on a per data element basis.  Further, the SSAC scale is phrased in terms of operational tests applied to the data elements.  The NIST and EU scales are phrased in more general terms.</w:t>
      </w:r>
    </w:p>
    <w:p w14:paraId="38353B36" w14:textId="6D2D5D28" w:rsidR="004C3C2D" w:rsidRDefault="004C3C2D" w:rsidP="004C3C2D">
      <w:pPr>
        <w:rPr>
          <w:rFonts w:ascii="Times New Roman" w:eastAsia="Times New Roman" w:hAnsi="Times New Roman" w:cs="Times New Roman"/>
          <w:color w:val="222222"/>
          <w:shd w:val="clear" w:color="auto" w:fill="FFFFFF"/>
        </w:rPr>
      </w:pPr>
    </w:p>
    <w:p w14:paraId="005BBFDF" w14:textId="084BEAA7" w:rsidR="004C3C2D" w:rsidRDefault="004C3C2D" w:rsidP="004C3C2D">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Edgemoor Research Institute (ERI) is using the SSAC scale, augmented with an additional notation to indicate no validation.</w:t>
      </w:r>
    </w:p>
    <w:p w14:paraId="7DB111E4" w14:textId="77777777" w:rsidR="004C3C2D" w:rsidRDefault="004C3C2D" w:rsidP="004C3C2D">
      <w:pPr>
        <w:rPr>
          <w:rFonts w:ascii="Times New Roman" w:eastAsia="Times New Roman" w:hAnsi="Times New Roman" w:cs="Times New Roman"/>
          <w:color w:val="222222"/>
          <w:shd w:val="clear" w:color="auto" w:fill="FFFFFF"/>
        </w:rPr>
      </w:pPr>
    </w:p>
    <w:p w14:paraId="6A2C6BF3" w14:textId="77777777" w:rsidR="004C3C2D" w:rsidRDefault="004C3C2D">
      <w:pPr>
        <w:rPr>
          <w:rFonts w:asciiTheme="majorHAnsi" w:eastAsia="Times New Roman" w:hAnsiTheme="majorHAnsi" w:cstheme="majorBidi"/>
          <w:color w:val="2F5496" w:themeColor="accent1" w:themeShade="BF"/>
          <w:sz w:val="26"/>
          <w:szCs w:val="26"/>
          <w:shd w:val="clear" w:color="auto" w:fill="FFFFFF"/>
        </w:rPr>
      </w:pPr>
      <w:r>
        <w:rPr>
          <w:rFonts w:eastAsia="Times New Roman"/>
          <w:shd w:val="clear" w:color="auto" w:fill="FFFFFF"/>
        </w:rPr>
        <w:br w:type="page"/>
      </w:r>
    </w:p>
    <w:p w14:paraId="149337BE" w14:textId="1E8EDFCD" w:rsidR="004C3C2D" w:rsidRDefault="004C3C2D" w:rsidP="004C3C2D">
      <w:pPr>
        <w:pStyle w:val="Heading2"/>
        <w:rPr>
          <w:rFonts w:eastAsia="Times New Roman"/>
          <w:shd w:val="clear" w:color="auto" w:fill="FFFFFF"/>
        </w:rPr>
      </w:pPr>
      <w:r>
        <w:rPr>
          <w:rFonts w:eastAsia="Times New Roman"/>
          <w:shd w:val="clear" w:color="auto" w:fill="FFFFFF"/>
        </w:rPr>
        <w:lastRenderedPageBreak/>
        <w:t>Comparison</w:t>
      </w:r>
    </w:p>
    <w:p w14:paraId="764F8559" w14:textId="77777777" w:rsidR="004C3C2D" w:rsidRDefault="004C3C2D" w:rsidP="004C3C2D">
      <w:pPr>
        <w:rPr>
          <w:rFonts w:ascii="Times New Roman" w:eastAsia="Times New Roman" w:hAnsi="Times New Roman" w:cs="Times New Roman"/>
          <w:color w:val="222222"/>
          <w:shd w:val="clear" w:color="auto" w:fill="FFFFFF"/>
        </w:rPr>
      </w:pPr>
    </w:p>
    <w:p w14:paraId="2E703A95" w14:textId="19BD6CD3" w:rsidR="004C3C2D" w:rsidRDefault="004C3C2D" w:rsidP="004C3C2D">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SSAC scale is stated on a per data element basis.  The NIST and EU scales apply to the collection of data elements associated with an identity.</w:t>
      </w:r>
    </w:p>
    <w:p w14:paraId="1304916E" w14:textId="314BD3F9" w:rsidR="004C3C2D" w:rsidRDefault="004C3C2D" w:rsidP="004C3C2D">
      <w:pPr>
        <w:rPr>
          <w:rFonts w:ascii="Times New Roman" w:eastAsia="Times New Roman" w:hAnsi="Times New Roman" w:cs="Times New Roman"/>
          <w:color w:val="222222"/>
          <w:shd w:val="clear" w:color="auto" w:fill="FFFFFF"/>
        </w:rPr>
      </w:pPr>
    </w:p>
    <w:p w14:paraId="450FB4F9" w14:textId="79E34304" w:rsidR="004C3C2D" w:rsidRDefault="004C3C2D" w:rsidP="004C3C2D">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following table is my best guess at how these scales align with each other.</w:t>
      </w:r>
    </w:p>
    <w:p w14:paraId="76238FAF" w14:textId="77777777" w:rsidR="004C3C2D" w:rsidRDefault="004C3C2D" w:rsidP="004C3C2D">
      <w:pPr>
        <w:rPr>
          <w:rFonts w:ascii="Times New Roman" w:eastAsia="Times New Roman" w:hAnsi="Times New Roman" w:cs="Times New Roman"/>
          <w:color w:val="222222"/>
          <w:shd w:val="clear" w:color="auto" w:fill="FFFFFF"/>
        </w:rPr>
      </w:pPr>
    </w:p>
    <w:p w14:paraId="5CEDF31B" w14:textId="2F943544" w:rsidR="004C3C2D" w:rsidRDefault="004C3C2D" w:rsidP="004C3C2D">
      <w:pPr>
        <w:rPr>
          <w:rFonts w:ascii="Times New Roman" w:eastAsia="Times New Roman" w:hAnsi="Times New Roman" w:cs="Times New Roman"/>
          <w:color w:val="222222"/>
          <w:shd w:val="clear" w:color="auto" w:fill="FFFFFF"/>
        </w:rPr>
      </w:pPr>
    </w:p>
    <w:tbl>
      <w:tblPr>
        <w:tblStyle w:val="TableGrid"/>
        <w:tblW w:w="0" w:type="auto"/>
        <w:jc w:val="center"/>
        <w:tblLook w:val="04A0" w:firstRow="1" w:lastRow="0" w:firstColumn="1" w:lastColumn="0" w:noHBand="0" w:noVBand="1"/>
      </w:tblPr>
      <w:tblGrid>
        <w:gridCol w:w="1870"/>
        <w:gridCol w:w="1870"/>
        <w:gridCol w:w="1870"/>
        <w:gridCol w:w="1870"/>
      </w:tblGrid>
      <w:tr w:rsidR="004C3C2D" w14:paraId="2A099392" w14:textId="77777777" w:rsidTr="004C3C2D">
        <w:trPr>
          <w:jc w:val="center"/>
        </w:trPr>
        <w:tc>
          <w:tcPr>
            <w:tcW w:w="1870" w:type="dxa"/>
          </w:tcPr>
          <w:p w14:paraId="712628D5" w14:textId="26A3C04A"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ERI</w:t>
            </w:r>
          </w:p>
        </w:tc>
        <w:tc>
          <w:tcPr>
            <w:tcW w:w="1870" w:type="dxa"/>
          </w:tcPr>
          <w:p w14:paraId="5FF95B3A" w14:textId="628E2EE4"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SAC 058</w:t>
            </w:r>
          </w:p>
        </w:tc>
        <w:tc>
          <w:tcPr>
            <w:tcW w:w="1870" w:type="dxa"/>
          </w:tcPr>
          <w:p w14:paraId="7C2DB6FA" w14:textId="105ADA45"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NIST</w:t>
            </w:r>
          </w:p>
        </w:tc>
        <w:tc>
          <w:tcPr>
            <w:tcW w:w="1870" w:type="dxa"/>
          </w:tcPr>
          <w:p w14:paraId="00D19F24" w14:textId="718ACC67"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EU</w:t>
            </w:r>
          </w:p>
        </w:tc>
      </w:tr>
      <w:tr w:rsidR="004C3C2D" w14:paraId="01AF7F3B" w14:textId="77777777" w:rsidTr="004C3C2D">
        <w:trPr>
          <w:jc w:val="center"/>
        </w:trPr>
        <w:tc>
          <w:tcPr>
            <w:tcW w:w="1870" w:type="dxa"/>
          </w:tcPr>
          <w:p w14:paraId="4C6EFF5E" w14:textId="7D5B7D98"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V0</w:t>
            </w:r>
          </w:p>
        </w:tc>
        <w:tc>
          <w:tcPr>
            <w:tcW w:w="1870" w:type="dxa"/>
          </w:tcPr>
          <w:p w14:paraId="5947A3F5" w14:textId="77777777" w:rsidR="004C3C2D" w:rsidRDefault="004C3C2D" w:rsidP="004C3C2D">
            <w:pPr>
              <w:jc w:val="center"/>
              <w:rPr>
                <w:rFonts w:ascii="Times New Roman" w:eastAsia="Times New Roman" w:hAnsi="Times New Roman" w:cs="Times New Roman"/>
              </w:rPr>
            </w:pPr>
          </w:p>
        </w:tc>
        <w:tc>
          <w:tcPr>
            <w:tcW w:w="1870" w:type="dxa"/>
          </w:tcPr>
          <w:p w14:paraId="2C69D841" w14:textId="41204173"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IAL1</w:t>
            </w:r>
          </w:p>
        </w:tc>
        <w:tc>
          <w:tcPr>
            <w:tcW w:w="1870" w:type="dxa"/>
          </w:tcPr>
          <w:p w14:paraId="7399FED1" w14:textId="517D3966"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Low</w:t>
            </w:r>
          </w:p>
        </w:tc>
      </w:tr>
      <w:tr w:rsidR="004C3C2D" w14:paraId="26A7866B" w14:textId="77777777" w:rsidTr="004C3C2D">
        <w:trPr>
          <w:jc w:val="center"/>
        </w:trPr>
        <w:tc>
          <w:tcPr>
            <w:tcW w:w="1870" w:type="dxa"/>
          </w:tcPr>
          <w:p w14:paraId="44B09BED" w14:textId="01D5B036"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V1</w:t>
            </w:r>
          </w:p>
        </w:tc>
        <w:tc>
          <w:tcPr>
            <w:tcW w:w="1870" w:type="dxa"/>
          </w:tcPr>
          <w:p w14:paraId="465AB45B" w14:textId="1261EF45"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Syntactic</w:t>
            </w:r>
          </w:p>
        </w:tc>
        <w:tc>
          <w:tcPr>
            <w:tcW w:w="1870" w:type="dxa"/>
          </w:tcPr>
          <w:p w14:paraId="20C5EF10" w14:textId="77777777" w:rsidR="004C3C2D" w:rsidRDefault="004C3C2D" w:rsidP="004C3C2D">
            <w:pPr>
              <w:jc w:val="center"/>
              <w:rPr>
                <w:rFonts w:ascii="Times New Roman" w:eastAsia="Times New Roman" w:hAnsi="Times New Roman" w:cs="Times New Roman"/>
              </w:rPr>
            </w:pPr>
          </w:p>
        </w:tc>
        <w:tc>
          <w:tcPr>
            <w:tcW w:w="1870" w:type="dxa"/>
          </w:tcPr>
          <w:p w14:paraId="6470F0C8" w14:textId="77777777" w:rsidR="004C3C2D" w:rsidRDefault="004C3C2D" w:rsidP="004C3C2D">
            <w:pPr>
              <w:jc w:val="center"/>
              <w:rPr>
                <w:rFonts w:ascii="Times New Roman" w:eastAsia="Times New Roman" w:hAnsi="Times New Roman" w:cs="Times New Roman"/>
              </w:rPr>
            </w:pPr>
          </w:p>
        </w:tc>
      </w:tr>
      <w:tr w:rsidR="004C3C2D" w14:paraId="31EDAAD6" w14:textId="77777777" w:rsidTr="004C3C2D">
        <w:trPr>
          <w:jc w:val="center"/>
        </w:trPr>
        <w:tc>
          <w:tcPr>
            <w:tcW w:w="1870" w:type="dxa"/>
          </w:tcPr>
          <w:p w14:paraId="03DC7537" w14:textId="08BCD8D3"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V2</w:t>
            </w:r>
          </w:p>
        </w:tc>
        <w:tc>
          <w:tcPr>
            <w:tcW w:w="1870" w:type="dxa"/>
          </w:tcPr>
          <w:p w14:paraId="3B897741" w14:textId="5A97419C"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Operational</w:t>
            </w:r>
          </w:p>
        </w:tc>
        <w:tc>
          <w:tcPr>
            <w:tcW w:w="1870" w:type="dxa"/>
          </w:tcPr>
          <w:p w14:paraId="23B0BBE7" w14:textId="77777777" w:rsidR="004C3C2D" w:rsidRDefault="004C3C2D" w:rsidP="004C3C2D">
            <w:pPr>
              <w:jc w:val="center"/>
              <w:rPr>
                <w:rFonts w:ascii="Times New Roman" w:eastAsia="Times New Roman" w:hAnsi="Times New Roman" w:cs="Times New Roman"/>
              </w:rPr>
            </w:pPr>
          </w:p>
        </w:tc>
        <w:tc>
          <w:tcPr>
            <w:tcW w:w="1870" w:type="dxa"/>
          </w:tcPr>
          <w:p w14:paraId="4E2544BD" w14:textId="77777777" w:rsidR="004C3C2D" w:rsidRDefault="004C3C2D" w:rsidP="004C3C2D">
            <w:pPr>
              <w:jc w:val="center"/>
              <w:rPr>
                <w:rFonts w:ascii="Times New Roman" w:eastAsia="Times New Roman" w:hAnsi="Times New Roman" w:cs="Times New Roman"/>
              </w:rPr>
            </w:pPr>
          </w:p>
        </w:tc>
      </w:tr>
      <w:tr w:rsidR="004C3C2D" w14:paraId="24F68C38" w14:textId="77777777" w:rsidTr="004C3C2D">
        <w:trPr>
          <w:jc w:val="center"/>
        </w:trPr>
        <w:tc>
          <w:tcPr>
            <w:tcW w:w="1870" w:type="dxa"/>
            <w:vMerge w:val="restart"/>
            <w:vAlign w:val="center"/>
          </w:tcPr>
          <w:p w14:paraId="05BF9156" w14:textId="7C4EFA17"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V3</w:t>
            </w:r>
          </w:p>
        </w:tc>
        <w:tc>
          <w:tcPr>
            <w:tcW w:w="1870" w:type="dxa"/>
            <w:vMerge w:val="restart"/>
            <w:vAlign w:val="center"/>
          </w:tcPr>
          <w:p w14:paraId="21374F8F" w14:textId="504CA499"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Identity</w:t>
            </w:r>
          </w:p>
        </w:tc>
        <w:tc>
          <w:tcPr>
            <w:tcW w:w="1870" w:type="dxa"/>
          </w:tcPr>
          <w:p w14:paraId="61F3E715" w14:textId="5FA12AA7"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IAL2</w:t>
            </w:r>
          </w:p>
        </w:tc>
        <w:tc>
          <w:tcPr>
            <w:tcW w:w="1870" w:type="dxa"/>
          </w:tcPr>
          <w:p w14:paraId="64F4EB11" w14:textId="7B7DF240"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Substantial</w:t>
            </w:r>
          </w:p>
        </w:tc>
      </w:tr>
      <w:tr w:rsidR="004C3C2D" w14:paraId="6086A846" w14:textId="77777777" w:rsidTr="004C3C2D">
        <w:trPr>
          <w:jc w:val="center"/>
        </w:trPr>
        <w:tc>
          <w:tcPr>
            <w:tcW w:w="1870" w:type="dxa"/>
            <w:vMerge/>
          </w:tcPr>
          <w:p w14:paraId="216E1191" w14:textId="77777777" w:rsidR="004C3C2D" w:rsidRDefault="004C3C2D" w:rsidP="004C3C2D">
            <w:pPr>
              <w:jc w:val="center"/>
              <w:rPr>
                <w:rFonts w:ascii="Times New Roman" w:eastAsia="Times New Roman" w:hAnsi="Times New Roman" w:cs="Times New Roman"/>
              </w:rPr>
            </w:pPr>
          </w:p>
        </w:tc>
        <w:tc>
          <w:tcPr>
            <w:tcW w:w="1870" w:type="dxa"/>
            <w:vMerge/>
          </w:tcPr>
          <w:p w14:paraId="16A4BD9F" w14:textId="77777777" w:rsidR="004C3C2D" w:rsidRDefault="004C3C2D" w:rsidP="004C3C2D">
            <w:pPr>
              <w:jc w:val="center"/>
              <w:rPr>
                <w:rFonts w:ascii="Times New Roman" w:eastAsia="Times New Roman" w:hAnsi="Times New Roman" w:cs="Times New Roman"/>
              </w:rPr>
            </w:pPr>
          </w:p>
        </w:tc>
        <w:tc>
          <w:tcPr>
            <w:tcW w:w="1870" w:type="dxa"/>
          </w:tcPr>
          <w:p w14:paraId="490B3D5A" w14:textId="22C0B3D1"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IAL3</w:t>
            </w:r>
          </w:p>
        </w:tc>
        <w:tc>
          <w:tcPr>
            <w:tcW w:w="1870" w:type="dxa"/>
          </w:tcPr>
          <w:p w14:paraId="4F3D6F33" w14:textId="1DA2ECDC" w:rsidR="004C3C2D" w:rsidRDefault="004C3C2D" w:rsidP="004C3C2D">
            <w:pPr>
              <w:jc w:val="center"/>
              <w:rPr>
                <w:rFonts w:ascii="Times New Roman" w:eastAsia="Times New Roman" w:hAnsi="Times New Roman" w:cs="Times New Roman"/>
              </w:rPr>
            </w:pPr>
            <w:r>
              <w:rPr>
                <w:rFonts w:ascii="Times New Roman" w:eastAsia="Times New Roman" w:hAnsi="Times New Roman" w:cs="Times New Roman"/>
              </w:rPr>
              <w:t>High</w:t>
            </w:r>
          </w:p>
        </w:tc>
      </w:tr>
    </w:tbl>
    <w:p w14:paraId="63CC3F1A" w14:textId="77777777" w:rsidR="004C3C2D" w:rsidRPr="004C3C2D" w:rsidRDefault="004C3C2D" w:rsidP="004C3C2D">
      <w:pPr>
        <w:rPr>
          <w:rFonts w:ascii="Times New Roman" w:eastAsia="Times New Roman" w:hAnsi="Times New Roman" w:cs="Times New Roman"/>
        </w:rPr>
      </w:pPr>
    </w:p>
    <w:p w14:paraId="5A159F98" w14:textId="7A7CA575" w:rsidR="004C3C2D" w:rsidRPr="004C3C2D" w:rsidRDefault="004C3C2D" w:rsidP="004C3C2D">
      <w:pPr>
        <w:rPr>
          <w:rFonts w:ascii="Times New Roman" w:eastAsia="Times New Roman" w:hAnsi="Times New Roman" w:cs="Times New Roman"/>
        </w:rPr>
      </w:pPr>
    </w:p>
    <w:p w14:paraId="5BDF578D" w14:textId="0A987F09" w:rsidR="004C3C2D" w:rsidRDefault="004C3C2D" w:rsidP="004C3C2D">
      <w:pPr>
        <w:rPr>
          <w:rFonts w:ascii="Times New Roman" w:eastAsia="Times New Roman" w:hAnsi="Times New Roman" w:cs="Times New Roman"/>
        </w:rPr>
      </w:pPr>
    </w:p>
    <w:p w14:paraId="5FC80190" w14:textId="77777777" w:rsidR="004C3C2D" w:rsidRDefault="004C3C2D" w:rsidP="004C3C2D">
      <w:pPr>
        <w:rPr>
          <w:rFonts w:ascii="Times New Roman" w:eastAsia="Times New Roman" w:hAnsi="Times New Roman" w:cs="Times New Roman"/>
        </w:rPr>
      </w:pPr>
    </w:p>
    <w:p w14:paraId="30D09045" w14:textId="77777777" w:rsidR="004C3C2D" w:rsidRDefault="004C3C2D" w:rsidP="004C3C2D">
      <w:pPr>
        <w:rPr>
          <w:rFonts w:ascii="Times New Roman" w:eastAsia="Times New Roman" w:hAnsi="Times New Roman" w:cs="Times New Roman"/>
        </w:rPr>
      </w:pPr>
    </w:p>
    <w:p w14:paraId="10962E38" w14:textId="77777777" w:rsidR="004C3C2D" w:rsidRDefault="004C3C2D" w:rsidP="004C3C2D">
      <w:pPr>
        <w:pStyle w:val="Heading2"/>
        <w:rPr>
          <w:rFonts w:eastAsia="Times New Roman"/>
        </w:rPr>
      </w:pPr>
      <w:r>
        <w:rPr>
          <w:rFonts w:eastAsia="Times New Roman"/>
        </w:rPr>
        <w:t>Text from each of the documents</w:t>
      </w:r>
    </w:p>
    <w:p w14:paraId="4B75FF15" w14:textId="77777777" w:rsidR="004C3C2D" w:rsidRDefault="004C3C2D" w:rsidP="004C3C2D">
      <w:pPr>
        <w:rPr>
          <w:rFonts w:ascii="Times New Roman" w:eastAsia="Times New Roman" w:hAnsi="Times New Roman" w:cs="Times New Roman"/>
        </w:rPr>
      </w:pPr>
    </w:p>
    <w:p w14:paraId="41D800CE" w14:textId="6C77D011" w:rsidR="004C3C2D" w:rsidRDefault="004C3C2D" w:rsidP="004C3C2D">
      <w:pPr>
        <w:pStyle w:val="Heading3"/>
        <w:rPr>
          <w:rFonts w:eastAsia="Times New Roman"/>
        </w:rPr>
      </w:pPr>
      <w:r>
        <w:rPr>
          <w:rFonts w:eastAsia="Times New Roman"/>
        </w:rPr>
        <w:t>ICANN SSAC SAC 058</w:t>
      </w:r>
    </w:p>
    <w:p w14:paraId="1F9211CF" w14:textId="77777777" w:rsidR="004C3C2D" w:rsidRDefault="004C3C2D" w:rsidP="004C3C2D">
      <w:pPr>
        <w:rPr>
          <w:rFonts w:ascii="Times New Roman" w:eastAsia="Times New Roman" w:hAnsi="Times New Roman" w:cs="Times New Roman"/>
        </w:rPr>
      </w:pPr>
    </w:p>
    <w:p w14:paraId="5742DEAA" w14:textId="5077E4F8" w:rsid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rPr>
        <w:t>The SSAC asserts there are three types of validation for elements of the registration data.</w:t>
      </w:r>
      <w:r>
        <w:rPr>
          <w:rStyle w:val="FootnoteReference"/>
          <w:rFonts w:ascii="Times New Roman" w:eastAsia="Times New Roman" w:hAnsi="Times New Roman" w:cs="Times New Roman"/>
        </w:rPr>
        <w:footnoteReference w:id="1"/>
      </w:r>
    </w:p>
    <w:p w14:paraId="2FF58425" w14:textId="77777777" w:rsidR="004C3C2D" w:rsidRDefault="004C3C2D" w:rsidP="004C3C2D">
      <w:pPr>
        <w:rPr>
          <w:rFonts w:ascii="Times New Roman" w:eastAsia="Times New Roman" w:hAnsi="Times New Roman" w:cs="Times New Roman"/>
        </w:rPr>
      </w:pPr>
    </w:p>
    <w:p w14:paraId="0F0CF8CF" w14:textId="3B651579" w:rsid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rPr>
        <w:t xml:space="preserve">1. Syntactic Validation refers to the assessment of data with the intent to ensure that they satisfy specified syntactic constraints, conform to specified data standards, and are transformed and formatted properly for their intended use. For example, if the data element is expected to be an email address is it formatted as an email address? In general, it is expected that syntactic validation checks would be entirely automated and could be executed </w:t>
      </w:r>
      <w:proofErr w:type="spellStart"/>
      <w:r w:rsidRPr="004C3C2D">
        <w:rPr>
          <w:rFonts w:ascii="Times New Roman" w:eastAsia="Times New Roman" w:hAnsi="Times New Roman" w:cs="Times New Roman"/>
        </w:rPr>
        <w:t>inline</w:t>
      </w:r>
      <w:proofErr w:type="spellEnd"/>
      <w:r w:rsidRPr="004C3C2D">
        <w:rPr>
          <w:rFonts w:ascii="Times New Roman" w:eastAsia="Times New Roman" w:hAnsi="Times New Roman" w:cs="Times New Roman"/>
        </w:rPr>
        <w:t xml:space="preserve"> with a registration process, follow up information reviews, and whenever registration data changes. </w:t>
      </w:r>
    </w:p>
    <w:p w14:paraId="659937C2" w14:textId="77777777" w:rsidR="004C3C2D" w:rsidRDefault="004C3C2D" w:rsidP="004C3C2D">
      <w:pPr>
        <w:rPr>
          <w:rFonts w:ascii="Times New Roman" w:eastAsia="Times New Roman" w:hAnsi="Times New Roman" w:cs="Times New Roman"/>
        </w:rPr>
      </w:pPr>
    </w:p>
    <w:p w14:paraId="7AB62BA8" w14:textId="77777777" w:rsid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rPr>
        <w:t xml:space="preserve">2. Operational Validation refers to the assessment of data for their intended use in their routine functions. Examples of operational validation include 1) checking that an email address or phone number can receive email or phone calls; 2) checking that a postal address can receive postal mail; 3) checking that the data entered are self-consistent, </w:t>
      </w:r>
      <w:proofErr w:type="gramStart"/>
      <w:r w:rsidRPr="004C3C2D">
        <w:rPr>
          <w:rFonts w:ascii="Times New Roman" w:eastAsia="Times New Roman" w:hAnsi="Times New Roman" w:cs="Times New Roman"/>
        </w:rPr>
        <w:t>i.e.</w:t>
      </w:r>
      <w:proofErr w:type="gramEnd"/>
      <w:r w:rsidRPr="004C3C2D">
        <w:rPr>
          <w:rFonts w:ascii="Times New Roman" w:eastAsia="Times New Roman" w:hAnsi="Times New Roman" w:cs="Times New Roman"/>
        </w:rPr>
        <w:t xml:space="preserve"> that all data are logically consistent with all other data. It is expected that many operational validation checks would be </w:t>
      </w:r>
      <w:proofErr w:type="gramStart"/>
      <w:r w:rsidRPr="004C3C2D">
        <w:rPr>
          <w:rFonts w:ascii="Times New Roman" w:eastAsia="Times New Roman" w:hAnsi="Times New Roman" w:cs="Times New Roman"/>
        </w:rPr>
        <w:t>automated</w:t>
      </w:r>
      <w:proofErr w:type="gramEnd"/>
      <w:r w:rsidRPr="004C3C2D">
        <w:rPr>
          <w:rFonts w:ascii="Times New Roman" w:eastAsia="Times New Roman" w:hAnsi="Times New Roman" w:cs="Times New Roman"/>
        </w:rPr>
        <w:t xml:space="preserve"> and some could be executed </w:t>
      </w:r>
      <w:proofErr w:type="spellStart"/>
      <w:r w:rsidRPr="004C3C2D">
        <w:rPr>
          <w:rFonts w:ascii="Times New Roman" w:eastAsia="Times New Roman" w:hAnsi="Times New Roman" w:cs="Times New Roman"/>
        </w:rPr>
        <w:t>inline</w:t>
      </w:r>
      <w:proofErr w:type="spellEnd"/>
      <w:r w:rsidRPr="004C3C2D">
        <w:rPr>
          <w:rFonts w:ascii="Times New Roman" w:eastAsia="Times New Roman" w:hAnsi="Times New Roman" w:cs="Times New Roman"/>
        </w:rPr>
        <w:t xml:space="preserve"> with a registration process.</w:t>
      </w:r>
    </w:p>
    <w:p w14:paraId="0F23C311" w14:textId="77777777" w:rsidR="004C3C2D" w:rsidRDefault="004C3C2D" w:rsidP="004C3C2D">
      <w:pPr>
        <w:rPr>
          <w:rFonts w:ascii="Times New Roman" w:eastAsia="Times New Roman" w:hAnsi="Times New Roman" w:cs="Times New Roman"/>
        </w:rPr>
      </w:pPr>
    </w:p>
    <w:p w14:paraId="20D1148E" w14:textId="39B5D11B" w:rsidR="004C3C2D" w:rsidRP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rPr>
        <w:t xml:space="preserve">3. Identity validation refers to the assessment that the data corresponds to the </w:t>
      </w:r>
      <w:proofErr w:type="gramStart"/>
      <w:r w:rsidRPr="004C3C2D">
        <w:rPr>
          <w:rFonts w:ascii="Times New Roman" w:eastAsia="Times New Roman" w:hAnsi="Times New Roman" w:cs="Times New Roman"/>
        </w:rPr>
        <w:t>real world</w:t>
      </w:r>
      <w:proofErr w:type="gramEnd"/>
      <w:r w:rsidRPr="004C3C2D">
        <w:rPr>
          <w:rFonts w:ascii="Times New Roman" w:eastAsia="Times New Roman" w:hAnsi="Times New Roman" w:cs="Times New Roman"/>
        </w:rPr>
        <w:t xml:space="preserve"> identity of the entity. It involves checking that a data item correctly represents the </w:t>
      </w:r>
      <w:proofErr w:type="gramStart"/>
      <w:r w:rsidRPr="004C3C2D">
        <w:rPr>
          <w:rFonts w:ascii="Times New Roman" w:eastAsia="Times New Roman" w:hAnsi="Times New Roman" w:cs="Times New Roman"/>
        </w:rPr>
        <w:t>real world</w:t>
      </w:r>
      <w:proofErr w:type="gramEnd"/>
      <w:r w:rsidRPr="004C3C2D">
        <w:rPr>
          <w:rFonts w:ascii="Times New Roman" w:eastAsia="Times New Roman" w:hAnsi="Times New Roman" w:cs="Times New Roman"/>
        </w:rPr>
        <w:t xml:space="preserve"> identity for the registrant. In general, identity validation checks are expected to require some manual intervention.</w:t>
      </w:r>
    </w:p>
    <w:p w14:paraId="4A57E432" w14:textId="77777777" w:rsidR="004C3C2D" w:rsidRDefault="004C3C2D" w:rsidP="004C3C2D">
      <w:pPr>
        <w:rPr>
          <w:rFonts w:ascii="Times New Roman" w:eastAsia="Times New Roman" w:hAnsi="Times New Roman" w:cs="Times New Roman"/>
        </w:rPr>
      </w:pPr>
    </w:p>
    <w:p w14:paraId="55326142" w14:textId="77777777" w:rsidR="004C3C2D" w:rsidRDefault="004C3C2D" w:rsidP="004C3C2D">
      <w:pPr>
        <w:rPr>
          <w:rFonts w:ascii="Times New Roman" w:eastAsia="Times New Roman" w:hAnsi="Times New Roman" w:cs="Times New Roman"/>
        </w:rPr>
      </w:pPr>
    </w:p>
    <w:p w14:paraId="49909F9D" w14:textId="77777777" w:rsidR="004C3C2D" w:rsidRDefault="004C3C2D" w:rsidP="004C3C2D">
      <w:pPr>
        <w:rPr>
          <w:rFonts w:ascii="Times New Roman" w:eastAsia="Times New Roman" w:hAnsi="Times New Roman" w:cs="Times New Roman"/>
        </w:rPr>
      </w:pPr>
    </w:p>
    <w:p w14:paraId="29EBFD83" w14:textId="77777777" w:rsidR="004C3C2D" w:rsidRDefault="004C3C2D" w:rsidP="004C3C2D">
      <w:pPr>
        <w:pStyle w:val="Heading3"/>
      </w:pPr>
      <w:r>
        <w:rPr>
          <w:rFonts w:eastAsia="Times New Roman"/>
        </w:rPr>
        <w:t>NIST Levels</w:t>
      </w:r>
    </w:p>
    <w:p w14:paraId="2E950944" w14:textId="77777777" w:rsidR="004C3C2D" w:rsidRDefault="004C3C2D" w:rsidP="004C3C2D"/>
    <w:p w14:paraId="2102BADC" w14:textId="5875EBBB" w:rsid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rPr>
        <w:t>Assurance in a subscriber’s identity is described using one of three IALs:</w:t>
      </w:r>
      <w:r>
        <w:rPr>
          <w:rStyle w:val="FootnoteReference"/>
          <w:rFonts w:ascii="Times New Roman" w:eastAsia="Times New Roman" w:hAnsi="Times New Roman" w:cs="Times New Roman"/>
        </w:rPr>
        <w:footnoteReference w:id="2"/>
      </w:r>
    </w:p>
    <w:p w14:paraId="09A8DC2D" w14:textId="77777777" w:rsidR="004C3C2D" w:rsidRDefault="004C3C2D" w:rsidP="004C3C2D">
      <w:pPr>
        <w:rPr>
          <w:rFonts w:ascii="Times New Roman" w:eastAsia="Times New Roman" w:hAnsi="Times New Roman" w:cs="Times New Roman"/>
        </w:rPr>
      </w:pPr>
    </w:p>
    <w:p w14:paraId="060A23BD" w14:textId="77777777" w:rsid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b/>
          <w:bCs/>
        </w:rPr>
        <w:t>IAL1:</w:t>
      </w:r>
      <w:r w:rsidRPr="004C3C2D">
        <w:rPr>
          <w:rFonts w:ascii="Times New Roman" w:eastAsia="Times New Roman" w:hAnsi="Times New Roman" w:cs="Times New Roman"/>
        </w:rPr>
        <w:t xml:space="preserve"> There is no requirement to link the applicant to a specific real-life identity. Any attributes provided in conjunction with the subject’s activities are self-asserted or should be treated as </w:t>
      </w:r>
      <w:proofErr w:type="spellStart"/>
      <w:r w:rsidRPr="004C3C2D">
        <w:rPr>
          <w:rFonts w:ascii="Times New Roman" w:eastAsia="Times New Roman" w:hAnsi="Times New Roman" w:cs="Times New Roman"/>
        </w:rPr>
        <w:t>selfasserted</w:t>
      </w:r>
      <w:proofErr w:type="spellEnd"/>
      <w:r w:rsidRPr="004C3C2D">
        <w:rPr>
          <w:rFonts w:ascii="Times New Roman" w:eastAsia="Times New Roman" w:hAnsi="Times New Roman" w:cs="Times New Roman"/>
        </w:rPr>
        <w:t xml:space="preserve"> (including attributes a CSP asserts to an RP). Self-asserted attributes are neither validated nor verified.</w:t>
      </w:r>
    </w:p>
    <w:p w14:paraId="68D4806D" w14:textId="77777777" w:rsidR="004C3C2D" w:rsidRDefault="004C3C2D" w:rsidP="004C3C2D">
      <w:pPr>
        <w:rPr>
          <w:rFonts w:ascii="Times New Roman" w:eastAsia="Times New Roman" w:hAnsi="Times New Roman" w:cs="Times New Roman"/>
        </w:rPr>
      </w:pPr>
    </w:p>
    <w:p w14:paraId="3E832B7D" w14:textId="77777777" w:rsid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b/>
          <w:bCs/>
        </w:rPr>
        <w:t>IAL2:</w:t>
      </w:r>
      <w:r w:rsidRPr="004C3C2D">
        <w:rPr>
          <w:rFonts w:ascii="Times New Roman" w:eastAsia="Times New Roman" w:hAnsi="Times New Roman" w:cs="Times New Roman"/>
        </w:rPr>
        <w:t xml:space="preserve"> Evidence supports the real-world existence of the claimed identity and verifies that the applicant is appropriately associated with this real-world identity. IAL2 introduces the need for either remote or </w:t>
      </w:r>
      <w:proofErr w:type="gramStart"/>
      <w:r w:rsidRPr="004C3C2D">
        <w:rPr>
          <w:rFonts w:ascii="Times New Roman" w:eastAsia="Times New Roman" w:hAnsi="Times New Roman" w:cs="Times New Roman"/>
        </w:rPr>
        <w:t>physically-present</w:t>
      </w:r>
      <w:proofErr w:type="gramEnd"/>
      <w:r w:rsidRPr="004C3C2D">
        <w:rPr>
          <w:rFonts w:ascii="Times New Roman" w:eastAsia="Times New Roman" w:hAnsi="Times New Roman" w:cs="Times New Roman"/>
        </w:rPr>
        <w:t xml:space="preserve"> identity proofing. Attributes could be asserted by CSPs to RPs in support of pseudonymous identity with verified attributes. A CSP that supports IAL2 can support IAL1 transactions if the user consents.</w:t>
      </w:r>
    </w:p>
    <w:p w14:paraId="2646CE7A" w14:textId="77777777" w:rsidR="004C3C2D" w:rsidRDefault="004C3C2D" w:rsidP="004C3C2D">
      <w:pPr>
        <w:rPr>
          <w:rFonts w:ascii="Times New Roman" w:eastAsia="Times New Roman" w:hAnsi="Times New Roman" w:cs="Times New Roman"/>
        </w:rPr>
      </w:pPr>
    </w:p>
    <w:p w14:paraId="3F7BC511" w14:textId="056BDC71" w:rsid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b/>
          <w:bCs/>
        </w:rPr>
        <w:t>IAL3:</w:t>
      </w:r>
      <w:r w:rsidRPr="004C3C2D">
        <w:rPr>
          <w:rFonts w:ascii="Times New Roman" w:eastAsia="Times New Roman" w:hAnsi="Times New Roman" w:cs="Times New Roman"/>
        </w:rPr>
        <w:t xml:space="preserve"> Physical presence is required for identity proofing. Identifying attributes must be verified by an authorized and trained CSP representative. As with IAL2, attributes could be asserted by CSPs to RPs in support of pseudonymous identity with verified attributes. A CSP that supports IAL3 can support IAL1 and IAL2 identity attributes if the user consents.</w:t>
      </w:r>
    </w:p>
    <w:p w14:paraId="15F47E6B" w14:textId="5FA29E85" w:rsidR="004C3C2D" w:rsidRDefault="004C3C2D" w:rsidP="004C3C2D">
      <w:pPr>
        <w:rPr>
          <w:rFonts w:ascii="Times New Roman" w:eastAsia="Times New Roman" w:hAnsi="Times New Roman" w:cs="Times New Roman"/>
        </w:rPr>
      </w:pPr>
    </w:p>
    <w:p w14:paraId="7CA83160" w14:textId="5B7B20A4" w:rsidR="004C3C2D" w:rsidRDefault="004C3C2D" w:rsidP="004C3C2D">
      <w:pPr>
        <w:rPr>
          <w:rFonts w:ascii="Times New Roman" w:eastAsia="Times New Roman" w:hAnsi="Times New Roman" w:cs="Times New Roman"/>
        </w:rPr>
      </w:pPr>
    </w:p>
    <w:p w14:paraId="262C1785" w14:textId="77777777" w:rsidR="004C3C2D" w:rsidRDefault="004C3C2D" w:rsidP="004C3C2D">
      <w:pPr>
        <w:pStyle w:val="Heading3"/>
        <w:rPr>
          <w:rFonts w:ascii="Arial" w:hAnsi="Arial" w:cs="Arial"/>
          <w:color w:val="003764"/>
          <w:sz w:val="27"/>
          <w:szCs w:val="27"/>
          <w:shd w:val="clear" w:color="auto" w:fill="FFFFFF"/>
        </w:rPr>
      </w:pPr>
      <w:r>
        <w:rPr>
          <w:rFonts w:eastAsia="Times New Roman"/>
        </w:rPr>
        <w:t>EU Levels</w:t>
      </w:r>
    </w:p>
    <w:p w14:paraId="00505DB6" w14:textId="77777777" w:rsidR="004C3C2D" w:rsidRDefault="004C3C2D" w:rsidP="004C3C2D">
      <w:pPr>
        <w:rPr>
          <w:rFonts w:ascii="Arial" w:hAnsi="Arial" w:cs="Arial"/>
          <w:color w:val="003764"/>
          <w:sz w:val="27"/>
          <w:szCs w:val="27"/>
          <w:shd w:val="clear" w:color="auto" w:fill="FFFFFF"/>
        </w:rPr>
      </w:pPr>
    </w:p>
    <w:p w14:paraId="05B19F41" w14:textId="2802C689" w:rsidR="004C3C2D" w:rsidRDefault="004C3C2D" w:rsidP="004C3C2D">
      <w:pPr>
        <w:rPr>
          <w:rFonts w:ascii="Times New Roman" w:eastAsia="Times New Roman" w:hAnsi="Times New Roman" w:cs="Times New Roman"/>
        </w:rPr>
      </w:pPr>
      <w:r w:rsidRPr="004C3C2D">
        <w:rPr>
          <w:rFonts w:ascii="Times New Roman" w:eastAsia="Times New Roman" w:hAnsi="Times New Roman" w:cs="Times New Roman"/>
        </w:rPr>
        <w:t>The three levels of assurance are as follows:</w:t>
      </w:r>
      <w:r>
        <w:rPr>
          <w:rStyle w:val="FootnoteReference"/>
          <w:rFonts w:ascii="Times New Roman" w:eastAsia="Times New Roman" w:hAnsi="Times New Roman" w:cs="Times New Roman"/>
        </w:rPr>
        <w:footnoteReference w:id="3"/>
      </w:r>
    </w:p>
    <w:p w14:paraId="7F13A5C9" w14:textId="77777777" w:rsidR="004C3C2D" w:rsidRPr="004C3C2D" w:rsidRDefault="004C3C2D" w:rsidP="004C3C2D">
      <w:pPr>
        <w:numPr>
          <w:ilvl w:val="0"/>
          <w:numId w:val="1"/>
        </w:numPr>
        <w:spacing w:before="100" w:beforeAutospacing="1" w:after="100" w:afterAutospacing="1" w:line="408" w:lineRule="atLeast"/>
        <w:rPr>
          <w:rFonts w:ascii="Times New Roman" w:eastAsia="Times New Roman" w:hAnsi="Times New Roman" w:cs="Times New Roman"/>
          <w:color w:val="000000" w:themeColor="text1"/>
        </w:rPr>
      </w:pPr>
      <w:r w:rsidRPr="004C3C2D">
        <w:rPr>
          <w:rFonts w:ascii="Times New Roman" w:eastAsia="Times New Roman" w:hAnsi="Times New Roman" w:cs="Times New Roman"/>
          <w:b/>
          <w:bCs/>
          <w:color w:val="000000" w:themeColor="text1"/>
        </w:rPr>
        <w:t>Low</w:t>
      </w:r>
      <w:r w:rsidRPr="004C3C2D">
        <w:rPr>
          <w:rFonts w:ascii="Times New Roman" w:eastAsia="Times New Roman" w:hAnsi="Times New Roman" w:cs="Times New Roman"/>
          <w:color w:val="000000" w:themeColor="text1"/>
        </w:rPr>
        <w:t xml:space="preserve">: for instance, enrolment is performed by self-registration in a </w:t>
      </w:r>
      <w:proofErr w:type="gramStart"/>
      <w:r w:rsidRPr="004C3C2D">
        <w:rPr>
          <w:rFonts w:ascii="Times New Roman" w:eastAsia="Times New Roman" w:hAnsi="Times New Roman" w:cs="Times New Roman"/>
          <w:color w:val="000000" w:themeColor="text1"/>
        </w:rPr>
        <w:t>web-page</w:t>
      </w:r>
      <w:proofErr w:type="gramEnd"/>
      <w:r w:rsidRPr="004C3C2D">
        <w:rPr>
          <w:rFonts w:ascii="Times New Roman" w:eastAsia="Times New Roman" w:hAnsi="Times New Roman" w:cs="Times New Roman"/>
          <w:color w:val="000000" w:themeColor="text1"/>
        </w:rPr>
        <w:t>, without any identity verification;</w:t>
      </w:r>
    </w:p>
    <w:p w14:paraId="2FCBF94C" w14:textId="77777777" w:rsidR="004C3C2D" w:rsidRPr="004C3C2D" w:rsidRDefault="004C3C2D" w:rsidP="004C3C2D">
      <w:pPr>
        <w:numPr>
          <w:ilvl w:val="0"/>
          <w:numId w:val="1"/>
        </w:numPr>
        <w:spacing w:before="100" w:beforeAutospacing="1" w:after="100" w:afterAutospacing="1" w:line="408" w:lineRule="atLeast"/>
        <w:rPr>
          <w:rFonts w:ascii="Times New Roman" w:eastAsia="Times New Roman" w:hAnsi="Times New Roman" w:cs="Times New Roman"/>
          <w:color w:val="000000" w:themeColor="text1"/>
        </w:rPr>
      </w:pPr>
      <w:r w:rsidRPr="004C3C2D">
        <w:rPr>
          <w:rFonts w:ascii="Times New Roman" w:eastAsia="Times New Roman" w:hAnsi="Times New Roman" w:cs="Times New Roman"/>
          <w:b/>
          <w:bCs/>
          <w:color w:val="000000" w:themeColor="text1"/>
        </w:rPr>
        <w:t>Substantial</w:t>
      </w:r>
      <w:r w:rsidRPr="004C3C2D">
        <w:rPr>
          <w:rFonts w:ascii="Times New Roman" w:eastAsia="Times New Roman" w:hAnsi="Times New Roman" w:cs="Times New Roman"/>
          <w:color w:val="000000" w:themeColor="text1"/>
        </w:rPr>
        <w:t>: for instance, enrolment is performed by providing and verifying identity information, and authentication by using a </w:t>
      </w:r>
      <w:proofErr w:type="gramStart"/>
      <w:r w:rsidRPr="004C3C2D">
        <w:rPr>
          <w:rFonts w:ascii="Times New Roman" w:eastAsia="Times New Roman" w:hAnsi="Times New Roman" w:cs="Times New Roman"/>
          <w:color w:val="000000" w:themeColor="text1"/>
        </w:rPr>
        <w:t>user name</w:t>
      </w:r>
      <w:proofErr w:type="gramEnd"/>
      <w:r w:rsidRPr="004C3C2D">
        <w:rPr>
          <w:rFonts w:ascii="Times New Roman" w:eastAsia="Times New Roman" w:hAnsi="Times New Roman" w:cs="Times New Roman"/>
          <w:color w:val="000000" w:themeColor="text1"/>
        </w:rPr>
        <w:t xml:space="preserve"> and a password and a one-time password sent to your mobile phone;</w:t>
      </w:r>
    </w:p>
    <w:p w14:paraId="3F279407" w14:textId="77777777" w:rsidR="004C3C2D" w:rsidRPr="004C3C2D" w:rsidRDefault="004C3C2D" w:rsidP="004C3C2D">
      <w:pPr>
        <w:numPr>
          <w:ilvl w:val="0"/>
          <w:numId w:val="1"/>
        </w:numPr>
        <w:spacing w:before="100" w:beforeAutospacing="1" w:after="100" w:afterAutospacing="1" w:line="408" w:lineRule="atLeast"/>
        <w:rPr>
          <w:rFonts w:ascii="Times New Roman" w:eastAsia="Times New Roman" w:hAnsi="Times New Roman" w:cs="Times New Roman"/>
          <w:color w:val="000000" w:themeColor="text1"/>
        </w:rPr>
      </w:pPr>
      <w:r w:rsidRPr="004C3C2D">
        <w:rPr>
          <w:rFonts w:ascii="Times New Roman" w:eastAsia="Times New Roman" w:hAnsi="Times New Roman" w:cs="Times New Roman"/>
          <w:b/>
          <w:bCs/>
          <w:color w:val="000000" w:themeColor="text1"/>
        </w:rPr>
        <w:t>High</w:t>
      </w:r>
      <w:r w:rsidRPr="004C3C2D">
        <w:rPr>
          <w:rFonts w:ascii="Times New Roman" w:eastAsia="Times New Roman" w:hAnsi="Times New Roman" w:cs="Times New Roman"/>
          <w:color w:val="000000" w:themeColor="text1"/>
        </w:rPr>
        <w:t>: for instance, enrolment is performed by registering in person in an office, and authentication by using a smartcard, like a National ID Card.</w:t>
      </w:r>
    </w:p>
    <w:p w14:paraId="0443379B" w14:textId="77777777" w:rsidR="004C3C2D" w:rsidRPr="004C3C2D" w:rsidRDefault="004C3C2D" w:rsidP="004C3C2D">
      <w:pPr>
        <w:rPr>
          <w:rFonts w:ascii="Times New Roman" w:eastAsia="Times New Roman" w:hAnsi="Times New Roman" w:cs="Times New Roman"/>
        </w:rPr>
      </w:pPr>
    </w:p>
    <w:p w14:paraId="0A43EB68" w14:textId="77777777" w:rsidR="00C83E1D" w:rsidRDefault="00C83E1D"/>
    <w:sectPr w:rsidR="00C83E1D" w:rsidSect="0087116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C0EF" w14:textId="77777777" w:rsidR="00283152" w:rsidRDefault="00283152" w:rsidP="004C3C2D">
      <w:r>
        <w:separator/>
      </w:r>
    </w:p>
  </w:endnote>
  <w:endnote w:type="continuationSeparator" w:id="0">
    <w:p w14:paraId="12098D3B" w14:textId="77777777" w:rsidR="00283152" w:rsidRDefault="00283152" w:rsidP="004C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837728"/>
      <w:docPartObj>
        <w:docPartGallery w:val="Page Numbers (Bottom of Page)"/>
        <w:docPartUnique/>
      </w:docPartObj>
    </w:sdtPr>
    <w:sdtContent>
      <w:p w14:paraId="0A023920" w14:textId="11500D27" w:rsidR="004C3C2D" w:rsidRDefault="004C3C2D" w:rsidP="00885D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EA927A" w14:textId="77777777" w:rsidR="004C3C2D" w:rsidRDefault="004C3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9072281"/>
      <w:docPartObj>
        <w:docPartGallery w:val="Page Numbers (Bottom of Page)"/>
        <w:docPartUnique/>
      </w:docPartObj>
    </w:sdtPr>
    <w:sdtContent>
      <w:p w14:paraId="36D64F78" w14:textId="3B33E8BB" w:rsidR="004C3C2D" w:rsidRDefault="004C3C2D" w:rsidP="00885D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3D82F9" w14:textId="77777777" w:rsidR="004C3C2D" w:rsidRDefault="004C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5A94E" w14:textId="77777777" w:rsidR="00283152" w:rsidRDefault="00283152" w:rsidP="004C3C2D">
      <w:r>
        <w:separator/>
      </w:r>
    </w:p>
  </w:footnote>
  <w:footnote w:type="continuationSeparator" w:id="0">
    <w:p w14:paraId="69AAADAE" w14:textId="77777777" w:rsidR="00283152" w:rsidRDefault="00283152" w:rsidP="004C3C2D">
      <w:r>
        <w:continuationSeparator/>
      </w:r>
    </w:p>
  </w:footnote>
  <w:footnote w:id="1">
    <w:p w14:paraId="2297EBB7" w14:textId="4D598F79" w:rsidR="004C3C2D" w:rsidRDefault="004C3C2D">
      <w:pPr>
        <w:pStyle w:val="FootnoteText"/>
      </w:pPr>
      <w:r>
        <w:rPr>
          <w:rStyle w:val="FootnoteReference"/>
        </w:rPr>
        <w:footnoteRef/>
      </w:r>
      <w:r>
        <w:t xml:space="preserve"> </w:t>
      </w:r>
      <w:hyperlink r:id="rId1" w:history="1">
        <w:r w:rsidRPr="00885D67">
          <w:rPr>
            <w:rStyle w:val="Hyperlink"/>
          </w:rPr>
          <w:t>https://www.icann.org/en/system/files/files/sac-058-en.pdf</w:t>
        </w:r>
      </w:hyperlink>
      <w:r>
        <w:t>, section 3, pages 7-8</w:t>
      </w:r>
    </w:p>
  </w:footnote>
  <w:footnote w:id="2">
    <w:p w14:paraId="4D3E199C" w14:textId="095F3DAB" w:rsidR="004C3C2D" w:rsidRDefault="004C3C2D">
      <w:pPr>
        <w:pStyle w:val="FootnoteText"/>
      </w:pPr>
      <w:r>
        <w:rPr>
          <w:rStyle w:val="FootnoteReference"/>
        </w:rPr>
        <w:footnoteRef/>
      </w:r>
      <w:r>
        <w:t xml:space="preserve"> </w:t>
      </w:r>
      <w:hyperlink r:id="rId2" w:history="1">
        <w:r w:rsidRPr="00885D67">
          <w:rPr>
            <w:rStyle w:val="Hyperlink"/>
          </w:rPr>
          <w:t>https://nvlpubs.nist.gov/nistpubs/SpecialPublications/NIST.SP.800-63a.pdf</w:t>
        </w:r>
      </w:hyperlink>
      <w:r>
        <w:t>, section 2.2, page 3</w:t>
      </w:r>
    </w:p>
  </w:footnote>
  <w:footnote w:id="3">
    <w:p w14:paraId="38E4C788" w14:textId="6012E8CD" w:rsidR="004C3C2D" w:rsidRDefault="004C3C2D">
      <w:pPr>
        <w:pStyle w:val="FootnoteText"/>
      </w:pPr>
      <w:r>
        <w:rPr>
          <w:rStyle w:val="FootnoteReference"/>
        </w:rPr>
        <w:footnoteRef/>
      </w:r>
      <w:r>
        <w:t xml:space="preserve"> </w:t>
      </w:r>
      <w:r w:rsidRPr="004C3C2D">
        <w:t>https://ec.europa.eu/cefdigital/wiki/display/CEFDIGITAL/eIDAS+Levels+of+assurance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50615"/>
    <w:multiLevelType w:val="multilevel"/>
    <w:tmpl w:val="F18E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2D"/>
    <w:rsid w:val="000341C8"/>
    <w:rsid w:val="00283152"/>
    <w:rsid w:val="004C3C2D"/>
    <w:rsid w:val="00871165"/>
    <w:rsid w:val="00BB2FF5"/>
    <w:rsid w:val="00C8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12EC6"/>
  <w15:chartTrackingRefBased/>
  <w15:docId w15:val="{719D2C37-687C-9844-A91A-7B0760E3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3C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3C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C2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C3C2D"/>
    <w:rPr>
      <w:b/>
      <w:bCs/>
    </w:rPr>
  </w:style>
  <w:style w:type="character" w:customStyle="1" w:styleId="apple-converted-space">
    <w:name w:val="apple-converted-space"/>
    <w:basedOn w:val="DefaultParagraphFont"/>
    <w:rsid w:val="004C3C2D"/>
  </w:style>
  <w:style w:type="paragraph" w:styleId="FootnoteText">
    <w:name w:val="footnote text"/>
    <w:basedOn w:val="Normal"/>
    <w:link w:val="FootnoteTextChar"/>
    <w:uiPriority w:val="99"/>
    <w:semiHidden/>
    <w:unhideWhenUsed/>
    <w:rsid w:val="004C3C2D"/>
    <w:rPr>
      <w:sz w:val="20"/>
      <w:szCs w:val="20"/>
    </w:rPr>
  </w:style>
  <w:style w:type="character" w:customStyle="1" w:styleId="FootnoteTextChar">
    <w:name w:val="Footnote Text Char"/>
    <w:basedOn w:val="DefaultParagraphFont"/>
    <w:link w:val="FootnoteText"/>
    <w:uiPriority w:val="99"/>
    <w:semiHidden/>
    <w:rsid w:val="004C3C2D"/>
    <w:rPr>
      <w:sz w:val="20"/>
      <w:szCs w:val="20"/>
    </w:rPr>
  </w:style>
  <w:style w:type="character" w:styleId="FootnoteReference">
    <w:name w:val="footnote reference"/>
    <w:basedOn w:val="DefaultParagraphFont"/>
    <w:uiPriority w:val="99"/>
    <w:semiHidden/>
    <w:unhideWhenUsed/>
    <w:rsid w:val="004C3C2D"/>
    <w:rPr>
      <w:vertAlign w:val="superscript"/>
    </w:rPr>
  </w:style>
  <w:style w:type="character" w:styleId="Hyperlink">
    <w:name w:val="Hyperlink"/>
    <w:basedOn w:val="DefaultParagraphFont"/>
    <w:uiPriority w:val="99"/>
    <w:unhideWhenUsed/>
    <w:rsid w:val="004C3C2D"/>
    <w:rPr>
      <w:color w:val="0563C1" w:themeColor="hyperlink"/>
      <w:u w:val="single"/>
    </w:rPr>
  </w:style>
  <w:style w:type="character" w:styleId="UnresolvedMention">
    <w:name w:val="Unresolved Mention"/>
    <w:basedOn w:val="DefaultParagraphFont"/>
    <w:uiPriority w:val="99"/>
    <w:semiHidden/>
    <w:unhideWhenUsed/>
    <w:rsid w:val="004C3C2D"/>
    <w:rPr>
      <w:color w:val="605E5C"/>
      <w:shd w:val="clear" w:color="auto" w:fill="E1DFDD"/>
    </w:rPr>
  </w:style>
  <w:style w:type="paragraph" w:styleId="Footer">
    <w:name w:val="footer"/>
    <w:basedOn w:val="Normal"/>
    <w:link w:val="FooterChar"/>
    <w:uiPriority w:val="99"/>
    <w:unhideWhenUsed/>
    <w:rsid w:val="004C3C2D"/>
    <w:pPr>
      <w:tabs>
        <w:tab w:val="center" w:pos="4680"/>
        <w:tab w:val="right" w:pos="9360"/>
      </w:tabs>
    </w:pPr>
  </w:style>
  <w:style w:type="character" w:customStyle="1" w:styleId="FooterChar">
    <w:name w:val="Footer Char"/>
    <w:basedOn w:val="DefaultParagraphFont"/>
    <w:link w:val="Footer"/>
    <w:uiPriority w:val="99"/>
    <w:rsid w:val="004C3C2D"/>
  </w:style>
  <w:style w:type="character" w:styleId="PageNumber">
    <w:name w:val="page number"/>
    <w:basedOn w:val="DefaultParagraphFont"/>
    <w:uiPriority w:val="99"/>
    <w:semiHidden/>
    <w:unhideWhenUsed/>
    <w:rsid w:val="004C3C2D"/>
  </w:style>
  <w:style w:type="character" w:customStyle="1" w:styleId="Heading1Char">
    <w:name w:val="Heading 1 Char"/>
    <w:basedOn w:val="DefaultParagraphFont"/>
    <w:link w:val="Heading1"/>
    <w:uiPriority w:val="9"/>
    <w:rsid w:val="004C3C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3C2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C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3C2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85">
      <w:bodyDiv w:val="1"/>
      <w:marLeft w:val="0"/>
      <w:marRight w:val="0"/>
      <w:marTop w:val="0"/>
      <w:marBottom w:val="0"/>
      <w:divBdr>
        <w:top w:val="none" w:sz="0" w:space="0" w:color="auto"/>
        <w:left w:val="none" w:sz="0" w:space="0" w:color="auto"/>
        <w:bottom w:val="none" w:sz="0" w:space="0" w:color="auto"/>
        <w:right w:val="none" w:sz="0" w:space="0" w:color="auto"/>
      </w:divBdr>
    </w:div>
    <w:div w:id="955599161">
      <w:bodyDiv w:val="1"/>
      <w:marLeft w:val="0"/>
      <w:marRight w:val="0"/>
      <w:marTop w:val="0"/>
      <w:marBottom w:val="0"/>
      <w:divBdr>
        <w:top w:val="none" w:sz="0" w:space="0" w:color="auto"/>
        <w:left w:val="none" w:sz="0" w:space="0" w:color="auto"/>
        <w:bottom w:val="none" w:sz="0" w:space="0" w:color="auto"/>
        <w:right w:val="none" w:sz="0" w:space="0" w:color="auto"/>
      </w:divBdr>
    </w:div>
    <w:div w:id="1385329537">
      <w:bodyDiv w:val="1"/>
      <w:marLeft w:val="0"/>
      <w:marRight w:val="0"/>
      <w:marTop w:val="0"/>
      <w:marBottom w:val="0"/>
      <w:divBdr>
        <w:top w:val="none" w:sz="0" w:space="0" w:color="auto"/>
        <w:left w:val="none" w:sz="0" w:space="0" w:color="auto"/>
        <w:bottom w:val="none" w:sz="0" w:space="0" w:color="auto"/>
        <w:right w:val="none" w:sz="0" w:space="0" w:color="auto"/>
      </w:divBdr>
    </w:div>
    <w:div w:id="1644195656">
      <w:bodyDiv w:val="1"/>
      <w:marLeft w:val="0"/>
      <w:marRight w:val="0"/>
      <w:marTop w:val="0"/>
      <w:marBottom w:val="0"/>
      <w:divBdr>
        <w:top w:val="none" w:sz="0" w:space="0" w:color="auto"/>
        <w:left w:val="none" w:sz="0" w:space="0" w:color="auto"/>
        <w:bottom w:val="none" w:sz="0" w:space="0" w:color="auto"/>
        <w:right w:val="none" w:sz="0" w:space="0" w:color="auto"/>
      </w:divBdr>
    </w:div>
    <w:div w:id="1774856523">
      <w:bodyDiv w:val="1"/>
      <w:marLeft w:val="0"/>
      <w:marRight w:val="0"/>
      <w:marTop w:val="0"/>
      <w:marBottom w:val="0"/>
      <w:divBdr>
        <w:top w:val="none" w:sz="0" w:space="0" w:color="auto"/>
        <w:left w:val="none" w:sz="0" w:space="0" w:color="auto"/>
        <w:bottom w:val="none" w:sz="0" w:space="0" w:color="auto"/>
        <w:right w:val="none" w:sz="0" w:space="0" w:color="auto"/>
      </w:divBdr>
    </w:div>
    <w:div w:id="1797872652">
      <w:bodyDiv w:val="1"/>
      <w:marLeft w:val="0"/>
      <w:marRight w:val="0"/>
      <w:marTop w:val="0"/>
      <w:marBottom w:val="0"/>
      <w:divBdr>
        <w:top w:val="none" w:sz="0" w:space="0" w:color="auto"/>
        <w:left w:val="none" w:sz="0" w:space="0" w:color="auto"/>
        <w:bottom w:val="none" w:sz="0" w:space="0" w:color="auto"/>
        <w:right w:val="none" w:sz="0" w:space="0" w:color="auto"/>
      </w:divBdr>
    </w:div>
    <w:div w:id="18864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SpecialPublications/NIST.SP.800-63a.pdf" TargetMode="External"/><Relationship Id="rId1" Type="http://schemas.openxmlformats.org/officeDocument/2006/relationships/hyperlink" Target="https://www.icann.org/en/system/files/files/sac-05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1</cp:revision>
  <dcterms:created xsi:type="dcterms:W3CDTF">2021-10-05T12:08:00Z</dcterms:created>
  <dcterms:modified xsi:type="dcterms:W3CDTF">2021-10-05T13:07:00Z</dcterms:modified>
</cp:coreProperties>
</file>