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759A0" w:rsidRDefault="00A63CDD">
      <w:pPr>
        <w:jc w:val="center"/>
        <w:rPr>
          <w:sz w:val="28"/>
          <w:szCs w:val="28"/>
        </w:rPr>
      </w:pPr>
      <w:r>
        <w:rPr>
          <w:sz w:val="28"/>
          <w:szCs w:val="28"/>
        </w:rPr>
        <w:t>INTERVIEWEE INFORMATION PACKET</w:t>
      </w:r>
    </w:p>
    <w:p w14:paraId="00000002" w14:textId="77777777" w:rsidR="008759A0" w:rsidRDefault="008759A0">
      <w:pPr>
        <w:jc w:val="center"/>
        <w:rPr>
          <w:sz w:val="28"/>
          <w:szCs w:val="28"/>
        </w:rPr>
      </w:pPr>
    </w:p>
    <w:p w14:paraId="00000003" w14:textId="77777777" w:rsidR="008759A0" w:rsidRDefault="00A63CDD">
      <w:pPr>
        <w:jc w:val="center"/>
        <w:rPr>
          <w:sz w:val="28"/>
          <w:szCs w:val="28"/>
        </w:rPr>
      </w:pPr>
      <w:r>
        <w:rPr>
          <w:sz w:val="28"/>
          <w:szCs w:val="28"/>
        </w:rPr>
        <w:t>EPDP ON REGISTRATION DATA PHASE II</w:t>
      </w:r>
    </w:p>
    <w:p w14:paraId="00000004" w14:textId="77777777" w:rsidR="008759A0" w:rsidRDefault="008759A0">
      <w:pPr>
        <w:jc w:val="center"/>
      </w:pPr>
    </w:p>
    <w:p w14:paraId="00000005" w14:textId="77777777" w:rsidR="008759A0" w:rsidRDefault="00A63CDD" w:rsidP="00173B99">
      <w:pPr>
        <w:jc w:val="center"/>
      </w:pPr>
      <w:r>
        <w:t>INTRODUCTION .........................................................................................................................1</w:t>
      </w:r>
    </w:p>
    <w:p w14:paraId="00000006" w14:textId="77777777" w:rsidR="008759A0" w:rsidRDefault="00A63CDD" w:rsidP="00173B99">
      <w:pPr>
        <w:jc w:val="center"/>
      </w:pPr>
      <w:r>
        <w:t>EPDP REFRESHER..........................................................................................................</w:t>
      </w:r>
      <w:r>
        <w:t>...........2</w:t>
      </w:r>
    </w:p>
    <w:p w14:paraId="00000007" w14:textId="77777777" w:rsidR="008759A0" w:rsidRDefault="00A63CDD" w:rsidP="00173B99">
      <w:pPr>
        <w:jc w:val="center"/>
      </w:pPr>
      <w:r>
        <w:t>RECOMMENDATIONS REJECTED OR PENDED BY THE BOARD ..........................................3</w:t>
      </w:r>
    </w:p>
    <w:p w14:paraId="00000008" w14:textId="77777777" w:rsidR="008759A0" w:rsidRDefault="00A63CDD" w:rsidP="00173B99">
      <w:pPr>
        <w:jc w:val="center"/>
      </w:pPr>
      <w:r>
        <w:t>INTERVIEW QUESTIONS: REGISTRATION DATA EPDP PHASE II..........................................4</w:t>
      </w:r>
    </w:p>
    <w:p w14:paraId="00000009" w14:textId="77777777" w:rsidR="008759A0" w:rsidRDefault="008759A0" w:rsidP="00173B99">
      <w:pPr>
        <w:jc w:val="center"/>
      </w:pPr>
    </w:p>
    <w:p w14:paraId="0000000A" w14:textId="77777777" w:rsidR="008759A0" w:rsidRDefault="00A63CDD">
      <w:r>
        <w:t>INTRODUCTION</w:t>
      </w:r>
    </w:p>
    <w:p w14:paraId="0000000B" w14:textId="77777777" w:rsidR="008759A0" w:rsidRDefault="008759A0"/>
    <w:p w14:paraId="0000000C" w14:textId="77777777" w:rsidR="008759A0" w:rsidRDefault="00A63CDD">
      <w:r>
        <w:t xml:space="preserve">Thank you for participating in this set </w:t>
      </w:r>
      <w:r>
        <w:t>of interviews, conducted with the aim of making adjustments to the Policy Development Process to improve the likelihood that the ICANN Board will approve / adopt the policy recommendations it considers.</w:t>
      </w:r>
    </w:p>
    <w:p w14:paraId="0000000D" w14:textId="77777777" w:rsidR="008759A0" w:rsidRDefault="008759A0"/>
    <w:p w14:paraId="0000000E" w14:textId="77777777" w:rsidR="008759A0" w:rsidRDefault="00A63CDD">
      <w:r>
        <w:t>This interview will cover the Registration Data EPDP</w:t>
      </w:r>
      <w:r>
        <w:t xml:space="preserve"> Phase 2, in which you participated. You</w:t>
      </w:r>
    </w:p>
    <w:p w14:paraId="0000000F" w14:textId="77777777" w:rsidR="008759A0" w:rsidRDefault="00A63CDD">
      <w:r>
        <w:t>may refer to this brief packet of information to help you prepare for the interview. It consists</w:t>
      </w:r>
    </w:p>
    <w:p w14:paraId="00000010" w14:textId="77777777" w:rsidR="008759A0" w:rsidRDefault="00A63CDD">
      <w:r>
        <w:t>of three sections:</w:t>
      </w:r>
    </w:p>
    <w:p w14:paraId="00000011" w14:textId="77777777" w:rsidR="008759A0" w:rsidRDefault="00A63CDD">
      <w:pPr>
        <w:numPr>
          <w:ilvl w:val="0"/>
          <w:numId w:val="4"/>
        </w:numPr>
      </w:pPr>
      <w:r>
        <w:t>An EPDP “Refresher” that describes the focus and major dates of the effort, with links to significa</w:t>
      </w:r>
      <w:r>
        <w:t>nt documents</w:t>
      </w:r>
    </w:p>
    <w:p w14:paraId="00000012" w14:textId="77777777" w:rsidR="008759A0" w:rsidRDefault="00A63CDD">
      <w:pPr>
        <w:numPr>
          <w:ilvl w:val="0"/>
          <w:numId w:val="3"/>
        </w:numPr>
      </w:pPr>
      <w:r>
        <w:t>A listing or description of the recommendations that were ultimately not adopted by the Board.</w:t>
      </w:r>
    </w:p>
    <w:p w14:paraId="00000013" w14:textId="77777777" w:rsidR="008759A0" w:rsidRDefault="00A63CDD">
      <w:pPr>
        <w:numPr>
          <w:ilvl w:val="0"/>
          <w:numId w:val="1"/>
        </w:numPr>
      </w:pPr>
      <w:r>
        <w:t xml:space="preserve">The list of questions we plan to ask during the interview, which might aid in your reflection on your time in the (E)PDP. We will likely stray from </w:t>
      </w:r>
      <w:r>
        <w:t>this list as your responses to these questions are likely to raise topics that deserve additional scrutiny. Our aim is to conduct the session as a conversation. We encourage you to raise topics not covered by these questions where you think that might be m</w:t>
      </w:r>
      <w:r>
        <w:t>eaningful.</w:t>
      </w:r>
    </w:p>
    <w:p w14:paraId="00000014" w14:textId="77777777" w:rsidR="008759A0" w:rsidRDefault="008759A0"/>
    <w:p w14:paraId="00000015" w14:textId="77777777" w:rsidR="008759A0" w:rsidRDefault="00A63CDD">
      <w:r>
        <w:t>If you have any questions or wish to review the subject materials in greater depth, please</w:t>
      </w:r>
    </w:p>
    <w:p w14:paraId="00000016" w14:textId="77777777" w:rsidR="008759A0" w:rsidRDefault="00A63CDD">
      <w:r>
        <w:t xml:space="preserve">write to </w:t>
      </w:r>
      <w:hyperlink r:id="rId7">
        <w:r>
          <w:rPr>
            <w:color w:val="1155CC"/>
            <w:u w:val="single"/>
          </w:rPr>
          <w:t>gnso-board-readiness-smallteam@icann.org</w:t>
        </w:r>
      </w:hyperlink>
      <w:r>
        <w:t>.</w:t>
      </w:r>
    </w:p>
    <w:p w14:paraId="00000017" w14:textId="77777777" w:rsidR="008759A0" w:rsidRDefault="008759A0"/>
    <w:p w14:paraId="00000018" w14:textId="77777777" w:rsidR="008759A0" w:rsidRDefault="00A63CDD">
      <w:r>
        <w:t xml:space="preserve">It is planned that the interviews </w:t>
      </w:r>
      <w:r>
        <w:t>are to be recorded for note-taking purposes only. Those</w:t>
      </w:r>
    </w:p>
    <w:p w14:paraId="00000019" w14:textId="77777777" w:rsidR="008759A0" w:rsidRDefault="00A63CDD">
      <w:r>
        <w:t>recordings will be destroyed shortly after the interviewing team checks the meeting notes</w:t>
      </w:r>
    </w:p>
    <w:p w14:paraId="0000001A" w14:textId="77777777" w:rsidR="008759A0" w:rsidRDefault="00A63CDD">
      <w:r>
        <w:t>against the recording. If you prefer that the session not be recorded, please let us know in</w:t>
      </w:r>
    </w:p>
    <w:p w14:paraId="0000001B" w14:textId="77777777" w:rsidR="008759A0" w:rsidRDefault="00A63CDD">
      <w:r>
        <w:t>advance if you ca</w:t>
      </w:r>
      <w:r>
        <w:t>n, or at least at the start of the interview.</w:t>
      </w:r>
    </w:p>
    <w:p w14:paraId="0000001C" w14:textId="77777777" w:rsidR="008759A0" w:rsidRDefault="008759A0"/>
    <w:p w14:paraId="0000001D" w14:textId="77777777" w:rsidR="008759A0" w:rsidRDefault="00A63CDD">
      <w:r>
        <w:t xml:space="preserve">You will be able to review and make corrections to the interview notes prior to </w:t>
      </w:r>
      <w:proofErr w:type="gramStart"/>
      <w:r>
        <w:t>their</w:t>
      </w:r>
      <w:proofErr w:type="gramEnd"/>
    </w:p>
    <w:p w14:paraId="0000001E" w14:textId="77777777" w:rsidR="008759A0" w:rsidRDefault="00A63CDD">
      <w:r>
        <w:t xml:space="preserve">incorporation into the study. It is planned that the interview findings will be </w:t>
      </w:r>
      <w:proofErr w:type="spellStart"/>
      <w:r>
        <w:t>anonymised</w:t>
      </w:r>
      <w:proofErr w:type="spellEnd"/>
    </w:p>
    <w:p w14:paraId="0000001F" w14:textId="77777777" w:rsidR="008759A0" w:rsidRDefault="00A63CDD">
      <w:r>
        <w:t>when published in the study. The names of the interviewees will be published unless you wish your participation to be anonymous.</w:t>
      </w:r>
    </w:p>
    <w:p w14:paraId="00000020" w14:textId="77777777" w:rsidR="008759A0" w:rsidRDefault="008759A0"/>
    <w:p w14:paraId="00000021" w14:textId="77777777" w:rsidR="008759A0" w:rsidRDefault="008759A0"/>
    <w:p w14:paraId="00000022" w14:textId="77777777" w:rsidR="008759A0" w:rsidRDefault="008759A0"/>
    <w:p w14:paraId="4EDBEE8F" w14:textId="5E52FE64" w:rsidR="00173B99" w:rsidRPr="00173B99" w:rsidRDefault="00173B99">
      <w:pPr>
        <w:spacing w:line="240" w:lineRule="auto"/>
        <w:jc w:val="center"/>
        <w:rPr>
          <w:rFonts w:eastAsia="Calibri"/>
          <w:bCs/>
          <w:sz w:val="28"/>
          <w:szCs w:val="28"/>
        </w:rPr>
      </w:pPr>
      <w:r w:rsidRPr="00173B99">
        <w:rPr>
          <w:rFonts w:eastAsia="Calibri"/>
          <w:bCs/>
          <w:sz w:val="28"/>
          <w:szCs w:val="28"/>
        </w:rPr>
        <w:lastRenderedPageBreak/>
        <w:t>EPDP PHASE II REFRESHER</w:t>
      </w:r>
    </w:p>
    <w:p w14:paraId="71327AC9" w14:textId="77777777" w:rsidR="00173B99" w:rsidRDefault="00173B99">
      <w:pPr>
        <w:spacing w:line="240" w:lineRule="auto"/>
        <w:jc w:val="center"/>
        <w:rPr>
          <w:rFonts w:ascii="Calibri" w:eastAsia="Calibri" w:hAnsi="Calibri" w:cs="Calibri"/>
          <w:b/>
        </w:rPr>
      </w:pPr>
    </w:p>
    <w:p w14:paraId="00000023" w14:textId="30F63A97" w:rsidR="008759A0" w:rsidRDefault="00A63CDD">
      <w:pPr>
        <w:spacing w:line="240" w:lineRule="auto"/>
        <w:jc w:val="center"/>
        <w:rPr>
          <w:b/>
        </w:rPr>
      </w:pPr>
      <w:r>
        <w:rPr>
          <w:rFonts w:ascii="Calibri" w:eastAsia="Calibri" w:hAnsi="Calibri" w:cs="Calibri"/>
          <w:b/>
        </w:rPr>
        <w:t>What was this EPDP about?</w:t>
      </w:r>
    </w:p>
    <w:p w14:paraId="00000024" w14:textId="389D593F" w:rsidR="008759A0" w:rsidRDefault="00A63CDD">
      <w:pPr>
        <w:spacing w:line="240" w:lineRule="auto"/>
        <w:rPr>
          <w:rFonts w:ascii="Calibri" w:eastAsia="Calibri" w:hAnsi="Calibri" w:cs="Calibri"/>
        </w:rPr>
      </w:pPr>
      <w:r>
        <w:rPr>
          <w:rFonts w:ascii="Calibri" w:eastAsia="Calibri" w:hAnsi="Calibri" w:cs="Calibri"/>
        </w:rPr>
        <w:t xml:space="preserve">During </w:t>
      </w:r>
      <w:r>
        <w:rPr>
          <w:rFonts w:ascii="Calibri" w:eastAsia="Calibri" w:hAnsi="Calibri" w:cs="Calibri"/>
        </w:rPr>
        <w:t xml:space="preserve">Phase 2 of its work, the EPDP Team was tasked with continuing the work from Phase 1 on </w:t>
      </w:r>
      <w:hyperlink r:id="rId8" w:anchor="temp-spec">
        <w:r>
          <w:rPr>
            <w:rFonts w:ascii="Calibri" w:eastAsia="Calibri" w:hAnsi="Calibri" w:cs="Calibri"/>
            <w:color w:val="1155CC"/>
            <w:u w:val="single"/>
          </w:rPr>
          <w:t>Temporary Specification</w:t>
        </w:r>
      </w:hyperlink>
      <w:r>
        <w:rPr>
          <w:rFonts w:ascii="Calibri" w:eastAsia="Calibri" w:hAnsi="Calibri" w:cs="Calibri"/>
        </w:rPr>
        <w:t xml:space="preserve"> for </w:t>
      </w:r>
      <w:r>
        <w:rPr>
          <w:rFonts w:ascii="Calibri" w:eastAsia="Calibri" w:hAnsi="Calibri" w:cs="Calibri"/>
          <w:highlight w:val="white"/>
        </w:rPr>
        <w:t>gTLD Registration Data</w:t>
      </w:r>
      <w:r>
        <w:rPr>
          <w:rFonts w:ascii="Calibri" w:eastAsia="Calibri" w:hAnsi="Calibri" w:cs="Calibri"/>
        </w:rPr>
        <w:t xml:space="preserve"> (Temp Spec). Discussion included developing a </w:t>
      </w:r>
      <w:r>
        <w:rPr>
          <w:rFonts w:ascii="Calibri" w:eastAsia="Calibri" w:hAnsi="Calibri" w:cs="Calibri"/>
          <w:highlight w:val="white"/>
        </w:rPr>
        <w:t>System for Standardized Access (SSAD) to Non-Public Registration Data and some items carried over from Phase 1, including the Display of information of affiliated privacy / proxy providers, city field, data re</w:t>
      </w:r>
      <w:r>
        <w:rPr>
          <w:rFonts w:ascii="Calibri" w:eastAsia="Calibri" w:hAnsi="Calibri" w:cs="Calibri"/>
          <w:highlight w:val="white"/>
        </w:rPr>
        <w:t>tention, and purpose 2.</w:t>
      </w:r>
    </w:p>
    <w:p w14:paraId="00000025" w14:textId="77777777" w:rsidR="008759A0" w:rsidRDefault="00A63CDD">
      <w:pPr>
        <w:spacing w:line="240" w:lineRule="auto"/>
        <w:jc w:val="center"/>
        <w:rPr>
          <w:rFonts w:ascii="Calibri" w:eastAsia="Calibri" w:hAnsi="Calibri" w:cs="Calibri"/>
          <w:b/>
        </w:rPr>
      </w:pPr>
      <w:r>
        <w:rPr>
          <w:rFonts w:ascii="Calibri" w:eastAsia="Calibri" w:hAnsi="Calibri" w:cs="Calibri"/>
          <w:b/>
        </w:rPr>
        <w:t xml:space="preserve">What triggered this EPDP? </w:t>
      </w:r>
    </w:p>
    <w:p w14:paraId="00000026" w14:textId="6B11D4FF" w:rsidR="008759A0" w:rsidRDefault="00A63CDD">
      <w:pPr>
        <w:shd w:val="clear" w:color="auto" w:fill="FFFFFF"/>
        <w:spacing w:after="160" w:line="240" w:lineRule="auto"/>
        <w:rPr>
          <w:rFonts w:ascii="Calibri" w:eastAsia="Calibri" w:hAnsi="Calibri" w:cs="Calibri"/>
          <w:highlight w:val="white"/>
        </w:rPr>
      </w:pPr>
      <w:r>
        <w:rPr>
          <w:rFonts w:ascii="Calibri" w:eastAsia="Calibri" w:hAnsi="Calibri" w:cs="Calibri"/>
          <w:highlight w:val="white"/>
        </w:rPr>
        <w:t>On 19 July 2018, the GNSO Council initiated an Expedited Policy Development Process (EPDP)</w:t>
      </w:r>
      <w:r w:rsidR="00173B99">
        <w:rPr>
          <w:rFonts w:ascii="Calibri" w:eastAsia="Calibri" w:hAnsi="Calibri" w:cs="Calibri"/>
          <w:highlight w:val="white"/>
        </w:rPr>
        <w:t>,</w:t>
      </w:r>
      <w:r>
        <w:rPr>
          <w:rFonts w:ascii="Calibri" w:eastAsia="Calibri" w:hAnsi="Calibri" w:cs="Calibri"/>
          <w:highlight w:val="white"/>
        </w:rPr>
        <w:t xml:space="preserve"> charter</w:t>
      </w:r>
      <w:r w:rsidR="00173B99">
        <w:rPr>
          <w:rFonts w:ascii="Calibri" w:eastAsia="Calibri" w:hAnsi="Calibri" w:cs="Calibri"/>
          <w:highlight w:val="white"/>
        </w:rPr>
        <w:t>ing</w:t>
      </w:r>
      <w:r>
        <w:rPr>
          <w:rFonts w:ascii="Calibri" w:eastAsia="Calibri" w:hAnsi="Calibri" w:cs="Calibri"/>
          <w:highlight w:val="white"/>
        </w:rPr>
        <w:t xml:space="preserve"> the EPDP on the </w:t>
      </w:r>
      <w:hyperlink r:id="rId9" w:anchor="temp-spec">
        <w:r>
          <w:rPr>
            <w:rFonts w:ascii="Calibri" w:eastAsia="Calibri" w:hAnsi="Calibri" w:cs="Calibri"/>
            <w:color w:val="1155CC"/>
            <w:highlight w:val="white"/>
            <w:u w:val="single"/>
          </w:rPr>
          <w:t>Temporary Specification</w:t>
        </w:r>
      </w:hyperlink>
      <w:r>
        <w:rPr>
          <w:rFonts w:ascii="Calibri" w:eastAsia="Calibri" w:hAnsi="Calibri" w:cs="Calibri"/>
          <w:highlight w:val="white"/>
        </w:rPr>
        <w:t xml:space="preserve"> for gTLD Registration Data team. In accordance with the Charter, EPDP team membership was </w:t>
      </w:r>
      <w:r>
        <w:rPr>
          <w:rFonts w:ascii="Calibri" w:eastAsia="Calibri" w:hAnsi="Calibri" w:cs="Calibri"/>
          <w:highlight w:val="white"/>
        </w:rPr>
        <w:t>limited. However, all ICANN Stakeholder Groups, Constituencies, and Supporting Organizations interested in par</w:t>
      </w:r>
      <w:r>
        <w:rPr>
          <w:rFonts w:ascii="Calibri" w:eastAsia="Calibri" w:hAnsi="Calibri" w:cs="Calibri"/>
          <w:highlight w:val="white"/>
        </w:rPr>
        <w:t xml:space="preserve">ticipating are represented on the EPDP Team. </w:t>
      </w:r>
    </w:p>
    <w:p w14:paraId="00000027" w14:textId="77777777" w:rsidR="008759A0" w:rsidRDefault="00A63CDD">
      <w:pPr>
        <w:shd w:val="clear" w:color="auto" w:fill="FFFFFF"/>
        <w:spacing w:line="240" w:lineRule="auto"/>
        <w:rPr>
          <w:rFonts w:ascii="Calibri" w:eastAsia="Calibri" w:hAnsi="Calibri" w:cs="Calibri"/>
          <w:highlight w:val="white"/>
        </w:rPr>
      </w:pPr>
      <w:r>
        <w:rPr>
          <w:rFonts w:ascii="Calibri" w:eastAsia="Calibri" w:hAnsi="Calibri" w:cs="Calibri"/>
          <w:highlight w:val="white"/>
        </w:rPr>
        <w:t>During phase 1 of its work, the EPDP Team was tasked to determine if the Temporary Specification for gTLD Registration Data should become an ICANN Consensus Policy as is, or with modifications. Phase 2 of the E</w:t>
      </w:r>
      <w:r>
        <w:rPr>
          <w:rFonts w:ascii="Calibri" w:eastAsia="Calibri" w:hAnsi="Calibri" w:cs="Calibri"/>
          <w:highlight w:val="white"/>
        </w:rPr>
        <w:t>PDP Team’s charter covered: (</w:t>
      </w:r>
      <w:proofErr w:type="spellStart"/>
      <w:r>
        <w:rPr>
          <w:rFonts w:ascii="Calibri" w:eastAsia="Calibri" w:hAnsi="Calibri" w:cs="Calibri"/>
          <w:highlight w:val="white"/>
        </w:rPr>
        <w:t>i</w:t>
      </w:r>
      <w:proofErr w:type="spellEnd"/>
      <w:r>
        <w:rPr>
          <w:rFonts w:ascii="Calibri" w:eastAsia="Calibri" w:hAnsi="Calibri" w:cs="Calibri"/>
          <w:highlight w:val="white"/>
        </w:rPr>
        <w:t>) a discussion of a system for standardized access/disclosure to nonpublic registration data, (ii) issues noted in the Annex to the Temporary Specification for gTLD Registration Data (“Important Issues for Further Community Ac</w:t>
      </w:r>
      <w:r>
        <w:rPr>
          <w:rFonts w:ascii="Calibri" w:eastAsia="Calibri" w:hAnsi="Calibri" w:cs="Calibri"/>
          <w:highlight w:val="white"/>
        </w:rPr>
        <w:t xml:space="preserve">tion”), and (iii) outstanding issues deferred from Phase 1, e.g., legal vs. natural persons, redaction of city field, et. al. In order to organize its work, the EPDP Team agreed to divide its work into priority 1 and priority 2 topics. Priority 1 consists </w:t>
      </w:r>
      <w:r>
        <w:rPr>
          <w:rFonts w:ascii="Calibri" w:eastAsia="Calibri" w:hAnsi="Calibri" w:cs="Calibri"/>
          <w:highlight w:val="white"/>
        </w:rPr>
        <w:t xml:space="preserve">of the SSAD and all directly related questions. Priority 2 includes the following topics: </w:t>
      </w:r>
    </w:p>
    <w:p w14:paraId="00000028" w14:textId="77777777" w:rsidR="008759A0" w:rsidRDefault="00A63CDD">
      <w:pPr>
        <w:numPr>
          <w:ilvl w:val="0"/>
          <w:numId w:val="2"/>
        </w:num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Display of information of affiliated vs. accredited privacy / proxy providers </w:t>
      </w:r>
    </w:p>
    <w:p w14:paraId="00000029" w14:textId="77777777" w:rsidR="008759A0" w:rsidRDefault="00A63CDD">
      <w:pPr>
        <w:numPr>
          <w:ilvl w:val="0"/>
          <w:numId w:val="2"/>
        </w:num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Legal vs. natural persons </w:t>
      </w:r>
    </w:p>
    <w:p w14:paraId="0000002A" w14:textId="77777777" w:rsidR="008759A0" w:rsidRDefault="00A63CDD">
      <w:pPr>
        <w:numPr>
          <w:ilvl w:val="0"/>
          <w:numId w:val="2"/>
        </w:num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City field redaction </w:t>
      </w:r>
    </w:p>
    <w:p w14:paraId="0000002B" w14:textId="77777777" w:rsidR="008759A0" w:rsidRDefault="00A63CDD">
      <w:pPr>
        <w:numPr>
          <w:ilvl w:val="0"/>
          <w:numId w:val="2"/>
        </w:num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Data retention </w:t>
      </w:r>
    </w:p>
    <w:p w14:paraId="0000002C" w14:textId="77777777" w:rsidR="008759A0" w:rsidRDefault="00A63CDD">
      <w:pPr>
        <w:numPr>
          <w:ilvl w:val="0"/>
          <w:numId w:val="2"/>
        </w:numPr>
        <w:shd w:val="clear" w:color="auto" w:fill="FFFFFF"/>
        <w:spacing w:line="240" w:lineRule="auto"/>
        <w:rPr>
          <w:rFonts w:ascii="Calibri" w:eastAsia="Calibri" w:hAnsi="Calibri" w:cs="Calibri"/>
          <w:highlight w:val="white"/>
        </w:rPr>
      </w:pPr>
      <w:r>
        <w:rPr>
          <w:rFonts w:ascii="Calibri" w:eastAsia="Calibri" w:hAnsi="Calibri" w:cs="Calibri"/>
          <w:highlight w:val="white"/>
        </w:rPr>
        <w:t>Potential Purpose for</w:t>
      </w:r>
      <w:r>
        <w:rPr>
          <w:rFonts w:ascii="Calibri" w:eastAsia="Calibri" w:hAnsi="Calibri" w:cs="Calibri"/>
          <w:highlight w:val="white"/>
        </w:rPr>
        <w:t xml:space="preserve"> ICANN’s Office of the Chief Technology Officer </w:t>
      </w:r>
    </w:p>
    <w:p w14:paraId="0000002D" w14:textId="77777777" w:rsidR="008759A0" w:rsidRDefault="00A63CDD">
      <w:pPr>
        <w:numPr>
          <w:ilvl w:val="0"/>
          <w:numId w:val="2"/>
        </w:numPr>
        <w:shd w:val="clear" w:color="auto" w:fill="FFFFFF"/>
        <w:spacing w:line="240" w:lineRule="auto"/>
        <w:rPr>
          <w:rFonts w:ascii="Calibri" w:eastAsia="Calibri" w:hAnsi="Calibri" w:cs="Calibri"/>
          <w:highlight w:val="white"/>
        </w:rPr>
      </w:pPr>
      <w:r>
        <w:rPr>
          <w:rFonts w:ascii="Calibri" w:eastAsia="Calibri" w:hAnsi="Calibri" w:cs="Calibri"/>
          <w:highlight w:val="white"/>
        </w:rPr>
        <w:t xml:space="preserve">Feasibility of unique contacts to have a uniform anonymized email address </w:t>
      </w:r>
    </w:p>
    <w:p w14:paraId="0000002E" w14:textId="77777777" w:rsidR="008759A0" w:rsidRDefault="00A63CDD">
      <w:pPr>
        <w:numPr>
          <w:ilvl w:val="0"/>
          <w:numId w:val="2"/>
        </w:numPr>
        <w:shd w:val="clear" w:color="auto" w:fill="FFFFFF"/>
        <w:spacing w:after="200" w:line="240" w:lineRule="auto"/>
        <w:rPr>
          <w:rFonts w:ascii="Calibri" w:eastAsia="Calibri" w:hAnsi="Calibri" w:cs="Calibri"/>
          <w:highlight w:val="white"/>
        </w:rPr>
      </w:pPr>
      <w:r>
        <w:rPr>
          <w:rFonts w:ascii="Calibri" w:eastAsia="Calibri" w:hAnsi="Calibri" w:cs="Calibri"/>
          <w:highlight w:val="white"/>
        </w:rPr>
        <w:t>Accuracy and WHOIS Accuracy Reporting System</w:t>
      </w:r>
    </w:p>
    <w:p w14:paraId="0000002F" w14:textId="77777777" w:rsidR="008759A0" w:rsidRDefault="00A63CDD">
      <w:pPr>
        <w:shd w:val="clear" w:color="auto" w:fill="FFFFFF"/>
        <w:spacing w:line="240" w:lineRule="auto"/>
        <w:jc w:val="center"/>
        <w:rPr>
          <w:rFonts w:ascii="Calibri" w:eastAsia="Calibri" w:hAnsi="Calibri" w:cs="Calibri"/>
          <w:b/>
        </w:rPr>
      </w:pPr>
      <w:r>
        <w:rPr>
          <w:rFonts w:ascii="Calibri" w:eastAsia="Calibri" w:hAnsi="Calibri" w:cs="Calibri"/>
          <w:b/>
        </w:rPr>
        <w:t xml:space="preserve">Key Dates </w:t>
      </w:r>
    </w:p>
    <w:p w14:paraId="00000030" w14:textId="77777777" w:rsidR="008759A0" w:rsidRDefault="00A63CDD">
      <w:pPr>
        <w:shd w:val="clear" w:color="auto" w:fill="FFFFFF"/>
        <w:spacing w:line="240" w:lineRule="auto"/>
        <w:rPr>
          <w:rFonts w:ascii="Calibri" w:eastAsia="Calibri" w:hAnsi="Calibri" w:cs="Calibri"/>
        </w:rPr>
      </w:pPr>
      <w:r>
        <w:rPr>
          <w:rFonts w:ascii="Calibri" w:eastAsia="Calibri" w:hAnsi="Calibri" w:cs="Calibri"/>
          <w:b/>
        </w:rPr>
        <w:t xml:space="preserve">4 March 2019 </w:t>
      </w:r>
      <w:r>
        <w:rPr>
          <w:rFonts w:ascii="Calibri" w:eastAsia="Calibri" w:hAnsi="Calibri" w:cs="Calibri"/>
        </w:rPr>
        <w:t xml:space="preserve">– GNSO Council </w:t>
      </w:r>
      <w:hyperlink r:id="rId10" w:anchor="20190304-1">
        <w:r>
          <w:rPr>
            <w:rFonts w:ascii="Calibri" w:eastAsia="Calibri" w:hAnsi="Calibri" w:cs="Calibri"/>
            <w:color w:val="1155CC"/>
            <w:u w:val="single"/>
          </w:rPr>
          <w:t>resolution</w:t>
        </w:r>
      </w:hyperlink>
      <w:r>
        <w:rPr>
          <w:rFonts w:ascii="Calibri" w:eastAsia="Calibri" w:hAnsi="Calibri" w:cs="Calibri"/>
        </w:rPr>
        <w:t xml:space="preserve"> for Phase 2 EPDP to initiate</w:t>
      </w:r>
    </w:p>
    <w:p w14:paraId="00000031" w14:textId="77777777" w:rsidR="008759A0" w:rsidRDefault="00A63CDD">
      <w:pPr>
        <w:shd w:val="clear" w:color="auto" w:fill="FFFFFF"/>
        <w:spacing w:line="240" w:lineRule="auto"/>
        <w:rPr>
          <w:rFonts w:ascii="Calibri" w:eastAsia="Calibri" w:hAnsi="Calibri" w:cs="Calibri"/>
        </w:rPr>
      </w:pPr>
      <w:r>
        <w:rPr>
          <w:rFonts w:ascii="Calibri" w:eastAsia="Calibri" w:hAnsi="Calibri" w:cs="Calibri"/>
          <w:b/>
        </w:rPr>
        <w:t xml:space="preserve">31 July 2020 </w:t>
      </w:r>
      <w:r>
        <w:rPr>
          <w:rFonts w:ascii="Calibri" w:eastAsia="Calibri" w:hAnsi="Calibri" w:cs="Calibri"/>
        </w:rPr>
        <w:t xml:space="preserve">– Working Group Submits </w:t>
      </w:r>
      <w:hyperlink r:id="rId11">
        <w:r>
          <w:rPr>
            <w:rFonts w:ascii="Calibri" w:eastAsia="Calibri" w:hAnsi="Calibri" w:cs="Calibri"/>
            <w:color w:val="1155CC"/>
            <w:u w:val="single"/>
          </w:rPr>
          <w:t>Phase 2 Final Report</w:t>
        </w:r>
      </w:hyperlink>
    </w:p>
    <w:p w14:paraId="00000032" w14:textId="77777777" w:rsidR="008759A0" w:rsidRDefault="00A63CDD">
      <w:pPr>
        <w:shd w:val="clear" w:color="auto" w:fill="FFFFFF"/>
        <w:spacing w:line="240" w:lineRule="auto"/>
        <w:rPr>
          <w:rFonts w:ascii="Calibri" w:eastAsia="Calibri" w:hAnsi="Calibri" w:cs="Calibri"/>
        </w:rPr>
      </w:pPr>
      <w:r>
        <w:rPr>
          <w:rFonts w:ascii="Calibri" w:eastAsia="Calibri" w:hAnsi="Calibri" w:cs="Calibri"/>
          <w:b/>
        </w:rPr>
        <w:t xml:space="preserve">24 September 2020 </w:t>
      </w:r>
      <w:r>
        <w:rPr>
          <w:rFonts w:ascii="Calibri" w:eastAsia="Calibri" w:hAnsi="Calibri" w:cs="Calibri"/>
        </w:rPr>
        <w:t xml:space="preserve">– GNSO Council </w:t>
      </w:r>
      <w:hyperlink r:id="rId12" w:anchor="20200924-2">
        <w:r>
          <w:rPr>
            <w:rFonts w:ascii="Calibri" w:eastAsia="Calibri" w:hAnsi="Calibri" w:cs="Calibri"/>
            <w:color w:val="1155CC"/>
            <w:u w:val="single"/>
          </w:rPr>
          <w:t>adopts</w:t>
        </w:r>
      </w:hyperlink>
      <w:r>
        <w:rPr>
          <w:rFonts w:ascii="Calibri" w:eastAsia="Calibri" w:hAnsi="Calibri" w:cs="Calibri"/>
          <w:b/>
        </w:rPr>
        <w:t xml:space="preserve"> </w:t>
      </w:r>
      <w:r>
        <w:rPr>
          <w:rFonts w:ascii="Calibri" w:eastAsia="Calibri" w:hAnsi="Calibri" w:cs="Calibri"/>
        </w:rPr>
        <w:t>Phase 2 Final Report</w:t>
      </w:r>
    </w:p>
    <w:p w14:paraId="00000033" w14:textId="77777777" w:rsidR="008759A0" w:rsidRDefault="00A63CDD">
      <w:pPr>
        <w:shd w:val="clear" w:color="auto" w:fill="FFFFFF"/>
        <w:spacing w:line="240" w:lineRule="auto"/>
        <w:rPr>
          <w:rFonts w:ascii="Calibri" w:eastAsia="Calibri" w:hAnsi="Calibri" w:cs="Calibri"/>
          <w:b/>
        </w:rPr>
      </w:pPr>
      <w:r>
        <w:rPr>
          <w:rFonts w:ascii="Calibri" w:eastAsia="Calibri" w:hAnsi="Calibri" w:cs="Calibri"/>
          <w:b/>
        </w:rPr>
        <w:t xml:space="preserve">29 October 2020 </w:t>
      </w:r>
      <w:r>
        <w:rPr>
          <w:rFonts w:ascii="Calibri" w:eastAsia="Calibri" w:hAnsi="Calibri" w:cs="Calibri"/>
        </w:rPr>
        <w:t>– GNSO</w:t>
      </w:r>
      <w:r>
        <w:rPr>
          <w:rFonts w:ascii="Calibri" w:eastAsia="Calibri" w:hAnsi="Calibri" w:cs="Calibri"/>
        </w:rPr>
        <w:t xml:space="preserve"> Council </w:t>
      </w:r>
      <w:hyperlink r:id="rId13">
        <w:r>
          <w:rPr>
            <w:rFonts w:ascii="Calibri" w:eastAsia="Calibri" w:hAnsi="Calibri" w:cs="Calibri"/>
            <w:color w:val="1155CC"/>
            <w:u w:val="single"/>
          </w:rPr>
          <w:t>recommendations report</w:t>
        </w:r>
      </w:hyperlink>
      <w:r>
        <w:rPr>
          <w:rFonts w:ascii="Calibri" w:eastAsia="Calibri" w:hAnsi="Calibri" w:cs="Calibri"/>
        </w:rPr>
        <w:t xml:space="preserve"> to ICANN Board</w:t>
      </w:r>
    </w:p>
    <w:p w14:paraId="00000034" w14:textId="77777777" w:rsidR="008759A0" w:rsidRDefault="00A63CDD">
      <w:pPr>
        <w:shd w:val="clear" w:color="auto" w:fill="FFFFFF"/>
        <w:spacing w:line="240" w:lineRule="auto"/>
        <w:rPr>
          <w:rFonts w:ascii="Calibri" w:eastAsia="Calibri" w:hAnsi="Calibri" w:cs="Calibri"/>
          <w:b/>
        </w:rPr>
      </w:pPr>
      <w:r>
        <w:rPr>
          <w:rFonts w:ascii="Calibri" w:eastAsia="Calibri" w:hAnsi="Calibri" w:cs="Calibri"/>
          <w:b/>
        </w:rPr>
        <w:t xml:space="preserve">21 June 2021 </w:t>
      </w:r>
      <w:r>
        <w:rPr>
          <w:rFonts w:ascii="Calibri" w:eastAsia="Calibri" w:hAnsi="Calibri" w:cs="Calibri"/>
        </w:rPr>
        <w:t xml:space="preserve">– ICANN Board </w:t>
      </w:r>
      <w:hyperlink r:id="rId14" w:anchor="1.a">
        <w:r>
          <w:rPr>
            <w:rFonts w:ascii="Calibri" w:eastAsia="Calibri" w:hAnsi="Calibri" w:cs="Calibri"/>
            <w:color w:val="1155CC"/>
            <w:u w:val="single"/>
          </w:rPr>
          <w:t>adopts</w:t>
        </w:r>
      </w:hyperlink>
      <w:r>
        <w:rPr>
          <w:rFonts w:ascii="Calibri" w:eastAsia="Calibri" w:hAnsi="Calibri" w:cs="Calibri"/>
        </w:rPr>
        <w:t xml:space="preserve"> EPDP Phase 2 Priority 2 Recommendations</w:t>
      </w:r>
    </w:p>
    <w:p w14:paraId="00000035" w14:textId="77777777" w:rsidR="008759A0" w:rsidRDefault="00A63CDD">
      <w:pPr>
        <w:shd w:val="clear" w:color="auto" w:fill="FFFFFF"/>
        <w:spacing w:after="160" w:line="240" w:lineRule="auto"/>
        <w:rPr>
          <w:rFonts w:ascii="Calibri" w:eastAsia="Calibri" w:hAnsi="Calibri" w:cs="Calibri"/>
          <w:sz w:val="26"/>
          <w:szCs w:val="26"/>
        </w:rPr>
      </w:pPr>
      <w:r>
        <w:rPr>
          <w:rFonts w:ascii="Calibri" w:eastAsia="Calibri" w:hAnsi="Calibri" w:cs="Calibri"/>
          <w:b/>
        </w:rPr>
        <w:t xml:space="preserve">25 January 2022 </w:t>
      </w:r>
      <w:r>
        <w:rPr>
          <w:rFonts w:ascii="Calibri" w:eastAsia="Calibri" w:hAnsi="Calibri" w:cs="Calibri"/>
        </w:rPr>
        <w:t xml:space="preserve">– </w:t>
      </w:r>
      <w:hyperlink r:id="rId15">
        <w:r>
          <w:rPr>
            <w:rFonts w:ascii="Calibri" w:eastAsia="Calibri" w:hAnsi="Calibri" w:cs="Calibri"/>
            <w:color w:val="1155CC"/>
            <w:u w:val="single"/>
          </w:rPr>
          <w:t>Operational Design Phase</w:t>
        </w:r>
      </w:hyperlink>
      <w:r>
        <w:rPr>
          <w:rFonts w:ascii="Calibri" w:eastAsia="Calibri" w:hAnsi="Calibri" w:cs="Calibri"/>
        </w:rPr>
        <w:t xml:space="preserve"> for System for Standardized Access/Disclosure (SSAD) Operational Design Assessment (ODA) </w:t>
      </w:r>
    </w:p>
    <w:p w14:paraId="00000036" w14:textId="77777777" w:rsidR="008759A0" w:rsidRDefault="00A63CDD">
      <w:pPr>
        <w:shd w:val="clear" w:color="auto" w:fill="FFFFFF"/>
        <w:spacing w:line="240" w:lineRule="auto"/>
        <w:jc w:val="center"/>
        <w:rPr>
          <w:rFonts w:ascii="Calibri" w:eastAsia="Calibri" w:hAnsi="Calibri" w:cs="Calibri"/>
          <w:b/>
        </w:rPr>
      </w:pPr>
      <w:r>
        <w:rPr>
          <w:rFonts w:ascii="Calibri" w:eastAsia="Calibri" w:hAnsi="Calibri" w:cs="Calibri"/>
          <w:b/>
        </w:rPr>
        <w:t>Relevant Links</w:t>
      </w:r>
    </w:p>
    <w:p w14:paraId="00000037" w14:textId="77777777" w:rsidR="008759A0" w:rsidRDefault="00A63CDD">
      <w:pPr>
        <w:spacing w:line="240" w:lineRule="auto"/>
        <w:rPr>
          <w:rFonts w:ascii="Calibri" w:eastAsia="Calibri" w:hAnsi="Calibri" w:cs="Calibri"/>
          <w:b/>
        </w:rPr>
      </w:pPr>
      <w:r>
        <w:rPr>
          <w:rFonts w:ascii="Calibri" w:eastAsia="Calibri" w:hAnsi="Calibri" w:cs="Calibri"/>
          <w:b/>
        </w:rPr>
        <w:t>Wiki</w:t>
      </w:r>
    </w:p>
    <w:p w14:paraId="00000038" w14:textId="77777777" w:rsidR="008759A0" w:rsidRDefault="00A63CDD">
      <w:pPr>
        <w:spacing w:line="240" w:lineRule="auto"/>
        <w:rPr>
          <w:rFonts w:ascii="Calibri" w:eastAsia="Calibri" w:hAnsi="Calibri" w:cs="Calibri"/>
        </w:rPr>
      </w:pPr>
      <w:hyperlink r:id="rId16">
        <w:r>
          <w:rPr>
            <w:rFonts w:ascii="Calibri" w:eastAsia="Calibri" w:hAnsi="Calibri" w:cs="Calibri"/>
            <w:color w:val="1155CC"/>
            <w:u w:val="single"/>
          </w:rPr>
          <w:t>https://community.icann.org/display/EOTSFGRD</w:t>
        </w:r>
      </w:hyperlink>
      <w:r>
        <w:rPr>
          <w:rFonts w:ascii="Calibri" w:eastAsia="Calibri" w:hAnsi="Calibri" w:cs="Calibri"/>
        </w:rPr>
        <w:t xml:space="preserve"> </w:t>
      </w:r>
    </w:p>
    <w:p w14:paraId="00000039" w14:textId="77777777" w:rsidR="008759A0" w:rsidRDefault="00A63CDD">
      <w:pPr>
        <w:spacing w:line="240" w:lineRule="auto"/>
        <w:rPr>
          <w:rFonts w:ascii="Calibri" w:eastAsia="Calibri" w:hAnsi="Calibri" w:cs="Calibri"/>
          <w:b/>
        </w:rPr>
      </w:pPr>
      <w:r>
        <w:rPr>
          <w:rFonts w:ascii="Calibri" w:eastAsia="Calibri" w:hAnsi="Calibri" w:cs="Calibri"/>
          <w:b/>
        </w:rPr>
        <w:t>Charter</w:t>
      </w:r>
    </w:p>
    <w:p w14:paraId="0000003A" w14:textId="77777777" w:rsidR="008759A0" w:rsidRDefault="00A63CDD">
      <w:pPr>
        <w:spacing w:line="240" w:lineRule="auto"/>
        <w:rPr>
          <w:rFonts w:ascii="Calibri" w:eastAsia="Calibri" w:hAnsi="Calibri" w:cs="Calibri"/>
        </w:rPr>
      </w:pPr>
      <w:hyperlink r:id="rId17">
        <w:r>
          <w:rPr>
            <w:rFonts w:ascii="Calibri" w:eastAsia="Calibri" w:hAnsi="Calibri" w:cs="Calibri"/>
            <w:color w:val="1155CC"/>
            <w:u w:val="single"/>
          </w:rPr>
          <w:t>https://gnso.icann.org/sites/default/files/file/field-file-attach/temp-spec-gtl</w:t>
        </w:r>
        <w:r>
          <w:rPr>
            <w:rFonts w:ascii="Calibri" w:eastAsia="Calibri" w:hAnsi="Calibri" w:cs="Calibri"/>
            <w:color w:val="1155CC"/>
            <w:u w:val="single"/>
          </w:rPr>
          <w:t>d-rd-epdp-19jul18-en.pdf</w:t>
        </w:r>
      </w:hyperlink>
      <w:r>
        <w:rPr>
          <w:rFonts w:ascii="Calibri" w:eastAsia="Calibri" w:hAnsi="Calibri" w:cs="Calibri"/>
        </w:rPr>
        <w:t xml:space="preserve"> </w:t>
      </w:r>
    </w:p>
    <w:p w14:paraId="0000003B" w14:textId="77777777" w:rsidR="008759A0" w:rsidRDefault="00A63CDD">
      <w:pPr>
        <w:spacing w:line="240" w:lineRule="auto"/>
        <w:rPr>
          <w:rFonts w:ascii="Calibri" w:eastAsia="Calibri" w:hAnsi="Calibri" w:cs="Calibri"/>
        </w:rPr>
      </w:pPr>
      <w:r>
        <w:rPr>
          <w:rFonts w:ascii="Calibri" w:eastAsia="Calibri" w:hAnsi="Calibri" w:cs="Calibri"/>
          <w:b/>
        </w:rPr>
        <w:t xml:space="preserve">Final Report </w:t>
      </w:r>
      <w:hyperlink r:id="rId18">
        <w:r>
          <w:rPr>
            <w:rFonts w:ascii="Calibri" w:eastAsia="Calibri" w:hAnsi="Calibri" w:cs="Calibri"/>
            <w:color w:val="1155CC"/>
            <w:u w:val="single"/>
          </w:rPr>
          <w:t>https://gnso.icann.org/sites/default/files/file/field-file-attach/epd</w:t>
        </w:r>
        <w:r>
          <w:rPr>
            <w:rFonts w:ascii="Calibri" w:eastAsia="Calibri" w:hAnsi="Calibri" w:cs="Calibri"/>
            <w:color w:val="1155CC"/>
            <w:u w:val="single"/>
          </w:rPr>
          <w:t>p-phase-2-temp-spec-gtld-registration-data-2-31jul20-en.pdf</w:t>
        </w:r>
      </w:hyperlink>
      <w:r>
        <w:rPr>
          <w:rFonts w:ascii="Calibri" w:eastAsia="Calibri" w:hAnsi="Calibri" w:cs="Calibri"/>
        </w:rPr>
        <w:t xml:space="preserve"> </w:t>
      </w:r>
    </w:p>
    <w:p w14:paraId="2E1E755E" w14:textId="262528A2" w:rsidR="00173B99" w:rsidRDefault="00A63CDD" w:rsidP="00173B99">
      <w:pPr>
        <w:spacing w:line="240" w:lineRule="auto"/>
        <w:rPr>
          <w:sz w:val="28"/>
          <w:szCs w:val="28"/>
        </w:rPr>
      </w:pPr>
      <w:r>
        <w:rPr>
          <w:rFonts w:ascii="Calibri" w:eastAsia="Calibri" w:hAnsi="Calibri" w:cs="Calibri"/>
          <w:b/>
        </w:rPr>
        <w:t xml:space="preserve">Board Resolution Approving EPDP Phase 2 Priority 2 Recommendations </w:t>
      </w:r>
      <w:hyperlink r:id="rId19" w:anchor="1.a">
        <w:r>
          <w:rPr>
            <w:rFonts w:ascii="Calibri" w:eastAsia="Calibri" w:hAnsi="Calibri" w:cs="Calibri"/>
            <w:color w:val="1155CC"/>
            <w:u w:val="single"/>
          </w:rPr>
          <w:t>https://www.icann.org/en/board-activities-and-meetings/materials/approved-resolutions-special-meeting-of-the-icann-board-21-06-2021-en#1.a</w:t>
        </w:r>
      </w:hyperlink>
      <w:r>
        <w:rPr>
          <w:rFonts w:ascii="Calibri" w:eastAsia="Calibri" w:hAnsi="Calibri" w:cs="Calibri"/>
        </w:rPr>
        <w:t xml:space="preserve"> </w:t>
      </w:r>
      <w:r w:rsidR="00173B99">
        <w:rPr>
          <w:sz w:val="28"/>
          <w:szCs w:val="28"/>
        </w:rPr>
        <w:br w:type="page"/>
      </w:r>
    </w:p>
    <w:p w14:paraId="0000003D" w14:textId="2939EBF9" w:rsidR="008759A0" w:rsidRDefault="00A63CDD">
      <w:pPr>
        <w:rPr>
          <w:rFonts w:ascii="Aptos" w:eastAsia="Aptos" w:hAnsi="Aptos" w:cs="Aptos"/>
          <w:b/>
          <w:sz w:val="40"/>
          <w:szCs w:val="40"/>
          <w:u w:val="single"/>
        </w:rPr>
      </w:pPr>
      <w:r>
        <w:rPr>
          <w:sz w:val="28"/>
          <w:szCs w:val="28"/>
        </w:rPr>
        <w:lastRenderedPageBreak/>
        <w:t>RECOMMENDATIONS REJECTED OR PENDED BY THE BOARD</w:t>
      </w:r>
    </w:p>
    <w:p w14:paraId="0000003E" w14:textId="77777777" w:rsidR="008759A0" w:rsidRDefault="008759A0">
      <w:pPr>
        <w:spacing w:line="240" w:lineRule="auto"/>
        <w:jc w:val="center"/>
        <w:rPr>
          <w:rFonts w:ascii="Aptos" w:eastAsia="Aptos" w:hAnsi="Aptos" w:cs="Aptos"/>
          <w:b/>
          <w:sz w:val="40"/>
          <w:szCs w:val="40"/>
          <w:u w:val="single"/>
        </w:rPr>
      </w:pPr>
    </w:p>
    <w:p w14:paraId="0000003F" w14:textId="77777777" w:rsidR="008759A0" w:rsidRDefault="00A63CDD">
      <w:pPr>
        <w:spacing w:line="240" w:lineRule="auto"/>
        <w:rPr>
          <w:rFonts w:ascii="Aptos" w:eastAsia="Aptos" w:hAnsi="Aptos" w:cs="Aptos"/>
          <w:sz w:val="24"/>
          <w:szCs w:val="24"/>
        </w:rPr>
      </w:pPr>
      <w:r>
        <w:rPr>
          <w:rFonts w:ascii="Aptos" w:eastAsia="Aptos" w:hAnsi="Aptos" w:cs="Aptos"/>
          <w:sz w:val="24"/>
          <w:szCs w:val="24"/>
        </w:rPr>
        <w:t xml:space="preserve">GNSO Council voted to </w:t>
      </w:r>
      <w:hyperlink r:id="rId20" w:anchor="20200924-2">
        <w:r>
          <w:rPr>
            <w:rFonts w:ascii="Aptos" w:eastAsia="Aptos" w:hAnsi="Aptos" w:cs="Aptos"/>
            <w:color w:val="467886"/>
            <w:sz w:val="24"/>
            <w:szCs w:val="24"/>
            <w:u w:val="single"/>
          </w:rPr>
          <w:t>approve</w:t>
        </w:r>
      </w:hyperlink>
      <w:r>
        <w:rPr>
          <w:rFonts w:ascii="Aptos" w:eastAsia="Aptos" w:hAnsi="Aptos" w:cs="Aptos"/>
          <w:sz w:val="24"/>
          <w:szCs w:val="24"/>
        </w:rPr>
        <w:t xml:space="preserve"> all recommendations in the </w:t>
      </w:r>
      <w:hyperlink r:id="rId21">
        <w:r>
          <w:rPr>
            <w:rFonts w:ascii="Aptos" w:eastAsia="Aptos" w:hAnsi="Aptos" w:cs="Aptos"/>
            <w:color w:val="467886"/>
            <w:sz w:val="24"/>
            <w:szCs w:val="24"/>
            <w:u w:val="single"/>
          </w:rPr>
          <w:t>Final Report</w:t>
        </w:r>
      </w:hyperlink>
      <w:r>
        <w:rPr>
          <w:rFonts w:ascii="Aptos" w:eastAsia="Aptos" w:hAnsi="Aptos" w:cs="Aptos"/>
          <w:sz w:val="24"/>
          <w:szCs w:val="24"/>
        </w:rPr>
        <w:t xml:space="preserve"> of the Temporary Specification for gTLD Registration Data Phase 2 (24 September 2020)</w:t>
      </w:r>
    </w:p>
    <w:p w14:paraId="00000040" w14:textId="77777777" w:rsidR="008759A0" w:rsidRDefault="008759A0">
      <w:pPr>
        <w:spacing w:line="240" w:lineRule="auto"/>
        <w:rPr>
          <w:rFonts w:ascii="Aptos" w:eastAsia="Aptos" w:hAnsi="Aptos" w:cs="Aptos"/>
          <w:sz w:val="24"/>
          <w:szCs w:val="24"/>
        </w:rPr>
      </w:pPr>
    </w:p>
    <w:p w14:paraId="00000041" w14:textId="77777777" w:rsidR="008759A0" w:rsidRDefault="00A63CDD">
      <w:pPr>
        <w:spacing w:line="240" w:lineRule="auto"/>
        <w:rPr>
          <w:rFonts w:ascii="Aptos" w:eastAsia="Aptos" w:hAnsi="Aptos" w:cs="Aptos"/>
          <w:sz w:val="24"/>
          <w:szCs w:val="24"/>
        </w:rPr>
      </w:pPr>
      <w:r>
        <w:rPr>
          <w:rFonts w:ascii="Aptos" w:eastAsia="Aptos" w:hAnsi="Aptos" w:cs="Aptos"/>
          <w:sz w:val="24"/>
          <w:szCs w:val="24"/>
        </w:rPr>
        <w:t xml:space="preserve">The Board did not reject but did not approve, opting to initiate the first </w:t>
      </w:r>
      <w:hyperlink r:id="rId22" w:anchor="2.c">
        <w:r>
          <w:rPr>
            <w:rFonts w:ascii="Aptos" w:eastAsia="Aptos" w:hAnsi="Aptos" w:cs="Aptos"/>
            <w:color w:val="467886"/>
            <w:sz w:val="24"/>
            <w:szCs w:val="24"/>
            <w:u w:val="single"/>
          </w:rPr>
          <w:t>Operational Design Phase</w:t>
        </w:r>
      </w:hyperlink>
      <w:r>
        <w:rPr>
          <w:rFonts w:ascii="Aptos" w:eastAsia="Aptos" w:hAnsi="Aptos" w:cs="Aptos"/>
          <w:sz w:val="24"/>
          <w:szCs w:val="24"/>
        </w:rPr>
        <w:t xml:space="preserve"> (ODP) (25 March 2021)</w:t>
      </w:r>
    </w:p>
    <w:p w14:paraId="00000042" w14:textId="77777777" w:rsidR="008759A0" w:rsidRDefault="008759A0">
      <w:pPr>
        <w:spacing w:line="240" w:lineRule="auto"/>
        <w:rPr>
          <w:rFonts w:ascii="Aptos" w:eastAsia="Aptos" w:hAnsi="Aptos" w:cs="Aptos"/>
          <w:sz w:val="24"/>
          <w:szCs w:val="24"/>
        </w:rPr>
      </w:pPr>
    </w:p>
    <w:p w14:paraId="00000043" w14:textId="77777777" w:rsidR="008759A0" w:rsidRDefault="00A63CDD">
      <w:pPr>
        <w:spacing w:line="240" w:lineRule="auto"/>
        <w:rPr>
          <w:rFonts w:ascii="Aptos" w:eastAsia="Aptos" w:hAnsi="Aptos" w:cs="Aptos"/>
          <w:sz w:val="24"/>
          <w:szCs w:val="24"/>
        </w:rPr>
      </w:pPr>
      <w:r>
        <w:rPr>
          <w:rFonts w:ascii="Aptos" w:eastAsia="Aptos" w:hAnsi="Aptos" w:cs="Aptos"/>
          <w:sz w:val="24"/>
          <w:szCs w:val="24"/>
        </w:rPr>
        <w:t xml:space="preserve">System for Standardized Access/Disclosure (SSAD) </w:t>
      </w:r>
      <w:hyperlink r:id="rId23">
        <w:r>
          <w:rPr>
            <w:rFonts w:ascii="Aptos" w:eastAsia="Aptos" w:hAnsi="Aptos" w:cs="Aptos"/>
            <w:color w:val="467886"/>
            <w:sz w:val="24"/>
            <w:szCs w:val="24"/>
            <w:u w:val="single"/>
          </w:rPr>
          <w:t>Operational Design Assessment</w:t>
        </w:r>
      </w:hyperlink>
      <w:r>
        <w:rPr>
          <w:rFonts w:ascii="Aptos" w:eastAsia="Aptos" w:hAnsi="Aptos" w:cs="Aptos"/>
          <w:sz w:val="24"/>
          <w:szCs w:val="24"/>
        </w:rPr>
        <w:t xml:space="preserve"> (ODA) (25 January 2022)</w:t>
      </w:r>
    </w:p>
    <w:p w14:paraId="00000044" w14:textId="77777777" w:rsidR="008759A0" w:rsidRDefault="008759A0">
      <w:pPr>
        <w:spacing w:line="240" w:lineRule="auto"/>
        <w:rPr>
          <w:rFonts w:ascii="Aptos" w:eastAsia="Aptos" w:hAnsi="Aptos" w:cs="Aptos"/>
          <w:b/>
          <w:sz w:val="32"/>
          <w:szCs w:val="32"/>
          <w:u w:val="single"/>
        </w:rPr>
      </w:pPr>
    </w:p>
    <w:p w14:paraId="00000045" w14:textId="77777777" w:rsidR="008759A0" w:rsidRDefault="00A63CDD">
      <w:pPr>
        <w:shd w:val="clear" w:color="auto" w:fill="FFFFFF"/>
        <w:spacing w:after="520" w:line="240" w:lineRule="auto"/>
        <w:rPr>
          <w:rFonts w:ascii="Aptos" w:eastAsia="Aptos" w:hAnsi="Aptos" w:cs="Aptos"/>
          <w:sz w:val="24"/>
          <w:szCs w:val="24"/>
        </w:rPr>
      </w:pPr>
      <w:r>
        <w:rPr>
          <w:rFonts w:ascii="Aptos" w:eastAsia="Aptos" w:hAnsi="Aptos" w:cs="Aptos"/>
          <w:sz w:val="24"/>
          <w:szCs w:val="24"/>
        </w:rPr>
        <w:t xml:space="preserve">Following input from the GNSO Small Team, the Board passed a </w:t>
      </w:r>
      <w:hyperlink r:id="rId24" w:anchor="section1.a">
        <w:r>
          <w:rPr>
            <w:color w:val="467886"/>
            <w:sz w:val="24"/>
            <w:szCs w:val="24"/>
            <w:u w:val="single"/>
          </w:rPr>
          <w:t>resolution</w:t>
        </w:r>
      </w:hyperlink>
      <w:r>
        <w:rPr>
          <w:rFonts w:ascii="Aptos" w:eastAsia="Aptos" w:hAnsi="Aptos" w:cs="Aptos"/>
          <w:sz w:val="24"/>
          <w:szCs w:val="24"/>
        </w:rPr>
        <w:t xml:space="preserve"> directing ICANN org to develop and launch a new ticketing system (now referre</w:t>
      </w:r>
      <w:r>
        <w:rPr>
          <w:rFonts w:ascii="Aptos" w:eastAsia="Aptos" w:hAnsi="Aptos" w:cs="Aptos"/>
          <w:sz w:val="24"/>
          <w:szCs w:val="24"/>
        </w:rPr>
        <w:t>d to as the Registration Data Request System (RDRS)) to handle requests for access to nonpublic registration data related to gTLDs. (27 February 2023)</w:t>
      </w:r>
    </w:p>
    <w:p w14:paraId="00000046" w14:textId="77777777" w:rsidR="008759A0" w:rsidRDefault="008759A0">
      <w:pPr>
        <w:shd w:val="clear" w:color="auto" w:fill="FFFFFF"/>
        <w:spacing w:after="520" w:line="240" w:lineRule="auto"/>
        <w:rPr>
          <w:rFonts w:ascii="Aptos" w:eastAsia="Aptos" w:hAnsi="Aptos" w:cs="Aptos"/>
          <w:sz w:val="24"/>
          <w:szCs w:val="24"/>
        </w:rPr>
      </w:pPr>
    </w:p>
    <w:p w14:paraId="00000047" w14:textId="77777777" w:rsidR="008759A0" w:rsidRDefault="008759A0">
      <w:pPr>
        <w:shd w:val="clear" w:color="auto" w:fill="FFFFFF"/>
        <w:spacing w:after="520" w:line="240" w:lineRule="auto"/>
        <w:rPr>
          <w:rFonts w:ascii="Aptos" w:eastAsia="Aptos" w:hAnsi="Aptos" w:cs="Aptos"/>
          <w:sz w:val="24"/>
          <w:szCs w:val="24"/>
        </w:rPr>
      </w:pPr>
    </w:p>
    <w:p w14:paraId="00000048" w14:textId="77777777" w:rsidR="008759A0" w:rsidRDefault="008759A0">
      <w:pPr>
        <w:shd w:val="clear" w:color="auto" w:fill="FFFFFF"/>
        <w:spacing w:after="520" w:line="240" w:lineRule="auto"/>
        <w:rPr>
          <w:rFonts w:ascii="Aptos" w:eastAsia="Aptos" w:hAnsi="Aptos" w:cs="Aptos"/>
          <w:sz w:val="24"/>
          <w:szCs w:val="24"/>
        </w:rPr>
      </w:pPr>
    </w:p>
    <w:p w14:paraId="00000049" w14:textId="77777777" w:rsidR="008759A0" w:rsidRDefault="008759A0">
      <w:pPr>
        <w:shd w:val="clear" w:color="auto" w:fill="FFFFFF"/>
        <w:spacing w:after="520" w:line="240" w:lineRule="auto"/>
        <w:rPr>
          <w:rFonts w:ascii="Aptos" w:eastAsia="Aptos" w:hAnsi="Aptos" w:cs="Aptos"/>
          <w:sz w:val="24"/>
          <w:szCs w:val="24"/>
        </w:rPr>
      </w:pPr>
    </w:p>
    <w:p w14:paraId="0000004A" w14:textId="77777777" w:rsidR="008759A0" w:rsidRDefault="008759A0">
      <w:pPr>
        <w:shd w:val="clear" w:color="auto" w:fill="FFFFFF"/>
        <w:spacing w:after="520" w:line="240" w:lineRule="auto"/>
        <w:rPr>
          <w:rFonts w:ascii="Aptos" w:eastAsia="Aptos" w:hAnsi="Aptos" w:cs="Aptos"/>
          <w:sz w:val="24"/>
          <w:szCs w:val="24"/>
        </w:rPr>
      </w:pPr>
    </w:p>
    <w:p w14:paraId="0000004B" w14:textId="77777777" w:rsidR="008759A0" w:rsidRDefault="008759A0">
      <w:pPr>
        <w:shd w:val="clear" w:color="auto" w:fill="FFFFFF"/>
        <w:spacing w:after="520" w:line="240" w:lineRule="auto"/>
        <w:rPr>
          <w:rFonts w:ascii="Aptos" w:eastAsia="Aptos" w:hAnsi="Aptos" w:cs="Aptos"/>
          <w:sz w:val="24"/>
          <w:szCs w:val="24"/>
        </w:rPr>
      </w:pPr>
    </w:p>
    <w:p w14:paraId="0000004C" w14:textId="77777777" w:rsidR="008759A0" w:rsidRDefault="008759A0">
      <w:pPr>
        <w:shd w:val="clear" w:color="auto" w:fill="FFFFFF"/>
        <w:spacing w:after="520" w:line="240" w:lineRule="auto"/>
        <w:rPr>
          <w:rFonts w:ascii="Aptos" w:eastAsia="Aptos" w:hAnsi="Aptos" w:cs="Aptos"/>
          <w:sz w:val="24"/>
          <w:szCs w:val="24"/>
        </w:rPr>
      </w:pPr>
    </w:p>
    <w:p w14:paraId="0000004D" w14:textId="77777777" w:rsidR="008759A0" w:rsidRDefault="008759A0">
      <w:pPr>
        <w:shd w:val="clear" w:color="auto" w:fill="FFFFFF"/>
        <w:spacing w:after="520" w:line="240" w:lineRule="auto"/>
        <w:rPr>
          <w:rFonts w:ascii="Aptos" w:eastAsia="Aptos" w:hAnsi="Aptos" w:cs="Aptos"/>
          <w:sz w:val="24"/>
          <w:szCs w:val="24"/>
        </w:rPr>
      </w:pPr>
    </w:p>
    <w:p w14:paraId="0000004E" w14:textId="77777777" w:rsidR="008759A0" w:rsidRDefault="008759A0">
      <w:pPr>
        <w:shd w:val="clear" w:color="auto" w:fill="FFFFFF"/>
        <w:spacing w:after="520" w:line="240" w:lineRule="auto"/>
        <w:rPr>
          <w:rFonts w:ascii="Aptos" w:eastAsia="Aptos" w:hAnsi="Aptos" w:cs="Aptos"/>
          <w:sz w:val="24"/>
          <w:szCs w:val="24"/>
        </w:rPr>
      </w:pPr>
    </w:p>
    <w:p w14:paraId="0000004F" w14:textId="77777777" w:rsidR="008759A0" w:rsidRDefault="008759A0">
      <w:pPr>
        <w:shd w:val="clear" w:color="auto" w:fill="FFFFFF"/>
        <w:spacing w:after="520" w:line="240" w:lineRule="auto"/>
        <w:rPr>
          <w:rFonts w:ascii="Aptos" w:eastAsia="Aptos" w:hAnsi="Aptos" w:cs="Aptos"/>
          <w:sz w:val="24"/>
          <w:szCs w:val="24"/>
        </w:rPr>
      </w:pPr>
    </w:p>
    <w:p w14:paraId="00000050" w14:textId="77777777" w:rsidR="008759A0" w:rsidRDefault="00A63CDD">
      <w:pPr>
        <w:shd w:val="clear" w:color="auto" w:fill="FFFFFF"/>
        <w:spacing w:after="520" w:line="240" w:lineRule="auto"/>
        <w:rPr>
          <w:sz w:val="28"/>
          <w:szCs w:val="28"/>
        </w:rPr>
      </w:pPr>
      <w:r>
        <w:rPr>
          <w:sz w:val="28"/>
          <w:szCs w:val="28"/>
        </w:rPr>
        <w:lastRenderedPageBreak/>
        <w:t>INTERVIEW QUESTIONS REGISTRATION DATA EPDP PHASE II</w:t>
      </w:r>
    </w:p>
    <w:p w14:paraId="00000051" w14:textId="77777777" w:rsidR="008759A0" w:rsidRDefault="00A63CDD">
      <w:pPr>
        <w:rPr>
          <w:rFonts w:ascii="Calibri" w:eastAsia="Calibri" w:hAnsi="Calibri" w:cs="Calibri"/>
          <w:sz w:val="24"/>
          <w:szCs w:val="24"/>
        </w:rPr>
      </w:pPr>
      <w:r>
        <w:rPr>
          <w:rFonts w:ascii="Calibri" w:eastAsia="Calibri" w:hAnsi="Calibri" w:cs="Calibri"/>
          <w:sz w:val="24"/>
          <w:szCs w:val="24"/>
        </w:rPr>
        <w:t>Questions to PDP WG Chair / members</w:t>
      </w:r>
    </w:p>
    <w:p w14:paraId="00000052" w14:textId="77777777" w:rsidR="008759A0" w:rsidRDefault="00A63CDD">
      <w:r>
        <w:tab/>
      </w:r>
      <w:r>
        <w:tab/>
      </w:r>
      <w:r>
        <w:tab/>
      </w:r>
      <w:r>
        <w:tab/>
      </w:r>
      <w:r>
        <w:tab/>
      </w:r>
    </w:p>
    <w:p w14:paraId="00000053" w14:textId="77777777" w:rsidR="008759A0" w:rsidRDefault="00A63CDD">
      <w:pPr>
        <w:numPr>
          <w:ilvl w:val="0"/>
          <w:numId w:val="5"/>
        </w:numPr>
        <w:spacing w:before="240"/>
        <w:rPr>
          <w:rFonts w:ascii="Calibri" w:eastAsia="Calibri" w:hAnsi="Calibri" w:cs="Calibri"/>
          <w:sz w:val="24"/>
          <w:szCs w:val="24"/>
        </w:rPr>
      </w:pPr>
      <w:r>
        <w:rPr>
          <w:rFonts w:ascii="Calibri" w:eastAsia="Calibri" w:hAnsi="Calibri" w:cs="Calibri"/>
          <w:sz w:val="24"/>
          <w:szCs w:val="24"/>
        </w:rPr>
        <w:t>W</w:t>
      </w:r>
      <w:r>
        <w:rPr>
          <w:rFonts w:ascii="Calibri" w:eastAsia="Calibri" w:hAnsi="Calibri" w:cs="Calibri"/>
          <w:sz w:val="24"/>
          <w:szCs w:val="24"/>
        </w:rPr>
        <w:t>ere you, as a PDP working group member, surprised (or unsurprised) by the Board's treatment of the Phase 2 recommendations? Why, e.g., was there information regarding the expected Board reaction or a sense that the recommendation was not implementable?</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4"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Did the PDP working group consider Board reaction to potential recommendations during its deliberations? (This could be an expected reaction or explicit reaction (such as in public commentary or Board liaison feedback.) In what ways was this considera</w:t>
      </w:r>
      <w:r>
        <w:rPr>
          <w:rFonts w:ascii="Calibri" w:eastAsia="Calibri" w:hAnsi="Calibri" w:cs="Calibri"/>
          <w:sz w:val="24"/>
          <w:szCs w:val="24"/>
        </w:rPr>
        <w:t>tion done; was there a specific discussion set aside for this?</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5"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In the opinion of PDP working group members, did the PDP working group believe they had sufficient expertise, resources, and information to develop a “Board-ready” set of recommendation</w:t>
      </w:r>
      <w:r>
        <w:rPr>
          <w:rFonts w:ascii="Calibri" w:eastAsia="Calibri" w:hAnsi="Calibri" w:cs="Calibri"/>
          <w:sz w:val="24"/>
          <w:szCs w:val="24"/>
        </w:rPr>
        <w:t>s, i.e., ones that would avoid rejection?</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6"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What were your expectations of the Board liaison, especially in providing a “sense of the Board”? In what ways were they fulfilled / not fulfilled?</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7"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 xml:space="preserve">Was there any sense of Board inclination regarding acceptance / rejection? If yes, would it have been possible to gain consensus agreeing with that inclination? Are there times when that is appropriate? Should anything about the PDP process that should be </w:t>
      </w:r>
      <w:r>
        <w:rPr>
          <w:rFonts w:ascii="Calibri" w:eastAsia="Calibri" w:hAnsi="Calibri" w:cs="Calibri"/>
          <w:sz w:val="24"/>
          <w:szCs w:val="24"/>
        </w:rPr>
        <w:t>changed to facilitate reaching consensus?</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8"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To what extent was recommendation “</w:t>
      </w:r>
      <w:proofErr w:type="spellStart"/>
      <w:r>
        <w:rPr>
          <w:rFonts w:ascii="Calibri" w:eastAsia="Calibri" w:hAnsi="Calibri" w:cs="Calibri"/>
          <w:sz w:val="24"/>
          <w:szCs w:val="24"/>
        </w:rPr>
        <w:t>implementability</w:t>
      </w:r>
      <w:proofErr w:type="spellEnd"/>
      <w:r>
        <w:rPr>
          <w:rFonts w:ascii="Calibri" w:eastAsia="Calibri" w:hAnsi="Calibri" w:cs="Calibri"/>
          <w:sz w:val="24"/>
          <w:szCs w:val="24"/>
        </w:rPr>
        <w:t>” a concern or requirement? How was it measured during the recommendation formulation?</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9"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To what extent was recommendation implementation and operati</w:t>
      </w:r>
      <w:r>
        <w:rPr>
          <w:rFonts w:ascii="Calibri" w:eastAsia="Calibri" w:hAnsi="Calibri" w:cs="Calibri"/>
          <w:sz w:val="24"/>
          <w:szCs w:val="24"/>
        </w:rPr>
        <w:t>on cost a concern or requirement? How was it measured during the recommendation formulation?</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A" w14:textId="77777777" w:rsidR="008759A0" w:rsidRDefault="00A63CDD">
      <w:pPr>
        <w:numPr>
          <w:ilvl w:val="0"/>
          <w:numId w:val="5"/>
        </w:numPr>
        <w:rPr>
          <w:rFonts w:ascii="Calibri" w:eastAsia="Calibri" w:hAnsi="Calibri" w:cs="Calibri"/>
          <w:sz w:val="24"/>
          <w:szCs w:val="24"/>
        </w:rPr>
      </w:pPr>
      <w:r>
        <w:rPr>
          <w:rFonts w:ascii="Calibri" w:eastAsia="Calibri" w:hAnsi="Calibri" w:cs="Calibri"/>
          <w:sz w:val="24"/>
          <w:szCs w:val="24"/>
        </w:rPr>
        <w:t xml:space="preserve">Did external requirements affect the quality or “readiness” of the outcomes (these might be the team composition, e.g., the “representative model” or time </w:t>
      </w:r>
      <w:r>
        <w:rPr>
          <w:rFonts w:ascii="Calibri" w:eastAsia="Calibri" w:hAnsi="Calibri" w:cs="Calibri"/>
          <w:sz w:val="24"/>
          <w:szCs w:val="24"/>
        </w:rPr>
        <w:t>constraints)?</w:t>
      </w:r>
      <w:r>
        <w:rPr>
          <w:rFonts w:ascii="Calibri" w:eastAsia="Calibri" w:hAnsi="Calibri" w:cs="Calibri"/>
          <w:sz w:val="24"/>
          <w:szCs w:val="24"/>
        </w:rPr>
        <w:b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000005B" w14:textId="77777777" w:rsidR="008759A0" w:rsidRDefault="00A63CDD">
      <w:pPr>
        <w:numPr>
          <w:ilvl w:val="0"/>
          <w:numId w:val="5"/>
        </w:numPr>
        <w:spacing w:after="240"/>
        <w:rPr>
          <w:rFonts w:ascii="Calibri" w:eastAsia="Calibri" w:hAnsi="Calibri" w:cs="Calibri"/>
          <w:sz w:val="24"/>
          <w:szCs w:val="24"/>
        </w:rPr>
      </w:pPr>
      <w:r>
        <w:rPr>
          <w:rFonts w:ascii="Calibri" w:eastAsia="Calibri" w:hAnsi="Calibri" w:cs="Calibri"/>
          <w:sz w:val="24"/>
          <w:szCs w:val="24"/>
        </w:rPr>
        <w:t xml:space="preserve">Was the final outcome of the rejection (i.e., the EPDP Phase 2 recommendations) an appropriate and necessary solution to the conflict? </w:t>
      </w:r>
      <w:r>
        <w:tab/>
        <w:t xml:space="preserve"> </w:t>
      </w:r>
      <w:r>
        <w:tab/>
      </w:r>
      <w:r>
        <w:tab/>
      </w:r>
      <w:r>
        <w:tab/>
      </w:r>
      <w:r>
        <w:tab/>
      </w:r>
    </w:p>
    <w:sectPr w:rsidR="008759A0">
      <w:footerReference w:type="even"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3B4ED" w14:textId="77777777" w:rsidR="00A63CDD" w:rsidRDefault="00A63CDD">
      <w:pPr>
        <w:spacing w:line="240" w:lineRule="auto"/>
      </w:pPr>
      <w:r>
        <w:separator/>
      </w:r>
    </w:p>
  </w:endnote>
  <w:endnote w:type="continuationSeparator" w:id="0">
    <w:p w14:paraId="4A2D9E4D" w14:textId="77777777" w:rsidR="00A63CDD" w:rsidRDefault="00A63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5896860"/>
      <w:docPartObj>
        <w:docPartGallery w:val="Page Numbers (Bottom of Page)"/>
        <w:docPartUnique/>
      </w:docPartObj>
    </w:sdtPr>
    <w:sdtContent>
      <w:p w14:paraId="576BC3AF" w14:textId="74C4F567" w:rsidR="00173B99" w:rsidRDefault="00173B99" w:rsidP="00FA0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A8E23" w14:textId="77777777" w:rsidR="00173B99" w:rsidRDefault="00173B99" w:rsidP="00173B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9645859"/>
      <w:docPartObj>
        <w:docPartGallery w:val="Page Numbers (Bottom of Page)"/>
        <w:docPartUnique/>
      </w:docPartObj>
    </w:sdtPr>
    <w:sdtContent>
      <w:p w14:paraId="5678CC77" w14:textId="13E09094" w:rsidR="00173B99" w:rsidRDefault="00173B99" w:rsidP="00FA0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000005C" w14:textId="5A0A4152" w:rsidR="008759A0" w:rsidRDefault="008759A0" w:rsidP="00173B99">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6E478" w14:textId="77777777" w:rsidR="00A63CDD" w:rsidRDefault="00A63CDD">
      <w:pPr>
        <w:spacing w:line="240" w:lineRule="auto"/>
      </w:pPr>
      <w:r>
        <w:separator/>
      </w:r>
    </w:p>
  </w:footnote>
  <w:footnote w:type="continuationSeparator" w:id="0">
    <w:p w14:paraId="5D3F2070" w14:textId="77777777" w:rsidR="00A63CDD" w:rsidRDefault="00A63C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06DC8"/>
    <w:multiLevelType w:val="multilevel"/>
    <w:tmpl w:val="A3CA0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621BE2"/>
    <w:multiLevelType w:val="multilevel"/>
    <w:tmpl w:val="AF62C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556454"/>
    <w:multiLevelType w:val="multilevel"/>
    <w:tmpl w:val="89EA3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C948D2"/>
    <w:multiLevelType w:val="multilevel"/>
    <w:tmpl w:val="DDC21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4819B4"/>
    <w:multiLevelType w:val="multilevel"/>
    <w:tmpl w:val="9BB6F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A0"/>
    <w:rsid w:val="00173B99"/>
    <w:rsid w:val="008759A0"/>
    <w:rsid w:val="00A63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173AD5"/>
  <w15:docId w15:val="{F02DAE17-2037-5747-811A-207C6790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173B99"/>
    <w:pPr>
      <w:tabs>
        <w:tab w:val="center" w:pos="4513"/>
        <w:tab w:val="right" w:pos="9026"/>
      </w:tabs>
      <w:spacing w:line="240" w:lineRule="auto"/>
    </w:pPr>
  </w:style>
  <w:style w:type="character" w:customStyle="1" w:styleId="FooterChar">
    <w:name w:val="Footer Char"/>
    <w:basedOn w:val="DefaultParagraphFont"/>
    <w:link w:val="Footer"/>
    <w:uiPriority w:val="99"/>
    <w:rsid w:val="00173B99"/>
  </w:style>
  <w:style w:type="character" w:styleId="PageNumber">
    <w:name w:val="page number"/>
    <w:basedOn w:val="DefaultParagraphFont"/>
    <w:uiPriority w:val="99"/>
    <w:semiHidden/>
    <w:unhideWhenUsed/>
    <w:rsid w:val="0017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tld-registration-data-specs-en/" TargetMode="External"/><Relationship Id="rId13" Type="http://schemas.openxmlformats.org/officeDocument/2006/relationships/hyperlink" Target="https://gnso.icann.org/sites/default/files/file/field-file-attach/epdp-phase-2-gnso-council-to-icann-board-29oct20-en.pdf" TargetMode="External"/><Relationship Id="rId18" Type="http://schemas.openxmlformats.org/officeDocument/2006/relationships/hyperlink" Target="https://gnso.icann.org/sites/default/files/file/field-file-attach/epdp-phase-2-temp-spec-gtld-registration-data-2-31jul20-en.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gnso.icann.org/sites/default/files/file/field-file-attach/epdp-phase-2-temp-spec-gtld-registration-data-2-31jul20-en.pdf" TargetMode="External"/><Relationship Id="rId7" Type="http://schemas.openxmlformats.org/officeDocument/2006/relationships/hyperlink" Target="mailto:gnso-board-readiness-smallteam@icann.org" TargetMode="External"/><Relationship Id="rId12" Type="http://schemas.openxmlformats.org/officeDocument/2006/relationships/hyperlink" Target="https://gnso.icann.org/en/council/resolutions/2020-current" TargetMode="External"/><Relationship Id="rId17" Type="http://schemas.openxmlformats.org/officeDocument/2006/relationships/hyperlink" Target="https://gnso.icann.org/sites/default/files/file/field-file-attach/temp-spec-gtld-rd-epdp-19jul18-en.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icann.org/display/EOTSFGRD" TargetMode="External"/><Relationship Id="rId20" Type="http://schemas.openxmlformats.org/officeDocument/2006/relationships/hyperlink" Target="https://gnso.icann.org/en/council/resolutions/2020-cur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epdp-phase-2-temp-spec-gtld-registration-data-2-31jul20-en.pdf" TargetMode="External"/><Relationship Id="rId24" Type="http://schemas.openxmlformats.org/officeDocument/2006/relationships/hyperlink" Target="https://www.icann.org/en/board-activities-and-meetings/materials/approved-resolutions-special-meeting-of-the-icann-board-27-02-2023-en" TargetMode="External"/><Relationship Id="rId5" Type="http://schemas.openxmlformats.org/officeDocument/2006/relationships/footnotes" Target="footnotes.xml"/><Relationship Id="rId15" Type="http://schemas.openxmlformats.org/officeDocument/2006/relationships/hyperlink" Target="https://www.icann.org/en/system/files/files/ssad-oda-25jan22-en.pdf" TargetMode="External"/><Relationship Id="rId23" Type="http://schemas.openxmlformats.org/officeDocument/2006/relationships/hyperlink" Target="https://www.icann.org/en/system/files/files/ssad-oda-25jan22-en.pdf" TargetMode="External"/><Relationship Id="rId28" Type="http://schemas.openxmlformats.org/officeDocument/2006/relationships/theme" Target="theme/theme1.xml"/><Relationship Id="rId10" Type="http://schemas.openxmlformats.org/officeDocument/2006/relationships/hyperlink" Target="https://gnso.icann.org/en/council/resolutions/1999-2019" TargetMode="External"/><Relationship Id="rId19" Type="http://schemas.openxmlformats.org/officeDocument/2006/relationships/hyperlink" Target="https://www.icann.org/en/board-activities-and-meetings/materials/approved-resolutions-special-meeting-of-the-icann-board-21-06-2021-en" TargetMode="External"/><Relationship Id="rId4" Type="http://schemas.openxmlformats.org/officeDocument/2006/relationships/webSettings" Target="webSettings.xml"/><Relationship Id="rId9" Type="http://schemas.openxmlformats.org/officeDocument/2006/relationships/hyperlink" Target="https://www.icann.org/resources/pages/gtld-registration-data-specs-en/" TargetMode="External"/><Relationship Id="rId14" Type="http://schemas.openxmlformats.org/officeDocument/2006/relationships/hyperlink" Target="https://www.icann.org/en/board-activities-and-meetings/materials/approved-resolutions-special-meeting-of-the-icann-board-21-06-2021-en" TargetMode="External"/><Relationship Id="rId22" Type="http://schemas.openxmlformats.org/officeDocument/2006/relationships/hyperlink" Target="https://www.icann.org/en/board-activities-and-meetings/materials/approved-resolutions-regular-meeting-of-the-icann-board-25-03-2021-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Pritz</cp:lastModifiedBy>
  <cp:revision>2</cp:revision>
  <dcterms:created xsi:type="dcterms:W3CDTF">2025-01-07T01:55:00Z</dcterms:created>
  <dcterms:modified xsi:type="dcterms:W3CDTF">2025-01-07T01:59:00Z</dcterms:modified>
</cp:coreProperties>
</file>