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BFF93" w14:textId="64A19A39" w:rsidR="00151618" w:rsidRPr="001A4D87" w:rsidRDefault="00CB78C2" w:rsidP="00151618">
      <w:pPr>
        <w:rPr>
          <w:b/>
          <w:sz w:val="32"/>
          <w:szCs w:val="32"/>
        </w:rPr>
      </w:pPr>
      <w:r>
        <w:rPr>
          <w:b/>
          <w:sz w:val="32"/>
          <w:szCs w:val="32"/>
        </w:rPr>
        <w:t>RECOMMENDATION #</w:t>
      </w:r>
      <w:r w:rsidR="001C525A">
        <w:rPr>
          <w:b/>
          <w:sz w:val="32"/>
          <w:szCs w:val="32"/>
        </w:rPr>
        <w:t>19 – Mechanism for the Evolution of SSA</w:t>
      </w:r>
      <w:r w:rsidR="00654E32">
        <w:rPr>
          <w:b/>
          <w:sz w:val="32"/>
          <w:szCs w:val="32"/>
        </w:rPr>
        <w:t>D</w:t>
      </w:r>
      <w:bookmarkStart w:id="0" w:name="_GoBack"/>
      <w:bookmarkEnd w:id="0"/>
    </w:p>
    <w:p w14:paraId="76D88B0F" w14:textId="77777777" w:rsidR="00151618" w:rsidRDefault="00151618" w:rsidP="00151618"/>
    <w:p w14:paraId="6A4520DF" w14:textId="4699E88A" w:rsidR="001C525A" w:rsidRPr="001C525A" w:rsidRDefault="001C525A" w:rsidP="001C525A">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1C525A">
        <w:rPr>
          <w:rFonts w:asciiTheme="minorHAnsi" w:hAnsiTheme="minorHAnsi" w:cstheme="minorHAnsi"/>
          <w:b/>
          <w:bCs/>
          <w:sz w:val="22"/>
          <w:szCs w:val="22"/>
        </w:rPr>
        <w:t>Preliminary Recommendation #19</w:t>
      </w:r>
      <w:r w:rsidRPr="001C525A">
        <w:rPr>
          <w:rFonts w:asciiTheme="minorHAnsi" w:hAnsiTheme="minorHAnsi" w:cstheme="minorHAnsi"/>
          <w:sz w:val="22"/>
          <w:szCs w:val="22"/>
        </w:rPr>
        <w:t xml:space="preserve">: In conjunction with the implementation of these recommendations, the EPDP recommends the creation of a Mechanism for the evolution of SSAD. This Mechanism has the responsibility to provide guidance on the following topics: </w:t>
      </w:r>
    </w:p>
    <w:p w14:paraId="790B07FD" w14:textId="77777777" w:rsidR="001C525A" w:rsidRPr="001C525A" w:rsidRDefault="001C525A" w:rsidP="001C525A">
      <w:pPr>
        <w:pStyle w:val="Default"/>
        <w:widowControl/>
        <w:numPr>
          <w:ilvl w:val="0"/>
          <w:numId w:val="1"/>
        </w:numPr>
        <w:pBdr>
          <w:top w:val="single" w:sz="4" w:space="1" w:color="auto"/>
          <w:left w:val="single" w:sz="4" w:space="4" w:color="auto"/>
          <w:bottom w:val="single" w:sz="4" w:space="1" w:color="auto"/>
          <w:right w:val="single" w:sz="4" w:space="4" w:color="auto"/>
        </w:pBdr>
        <w:spacing w:after="25"/>
        <w:rPr>
          <w:rFonts w:asciiTheme="minorHAnsi" w:hAnsiTheme="minorHAnsi" w:cstheme="minorHAnsi"/>
          <w:sz w:val="22"/>
          <w:szCs w:val="22"/>
        </w:rPr>
      </w:pPr>
      <w:r w:rsidRPr="001C525A">
        <w:rPr>
          <w:rFonts w:asciiTheme="minorHAnsi" w:hAnsiTheme="minorHAnsi" w:cstheme="minorHAnsi"/>
          <w:sz w:val="22"/>
          <w:szCs w:val="22"/>
        </w:rPr>
        <w:t xml:space="preserve">a) SLA matrix review; </w:t>
      </w:r>
    </w:p>
    <w:p w14:paraId="373E7437" w14:textId="77777777" w:rsidR="001C525A" w:rsidRPr="001C525A" w:rsidRDefault="001C525A" w:rsidP="001C525A">
      <w:pPr>
        <w:pStyle w:val="Default"/>
        <w:widowControl/>
        <w:numPr>
          <w:ilvl w:val="0"/>
          <w:numId w:val="1"/>
        </w:numPr>
        <w:pBdr>
          <w:top w:val="single" w:sz="4" w:space="1" w:color="auto"/>
          <w:left w:val="single" w:sz="4" w:space="4" w:color="auto"/>
          <w:bottom w:val="single" w:sz="4" w:space="1" w:color="auto"/>
          <w:right w:val="single" w:sz="4" w:space="4" w:color="auto"/>
        </w:pBdr>
        <w:spacing w:after="25"/>
        <w:rPr>
          <w:rFonts w:asciiTheme="minorHAnsi" w:hAnsiTheme="minorHAnsi" w:cstheme="minorHAnsi"/>
          <w:sz w:val="22"/>
          <w:szCs w:val="22"/>
        </w:rPr>
      </w:pPr>
      <w:r w:rsidRPr="001C525A">
        <w:rPr>
          <w:rFonts w:asciiTheme="minorHAnsi" w:hAnsiTheme="minorHAnsi" w:cstheme="minorHAnsi"/>
          <w:sz w:val="22"/>
          <w:szCs w:val="22"/>
        </w:rPr>
        <w:t xml:space="preserve">b) Categories of disclosure requests which should be automated; </w:t>
      </w:r>
    </w:p>
    <w:p w14:paraId="71FD2CD5" w14:textId="77777777" w:rsidR="001C525A" w:rsidRPr="001C525A" w:rsidRDefault="001C525A" w:rsidP="001C525A">
      <w:pPr>
        <w:pStyle w:val="Default"/>
        <w:widowControl/>
        <w:numPr>
          <w:ilvl w:val="0"/>
          <w:numId w:val="1"/>
        </w:num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1C525A">
        <w:rPr>
          <w:rFonts w:asciiTheme="minorHAnsi" w:hAnsiTheme="minorHAnsi" w:cstheme="minorHAnsi"/>
          <w:sz w:val="22"/>
          <w:szCs w:val="22"/>
        </w:rPr>
        <w:t xml:space="preserve">c) Other implementation improvements such as the identification of possible user categories and/or disclosure rationales. </w:t>
      </w:r>
    </w:p>
    <w:p w14:paraId="18ADD2D4" w14:textId="77777777" w:rsidR="001C525A" w:rsidRPr="001C525A" w:rsidRDefault="001C525A" w:rsidP="001C525A">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F7DD4C6" w14:textId="77777777" w:rsidR="001C525A" w:rsidRPr="001C525A" w:rsidRDefault="001C525A" w:rsidP="001C525A">
      <w:pPr>
        <w:pBdr>
          <w:top w:val="single" w:sz="4" w:space="1" w:color="auto"/>
          <w:left w:val="single" w:sz="4" w:space="4" w:color="auto"/>
          <w:bottom w:val="single" w:sz="4" w:space="1" w:color="auto"/>
          <w:right w:val="single" w:sz="4" w:space="4" w:color="auto"/>
        </w:pBdr>
        <w:contextualSpacing/>
        <w:rPr>
          <w:rFonts w:cstheme="minorHAnsi"/>
          <w:sz w:val="22"/>
          <w:szCs w:val="22"/>
        </w:rPr>
      </w:pPr>
      <w:r w:rsidRPr="001C525A">
        <w:rPr>
          <w:rFonts w:cstheme="minorHAnsi"/>
          <w:sz w:val="22"/>
          <w:szCs w:val="22"/>
        </w:rPr>
        <w:t xml:space="preserve">The Mechanism focuses solely on the implementation of the SSAD and must not contravene the ICANN Bylaws, the GNSO PDP and/or existing contractual provisions for the development of new requirements for Contracted Parties. The Mechanism MAY make recommendations to the GNSO Council for any policy issues that may require further policy work. </w:t>
      </w:r>
    </w:p>
    <w:p w14:paraId="79588DE3" w14:textId="77777777" w:rsidR="001C525A" w:rsidRPr="001C525A" w:rsidRDefault="001C525A" w:rsidP="001C525A">
      <w:pPr>
        <w:pBdr>
          <w:top w:val="single" w:sz="4" w:space="1" w:color="auto"/>
          <w:left w:val="single" w:sz="4" w:space="4" w:color="auto"/>
          <w:bottom w:val="single" w:sz="4" w:space="1" w:color="auto"/>
          <w:right w:val="single" w:sz="4" w:space="4" w:color="auto"/>
        </w:pBdr>
        <w:contextualSpacing/>
        <w:rPr>
          <w:rFonts w:cstheme="minorHAnsi"/>
          <w:sz w:val="22"/>
          <w:szCs w:val="22"/>
        </w:rPr>
      </w:pPr>
    </w:p>
    <w:p w14:paraId="55483520" w14:textId="77777777" w:rsidR="001C525A" w:rsidRPr="001C525A" w:rsidRDefault="001C525A" w:rsidP="001C525A">
      <w:pPr>
        <w:pBdr>
          <w:top w:val="single" w:sz="4" w:space="1" w:color="auto"/>
          <w:left w:val="single" w:sz="4" w:space="4" w:color="auto"/>
          <w:bottom w:val="single" w:sz="4" w:space="1" w:color="auto"/>
          <w:right w:val="single" w:sz="4" w:space="4" w:color="auto"/>
        </w:pBdr>
        <w:contextualSpacing/>
        <w:rPr>
          <w:rFonts w:cstheme="minorHAnsi"/>
          <w:sz w:val="22"/>
          <w:szCs w:val="22"/>
        </w:rPr>
      </w:pPr>
      <w:r w:rsidRPr="001C525A">
        <w:rPr>
          <w:rFonts w:cstheme="minorHAnsi"/>
          <w:sz w:val="22"/>
          <w:szCs w:val="22"/>
        </w:rPr>
        <w:t>The EPDP Team has indicated a preference to use existing processes and procedures to establish this Mechanism, if possible. Similarly, unnecessary complexity or cost should be avoided. The EPDP Team will further consider the details of the Mechanism, and would like request community input on the following: </w:t>
      </w:r>
    </w:p>
    <w:p w14:paraId="4E2AE99C" w14:textId="77777777" w:rsidR="001C525A" w:rsidRPr="001C525A" w:rsidRDefault="001C525A" w:rsidP="001C525A">
      <w:pPr>
        <w:pBdr>
          <w:top w:val="single" w:sz="4" w:space="1" w:color="auto"/>
          <w:left w:val="single" w:sz="4" w:space="4" w:color="auto"/>
          <w:bottom w:val="single" w:sz="4" w:space="1" w:color="auto"/>
          <w:right w:val="single" w:sz="4" w:space="4" w:color="auto"/>
        </w:pBdr>
        <w:contextualSpacing/>
        <w:rPr>
          <w:rFonts w:cstheme="minorHAnsi"/>
          <w:sz w:val="22"/>
          <w:szCs w:val="22"/>
        </w:rPr>
      </w:pPr>
      <w:r w:rsidRPr="001C525A">
        <w:rPr>
          <w:rFonts w:cstheme="minorHAnsi"/>
          <w:sz w:val="22"/>
          <w:szCs w:val="22"/>
        </w:rPr>
        <w:t>What existing processes / procedures, if any, can be used to meet the above responsibilities? </w:t>
      </w:r>
    </w:p>
    <w:p w14:paraId="5F50EF78" w14:textId="77777777" w:rsidR="001C525A" w:rsidRPr="001C525A" w:rsidRDefault="001C525A" w:rsidP="001C525A">
      <w:pPr>
        <w:pBdr>
          <w:top w:val="single" w:sz="4" w:space="1" w:color="auto"/>
          <w:left w:val="single" w:sz="4" w:space="4" w:color="auto"/>
          <w:bottom w:val="single" w:sz="4" w:space="1" w:color="auto"/>
          <w:right w:val="single" w:sz="4" w:space="4" w:color="auto"/>
        </w:pBdr>
        <w:contextualSpacing/>
        <w:rPr>
          <w:rFonts w:cstheme="minorHAnsi"/>
          <w:sz w:val="22"/>
          <w:szCs w:val="22"/>
        </w:rPr>
      </w:pPr>
      <w:r w:rsidRPr="001C525A">
        <w:rPr>
          <w:rFonts w:cstheme="minorHAnsi"/>
          <w:sz w:val="22"/>
          <w:szCs w:val="22"/>
        </w:rPr>
        <w:t>If no suitable existing processes / procedures can be used, what type of mechanism should be created factoring in: o Who should guidance be provided to? </w:t>
      </w:r>
    </w:p>
    <w:p w14:paraId="3EFFBAB7" w14:textId="77777777" w:rsidR="001C525A" w:rsidRPr="001C525A" w:rsidRDefault="001C525A" w:rsidP="001C525A">
      <w:pPr>
        <w:pBdr>
          <w:top w:val="single" w:sz="4" w:space="1" w:color="auto"/>
          <w:left w:val="single" w:sz="4" w:space="4" w:color="auto"/>
          <w:bottom w:val="single" w:sz="4" w:space="1" w:color="auto"/>
          <w:right w:val="single" w:sz="4" w:space="4" w:color="auto"/>
        </w:pBdr>
        <w:contextualSpacing/>
        <w:rPr>
          <w:rFonts w:cstheme="minorHAnsi"/>
          <w:sz w:val="22"/>
          <w:szCs w:val="22"/>
        </w:rPr>
      </w:pPr>
      <w:r w:rsidRPr="001C525A">
        <w:rPr>
          <w:rFonts w:cstheme="minorHAnsi"/>
          <w:sz w:val="22"/>
          <w:szCs w:val="22"/>
        </w:rPr>
        <w:t>•  How is guidance developed / agreed to? </w:t>
      </w:r>
    </w:p>
    <w:p w14:paraId="73AADC70" w14:textId="77777777" w:rsidR="001C525A" w:rsidRPr="001C525A" w:rsidRDefault="001C525A" w:rsidP="001C525A">
      <w:pPr>
        <w:pBdr>
          <w:top w:val="single" w:sz="4" w:space="1" w:color="auto"/>
          <w:left w:val="single" w:sz="4" w:space="4" w:color="auto"/>
          <w:bottom w:val="single" w:sz="4" w:space="1" w:color="auto"/>
          <w:right w:val="single" w:sz="4" w:space="4" w:color="auto"/>
        </w:pBdr>
        <w:contextualSpacing/>
        <w:rPr>
          <w:rFonts w:cstheme="minorHAnsi"/>
          <w:sz w:val="22"/>
          <w:szCs w:val="22"/>
        </w:rPr>
      </w:pPr>
      <w:r w:rsidRPr="001C525A">
        <w:rPr>
          <w:rFonts w:cstheme="minorHAnsi"/>
          <w:sz w:val="22"/>
          <w:szCs w:val="22"/>
        </w:rPr>
        <w:t>•  How should it be structured? </w:t>
      </w:r>
    </w:p>
    <w:p w14:paraId="7CD7AC58" w14:textId="77777777" w:rsidR="001C525A" w:rsidRPr="001C525A" w:rsidRDefault="001C525A" w:rsidP="001C525A">
      <w:pPr>
        <w:pBdr>
          <w:top w:val="single" w:sz="4" w:space="1" w:color="auto"/>
          <w:left w:val="single" w:sz="4" w:space="4" w:color="auto"/>
          <w:bottom w:val="single" w:sz="4" w:space="1" w:color="auto"/>
          <w:right w:val="single" w:sz="4" w:space="4" w:color="auto"/>
        </w:pBdr>
        <w:contextualSpacing/>
        <w:rPr>
          <w:rFonts w:cstheme="minorHAnsi"/>
          <w:sz w:val="22"/>
          <w:szCs w:val="22"/>
        </w:rPr>
      </w:pPr>
      <w:r w:rsidRPr="001C525A">
        <w:rPr>
          <w:rFonts w:cstheme="minorHAnsi"/>
          <w:sz w:val="22"/>
          <w:szCs w:val="22"/>
        </w:rPr>
        <w:t>• What information is needed to ensure the evolution of SSAD? </w:t>
      </w:r>
    </w:p>
    <w:p w14:paraId="32FC6CFC" w14:textId="6B87A235" w:rsidR="00151618" w:rsidRPr="001C525A" w:rsidRDefault="001C525A" w:rsidP="00151618">
      <w:pPr>
        <w:pBdr>
          <w:top w:val="single" w:sz="4" w:space="1" w:color="auto"/>
          <w:left w:val="single" w:sz="4" w:space="4" w:color="auto"/>
          <w:bottom w:val="single" w:sz="4" w:space="1" w:color="auto"/>
          <w:right w:val="single" w:sz="4" w:space="4" w:color="auto"/>
        </w:pBdr>
        <w:contextualSpacing/>
        <w:rPr>
          <w:rFonts w:cstheme="minorHAnsi"/>
          <w:sz w:val="22"/>
          <w:szCs w:val="22"/>
        </w:rPr>
      </w:pPr>
      <w:r w:rsidRPr="001C525A">
        <w:rPr>
          <w:rFonts w:cstheme="minorHAnsi"/>
          <w:sz w:val="22"/>
          <w:szCs w:val="22"/>
        </w:rPr>
        <w:t>• How is guidance of the Mechanism expected to be implemented? </w:t>
      </w:r>
    </w:p>
    <w:p w14:paraId="18EDC7EE" w14:textId="7EF81343" w:rsidR="00151618" w:rsidRPr="001C525A" w:rsidRDefault="00151618" w:rsidP="00151618">
      <w:pPr>
        <w:rPr>
          <w:b/>
          <w:sz w:val="22"/>
          <w:szCs w:val="22"/>
        </w:rPr>
      </w:pPr>
    </w:p>
    <w:p w14:paraId="632BC369" w14:textId="4A97809E" w:rsidR="00236F48" w:rsidRPr="001C525A" w:rsidRDefault="00236F48" w:rsidP="00236F48">
      <w:pPr>
        <w:rPr>
          <w:b/>
          <w:i/>
          <w:sz w:val="22"/>
          <w:szCs w:val="22"/>
        </w:rPr>
      </w:pPr>
      <w:r w:rsidRPr="001C525A">
        <w:rPr>
          <w:b/>
          <w:i/>
          <w:sz w:val="22"/>
          <w:szCs w:val="22"/>
        </w:rPr>
        <w:t xml:space="preserve">Disclaimer: </w:t>
      </w:r>
      <w:r w:rsidRPr="001C525A">
        <w:rPr>
          <w:i/>
          <w:sz w:val="22"/>
          <w:szCs w:val="22"/>
        </w:rPr>
        <w:t xml:space="preserve">This overview has been developed to facilitate the EPDP Team’s consideration of the </w:t>
      </w:r>
      <w:r w:rsidR="002531D0">
        <w:rPr>
          <w:i/>
          <w:sz w:val="22"/>
          <w:szCs w:val="22"/>
        </w:rPr>
        <w:t>suggestions</w:t>
      </w:r>
      <w:r w:rsidRPr="001C525A">
        <w:rPr>
          <w:i/>
          <w:sz w:val="22"/>
          <w:szCs w:val="22"/>
        </w:rPr>
        <w:t xml:space="preserve"> expressed and possible updates to the recommendations</w:t>
      </w:r>
      <w:r w:rsidR="00CB78C2" w:rsidRPr="001C525A">
        <w:rPr>
          <w:i/>
          <w:sz w:val="22"/>
          <w:szCs w:val="22"/>
        </w:rPr>
        <w:t xml:space="preserve"> from the Initial Report</w:t>
      </w:r>
      <w:r w:rsidRPr="001C525A">
        <w:rPr>
          <w:i/>
          <w:sz w:val="22"/>
          <w:szCs w:val="22"/>
        </w:rPr>
        <w:t>.</w:t>
      </w:r>
      <w:r w:rsidR="002531D0">
        <w:rPr>
          <w:i/>
          <w:sz w:val="22"/>
          <w:szCs w:val="22"/>
        </w:rPr>
        <w:t xml:space="preserve"> Comments may have been abbreviated and/or restated for this purpose.</w:t>
      </w:r>
      <w:r w:rsidRPr="001C525A">
        <w:rPr>
          <w:i/>
          <w:sz w:val="22"/>
          <w:szCs w:val="22"/>
        </w:rPr>
        <w:t xml:space="preserve"> However, this does not replace the EPDP Team’s obligation to review all input received in full and to indicate if any concerns in this overview have inadvertently been mischaracterized.</w:t>
      </w:r>
      <w:r w:rsidRPr="001C525A">
        <w:rPr>
          <w:b/>
          <w:i/>
          <w:sz w:val="22"/>
          <w:szCs w:val="22"/>
        </w:rPr>
        <w:t xml:space="preserve"> </w:t>
      </w:r>
    </w:p>
    <w:p w14:paraId="0E07FAC3" w14:textId="77777777" w:rsidR="00236F48" w:rsidRPr="001C525A" w:rsidRDefault="00236F48" w:rsidP="00151618">
      <w:pPr>
        <w:rPr>
          <w:b/>
          <w:sz w:val="22"/>
          <w:szCs w:val="22"/>
        </w:rPr>
      </w:pPr>
    </w:p>
    <w:p w14:paraId="751BBAC4" w14:textId="77777777" w:rsidR="00151618" w:rsidRPr="000A47DC" w:rsidRDefault="00151618" w:rsidP="00151618">
      <w:pPr>
        <w:rPr>
          <w:rFonts w:ascii="Calibri" w:hAnsi="Calibri" w:cs="Calibri"/>
          <w:b/>
          <w:sz w:val="22"/>
          <w:szCs w:val="22"/>
        </w:rPr>
      </w:pPr>
      <w:r w:rsidRPr="000A47DC">
        <w:rPr>
          <w:rFonts w:ascii="Calibri" w:hAnsi="Calibri" w:cs="Calibri"/>
          <w:b/>
          <w:sz w:val="22"/>
          <w:szCs w:val="22"/>
        </w:rPr>
        <w:t>Noted Concerns</w:t>
      </w:r>
    </w:p>
    <w:p w14:paraId="43D8F214" w14:textId="77777777" w:rsidR="00151618" w:rsidRPr="000A47DC" w:rsidRDefault="00151618" w:rsidP="00151618">
      <w:pPr>
        <w:rPr>
          <w:rFonts w:ascii="Calibri" w:hAnsi="Calibri" w:cs="Calibri"/>
          <w:b/>
          <w:sz w:val="22"/>
          <w:szCs w:val="22"/>
        </w:rPr>
      </w:pPr>
    </w:p>
    <w:tbl>
      <w:tblPr>
        <w:tblStyle w:val="TableGrid"/>
        <w:tblW w:w="0" w:type="auto"/>
        <w:tblLook w:val="04A0" w:firstRow="1" w:lastRow="0" w:firstColumn="1" w:lastColumn="0" w:noHBand="0" w:noVBand="1"/>
      </w:tblPr>
      <w:tblGrid>
        <w:gridCol w:w="8635"/>
        <w:gridCol w:w="2970"/>
        <w:gridCol w:w="2785"/>
      </w:tblGrid>
      <w:tr w:rsidR="00151618" w:rsidRPr="000A47DC" w14:paraId="2A3F8EAB" w14:textId="77777777" w:rsidTr="00CB78C2">
        <w:tc>
          <w:tcPr>
            <w:tcW w:w="8635" w:type="dxa"/>
            <w:shd w:val="clear" w:color="auto" w:fill="002060"/>
          </w:tcPr>
          <w:p w14:paraId="74CBD349" w14:textId="41AA2256" w:rsidR="00151618" w:rsidRPr="000A47DC" w:rsidRDefault="001C525A" w:rsidP="00DA3F06">
            <w:pPr>
              <w:rPr>
                <w:rFonts w:ascii="Calibri" w:hAnsi="Calibri" w:cs="Calibri"/>
                <w:b/>
                <w:sz w:val="22"/>
                <w:szCs w:val="22"/>
              </w:rPr>
            </w:pPr>
            <w:r w:rsidRPr="000A47DC">
              <w:rPr>
                <w:rFonts w:ascii="Calibri" w:hAnsi="Calibri" w:cs="Calibri"/>
                <w:b/>
                <w:sz w:val="22"/>
                <w:szCs w:val="22"/>
              </w:rPr>
              <w:t xml:space="preserve">Suggestions </w:t>
            </w:r>
            <w:r w:rsidR="001F4D8D" w:rsidRPr="000A47DC">
              <w:rPr>
                <w:rFonts w:ascii="Calibri" w:hAnsi="Calibri" w:cs="Calibri"/>
                <w:b/>
                <w:sz w:val="22"/>
                <w:szCs w:val="22"/>
              </w:rPr>
              <w:t>–</w:t>
            </w:r>
            <w:r w:rsidRPr="000A47DC">
              <w:rPr>
                <w:rFonts w:ascii="Calibri" w:hAnsi="Calibri" w:cs="Calibri"/>
                <w:b/>
                <w:sz w:val="22"/>
                <w:szCs w:val="22"/>
              </w:rPr>
              <w:t xml:space="preserve"> Composition</w:t>
            </w:r>
            <w:r w:rsidR="001F4D8D" w:rsidRPr="000A47DC">
              <w:rPr>
                <w:rFonts w:ascii="Calibri" w:hAnsi="Calibri" w:cs="Calibri"/>
                <w:b/>
                <w:sz w:val="22"/>
                <w:szCs w:val="22"/>
              </w:rPr>
              <w:t xml:space="preserve"> / Format</w:t>
            </w:r>
            <w:r w:rsidR="000A47DC">
              <w:rPr>
                <w:rFonts w:ascii="Calibri" w:hAnsi="Calibri" w:cs="Calibri"/>
                <w:b/>
                <w:sz w:val="22"/>
                <w:szCs w:val="22"/>
              </w:rPr>
              <w:t xml:space="preserve"> / </w:t>
            </w:r>
            <w:r w:rsidR="000A47DC" w:rsidRPr="000A47DC">
              <w:rPr>
                <w:rFonts w:ascii="Calibri" w:hAnsi="Calibri" w:cs="Calibri"/>
                <w:b/>
                <w:sz w:val="22"/>
                <w:szCs w:val="22"/>
              </w:rPr>
              <w:t>Use of existing processes / procedures</w:t>
            </w:r>
          </w:p>
        </w:tc>
        <w:tc>
          <w:tcPr>
            <w:tcW w:w="2970" w:type="dxa"/>
            <w:shd w:val="clear" w:color="auto" w:fill="002060"/>
          </w:tcPr>
          <w:p w14:paraId="4A75988C" w14:textId="77777777" w:rsidR="00151618" w:rsidRPr="000A47DC" w:rsidRDefault="00151618" w:rsidP="00DA3F06">
            <w:pPr>
              <w:rPr>
                <w:rFonts w:ascii="Calibri" w:hAnsi="Calibri" w:cs="Calibri"/>
                <w:b/>
                <w:sz w:val="22"/>
                <w:szCs w:val="22"/>
              </w:rPr>
            </w:pPr>
            <w:r w:rsidRPr="000A47DC">
              <w:rPr>
                <w:rFonts w:ascii="Calibri" w:hAnsi="Calibri" w:cs="Calibri"/>
                <w:b/>
                <w:sz w:val="22"/>
                <w:szCs w:val="22"/>
              </w:rPr>
              <w:t>Corresponding PCRT Comment #</w:t>
            </w:r>
          </w:p>
        </w:tc>
        <w:tc>
          <w:tcPr>
            <w:tcW w:w="2785" w:type="dxa"/>
            <w:shd w:val="clear" w:color="auto" w:fill="002060"/>
          </w:tcPr>
          <w:p w14:paraId="1C6A049C" w14:textId="19F648BE" w:rsidR="00151618" w:rsidRPr="000A47DC" w:rsidRDefault="000A47DC" w:rsidP="00DA3F06">
            <w:pPr>
              <w:rPr>
                <w:rFonts w:ascii="Calibri" w:hAnsi="Calibri" w:cs="Calibri"/>
                <w:b/>
                <w:sz w:val="22"/>
                <w:szCs w:val="22"/>
              </w:rPr>
            </w:pPr>
            <w:r>
              <w:rPr>
                <w:rFonts w:ascii="Calibri" w:hAnsi="Calibri" w:cs="Calibri"/>
                <w:b/>
                <w:sz w:val="22"/>
                <w:szCs w:val="22"/>
              </w:rPr>
              <w:t>EPDP Team Support for suggestion (Y/N)</w:t>
            </w:r>
          </w:p>
        </w:tc>
      </w:tr>
      <w:tr w:rsidR="00151618" w:rsidRPr="000A47DC" w14:paraId="1662F0D4" w14:textId="77777777" w:rsidTr="00DA3F06">
        <w:tc>
          <w:tcPr>
            <w:tcW w:w="8635" w:type="dxa"/>
          </w:tcPr>
          <w:p w14:paraId="63510039" w14:textId="7F18BCD3" w:rsidR="00151618" w:rsidRPr="000A47DC" w:rsidRDefault="001C525A" w:rsidP="00DA3F06">
            <w:pPr>
              <w:rPr>
                <w:rFonts w:ascii="Calibri" w:hAnsi="Calibri" w:cs="Calibri"/>
                <w:sz w:val="22"/>
                <w:szCs w:val="22"/>
              </w:rPr>
            </w:pPr>
            <w:r w:rsidRPr="000A47DC">
              <w:rPr>
                <w:rFonts w:ascii="Calibri" w:hAnsi="Calibri" w:cs="Calibri"/>
                <w:color w:val="000000"/>
                <w:sz w:val="22"/>
                <w:szCs w:val="22"/>
              </w:rPr>
              <w:t xml:space="preserve">Any Mechanism should involve the input of directly affected parts of the community, in particular the contracted parties and SSAD users including business and intellectual property interests, law enforcement, cybersecurity, and other end users. </w:t>
            </w:r>
          </w:p>
        </w:tc>
        <w:tc>
          <w:tcPr>
            <w:tcW w:w="2970" w:type="dxa"/>
          </w:tcPr>
          <w:p w14:paraId="35827D33" w14:textId="4D3904A5" w:rsidR="00495641" w:rsidRPr="000A47DC" w:rsidRDefault="001C525A" w:rsidP="00DA3F06">
            <w:pPr>
              <w:rPr>
                <w:rFonts w:ascii="Calibri" w:hAnsi="Calibri" w:cs="Calibri"/>
                <w:sz w:val="22"/>
                <w:szCs w:val="22"/>
              </w:rPr>
            </w:pPr>
            <w:r w:rsidRPr="000A47DC">
              <w:rPr>
                <w:rFonts w:ascii="Calibri" w:hAnsi="Calibri" w:cs="Calibri"/>
                <w:sz w:val="22"/>
                <w:szCs w:val="22"/>
              </w:rPr>
              <w:t xml:space="preserve">#7, </w:t>
            </w:r>
            <w:r w:rsidR="001F4D8D" w:rsidRPr="000A47DC">
              <w:rPr>
                <w:rFonts w:ascii="Calibri" w:hAnsi="Calibri" w:cs="Calibri"/>
                <w:sz w:val="22"/>
                <w:szCs w:val="22"/>
              </w:rPr>
              <w:t>11, 12</w:t>
            </w:r>
            <w:r w:rsidR="00483969" w:rsidRPr="000A47DC">
              <w:rPr>
                <w:rFonts w:ascii="Calibri" w:hAnsi="Calibri" w:cs="Calibri"/>
                <w:sz w:val="22"/>
                <w:szCs w:val="22"/>
              </w:rPr>
              <w:t>, 13, 14, 15, 16, 17, 18, 19, 20, 21, 23</w:t>
            </w:r>
            <w:r w:rsidR="00DD1A55" w:rsidRPr="000A47DC">
              <w:rPr>
                <w:rFonts w:ascii="Calibri" w:hAnsi="Calibri" w:cs="Calibri"/>
                <w:sz w:val="22"/>
                <w:szCs w:val="22"/>
              </w:rPr>
              <w:t>, 25, 28, 29</w:t>
            </w:r>
            <w:r w:rsidR="00F77813" w:rsidRPr="000A47DC">
              <w:rPr>
                <w:rFonts w:ascii="Calibri" w:hAnsi="Calibri" w:cs="Calibri"/>
                <w:sz w:val="22"/>
                <w:szCs w:val="22"/>
              </w:rPr>
              <w:t>, 31, 33</w:t>
            </w:r>
            <w:r w:rsidR="000A47DC">
              <w:rPr>
                <w:rFonts w:ascii="Calibri" w:hAnsi="Calibri" w:cs="Calibri"/>
                <w:sz w:val="22"/>
                <w:szCs w:val="22"/>
              </w:rPr>
              <w:t>, 38, 42</w:t>
            </w:r>
          </w:p>
        </w:tc>
        <w:tc>
          <w:tcPr>
            <w:tcW w:w="2785" w:type="dxa"/>
          </w:tcPr>
          <w:p w14:paraId="6A09D5FB" w14:textId="6A445627" w:rsidR="00151618" w:rsidRPr="000A47DC" w:rsidRDefault="00151618" w:rsidP="00DA3F06">
            <w:pPr>
              <w:rPr>
                <w:rFonts w:ascii="Calibri" w:hAnsi="Calibri" w:cs="Calibri"/>
                <w:sz w:val="22"/>
                <w:szCs w:val="22"/>
              </w:rPr>
            </w:pPr>
          </w:p>
        </w:tc>
      </w:tr>
      <w:tr w:rsidR="0066352B" w:rsidRPr="000A47DC" w14:paraId="51A78CBC" w14:textId="77777777" w:rsidTr="00DA3F06">
        <w:tc>
          <w:tcPr>
            <w:tcW w:w="8635" w:type="dxa"/>
          </w:tcPr>
          <w:p w14:paraId="6CBDA50B" w14:textId="72F5B570" w:rsidR="0066352B" w:rsidRPr="000A47DC" w:rsidRDefault="001F4D8D" w:rsidP="00DA3F06">
            <w:pPr>
              <w:rPr>
                <w:rFonts w:ascii="Calibri" w:hAnsi="Calibri" w:cs="Calibri"/>
                <w:sz w:val="22"/>
                <w:szCs w:val="22"/>
              </w:rPr>
            </w:pPr>
            <w:r w:rsidRPr="000A47DC">
              <w:rPr>
                <w:rFonts w:ascii="Calibri" w:hAnsi="Calibri" w:cs="Calibri"/>
                <w:sz w:val="22"/>
                <w:szCs w:val="22"/>
              </w:rPr>
              <w:t>An advisory committee, made up of registries, registrars &amp; accredited users, could be set up to review if the system is working as planned &amp; to offer recommendations.</w:t>
            </w:r>
          </w:p>
        </w:tc>
        <w:tc>
          <w:tcPr>
            <w:tcW w:w="2970" w:type="dxa"/>
          </w:tcPr>
          <w:p w14:paraId="42718165" w14:textId="104F23C7" w:rsidR="00495641" w:rsidRPr="000A47DC" w:rsidRDefault="001F4D8D" w:rsidP="00DA3F06">
            <w:pPr>
              <w:rPr>
                <w:rFonts w:ascii="Calibri" w:hAnsi="Calibri" w:cs="Calibri"/>
                <w:sz w:val="22"/>
                <w:szCs w:val="22"/>
              </w:rPr>
            </w:pPr>
            <w:r w:rsidRPr="000A47DC">
              <w:rPr>
                <w:rFonts w:ascii="Calibri" w:hAnsi="Calibri" w:cs="Calibri"/>
                <w:sz w:val="22"/>
                <w:szCs w:val="22"/>
              </w:rPr>
              <w:t>#10</w:t>
            </w:r>
          </w:p>
        </w:tc>
        <w:tc>
          <w:tcPr>
            <w:tcW w:w="2785" w:type="dxa"/>
          </w:tcPr>
          <w:p w14:paraId="177DD6D6" w14:textId="5AA9FE8B" w:rsidR="0066352B" w:rsidRPr="000A47DC" w:rsidRDefault="0066352B" w:rsidP="00DA3F06">
            <w:pPr>
              <w:rPr>
                <w:rFonts w:ascii="Calibri" w:hAnsi="Calibri" w:cs="Calibri"/>
                <w:sz w:val="22"/>
                <w:szCs w:val="22"/>
              </w:rPr>
            </w:pPr>
          </w:p>
        </w:tc>
      </w:tr>
      <w:tr w:rsidR="0066352B" w:rsidRPr="000A47DC" w14:paraId="3CACCF48" w14:textId="77777777" w:rsidTr="00DA3F06">
        <w:tc>
          <w:tcPr>
            <w:tcW w:w="8635" w:type="dxa"/>
          </w:tcPr>
          <w:p w14:paraId="23CEDC98" w14:textId="3FDE5691" w:rsidR="0066352B" w:rsidRPr="000A47DC" w:rsidRDefault="000A47DC" w:rsidP="00DA3F06">
            <w:pPr>
              <w:rPr>
                <w:rFonts w:ascii="Calibri" w:hAnsi="Calibri" w:cs="Calibri"/>
                <w:color w:val="000000"/>
                <w:sz w:val="22"/>
                <w:szCs w:val="22"/>
              </w:rPr>
            </w:pPr>
            <w:r>
              <w:rPr>
                <w:rFonts w:ascii="Calibri" w:hAnsi="Calibri" w:cs="Calibri"/>
                <w:color w:val="000000"/>
                <w:sz w:val="22"/>
                <w:szCs w:val="22"/>
              </w:rPr>
              <w:t xml:space="preserve">A new mechanism is not needed: </w:t>
            </w:r>
            <w:r w:rsidR="00483969" w:rsidRPr="000A47DC">
              <w:rPr>
                <w:rFonts w:ascii="Calibri" w:hAnsi="Calibri" w:cs="Calibri"/>
                <w:color w:val="000000"/>
                <w:sz w:val="22"/>
                <w:szCs w:val="22"/>
              </w:rPr>
              <w:t>The EPDP should complete its work based on a centralized model. This could eliminate the need for such a mechanism to gradually shift the SSAD toward greater centralization.</w:t>
            </w:r>
          </w:p>
        </w:tc>
        <w:tc>
          <w:tcPr>
            <w:tcW w:w="2970" w:type="dxa"/>
          </w:tcPr>
          <w:p w14:paraId="51F173F5" w14:textId="25C64A09" w:rsidR="00495641" w:rsidRPr="000A47DC" w:rsidRDefault="00483969" w:rsidP="00DA3F06">
            <w:pPr>
              <w:rPr>
                <w:rFonts w:ascii="Calibri" w:hAnsi="Calibri" w:cs="Calibri"/>
                <w:sz w:val="22"/>
                <w:szCs w:val="22"/>
              </w:rPr>
            </w:pPr>
            <w:r w:rsidRPr="000A47DC">
              <w:rPr>
                <w:rFonts w:ascii="Calibri" w:hAnsi="Calibri" w:cs="Calibri"/>
                <w:sz w:val="22"/>
                <w:szCs w:val="22"/>
              </w:rPr>
              <w:t>#13</w:t>
            </w:r>
            <w:r w:rsidR="00DD1A55" w:rsidRPr="000A47DC">
              <w:rPr>
                <w:rFonts w:ascii="Calibri" w:hAnsi="Calibri" w:cs="Calibri"/>
                <w:sz w:val="22"/>
                <w:szCs w:val="22"/>
              </w:rPr>
              <w:t>, 29</w:t>
            </w:r>
            <w:r w:rsidR="00F77813" w:rsidRPr="000A47DC">
              <w:rPr>
                <w:rFonts w:ascii="Calibri" w:hAnsi="Calibri" w:cs="Calibri"/>
                <w:sz w:val="22"/>
                <w:szCs w:val="22"/>
              </w:rPr>
              <w:t>, 31</w:t>
            </w:r>
          </w:p>
        </w:tc>
        <w:tc>
          <w:tcPr>
            <w:tcW w:w="2785" w:type="dxa"/>
          </w:tcPr>
          <w:p w14:paraId="36FA5572" w14:textId="4696F54F" w:rsidR="0066352B" w:rsidRPr="000A47DC" w:rsidRDefault="0066352B" w:rsidP="00DA3F06">
            <w:pPr>
              <w:rPr>
                <w:rFonts w:ascii="Calibri" w:hAnsi="Calibri" w:cs="Calibri"/>
                <w:sz w:val="22"/>
                <w:szCs w:val="22"/>
              </w:rPr>
            </w:pPr>
          </w:p>
        </w:tc>
      </w:tr>
      <w:tr w:rsidR="00412441" w:rsidRPr="000A47DC" w14:paraId="1BA98AF8" w14:textId="77777777" w:rsidTr="00DA3F06">
        <w:tc>
          <w:tcPr>
            <w:tcW w:w="8635" w:type="dxa"/>
          </w:tcPr>
          <w:p w14:paraId="4C98C0F7" w14:textId="5D1063FA" w:rsidR="00412441" w:rsidRPr="000A47DC" w:rsidRDefault="00483969" w:rsidP="001F4D8D">
            <w:pPr>
              <w:pStyle w:val="ColorfulList-Accent11"/>
              <w:ind w:left="0"/>
              <w:rPr>
                <w:rFonts w:ascii="Calibri" w:hAnsi="Calibri" w:cs="Calibri"/>
                <w:sz w:val="22"/>
                <w:szCs w:val="22"/>
              </w:rPr>
            </w:pPr>
            <w:r w:rsidRPr="000A47DC">
              <w:rPr>
                <w:rFonts w:ascii="Calibri" w:hAnsi="Calibri" w:cs="Calibri"/>
                <w:color w:val="000000"/>
                <w:sz w:val="22"/>
                <w:szCs w:val="22"/>
              </w:rPr>
              <w:t>Forming an SSAD implementation council consisting from all stakeholders.</w:t>
            </w:r>
          </w:p>
        </w:tc>
        <w:tc>
          <w:tcPr>
            <w:tcW w:w="2970" w:type="dxa"/>
          </w:tcPr>
          <w:p w14:paraId="1B2FAC55" w14:textId="145C26A7" w:rsidR="00495641" w:rsidRPr="000A47DC" w:rsidRDefault="00483969" w:rsidP="00412441">
            <w:pPr>
              <w:rPr>
                <w:rFonts w:ascii="Calibri" w:hAnsi="Calibri" w:cs="Calibri"/>
                <w:sz w:val="22"/>
                <w:szCs w:val="22"/>
              </w:rPr>
            </w:pPr>
            <w:r w:rsidRPr="000A47DC">
              <w:rPr>
                <w:rFonts w:ascii="Calibri" w:hAnsi="Calibri" w:cs="Calibri"/>
                <w:sz w:val="22"/>
                <w:szCs w:val="22"/>
              </w:rPr>
              <w:t>#22</w:t>
            </w:r>
          </w:p>
        </w:tc>
        <w:tc>
          <w:tcPr>
            <w:tcW w:w="2785" w:type="dxa"/>
          </w:tcPr>
          <w:p w14:paraId="0EF3023D" w14:textId="284DB73C" w:rsidR="00412441" w:rsidRPr="000A47DC" w:rsidRDefault="00412441" w:rsidP="00412441">
            <w:pPr>
              <w:rPr>
                <w:rFonts w:ascii="Calibri" w:hAnsi="Calibri" w:cs="Calibri"/>
                <w:sz w:val="22"/>
                <w:szCs w:val="22"/>
              </w:rPr>
            </w:pPr>
          </w:p>
        </w:tc>
      </w:tr>
      <w:tr w:rsidR="00412441" w:rsidRPr="000A47DC" w14:paraId="6F51E9EE" w14:textId="77777777" w:rsidTr="00DA3F06">
        <w:tc>
          <w:tcPr>
            <w:tcW w:w="8635" w:type="dxa"/>
          </w:tcPr>
          <w:p w14:paraId="52451765" w14:textId="31F195E1" w:rsidR="00412441" w:rsidRPr="000A47DC" w:rsidRDefault="00483969" w:rsidP="00412441">
            <w:pPr>
              <w:rPr>
                <w:rFonts w:ascii="Calibri" w:hAnsi="Calibri" w:cs="Calibri"/>
                <w:sz w:val="22"/>
                <w:szCs w:val="22"/>
              </w:rPr>
            </w:pPr>
            <w:r w:rsidRPr="000A47DC">
              <w:rPr>
                <w:rFonts w:ascii="Calibri" w:hAnsi="Calibri" w:cs="Calibri"/>
                <w:color w:val="000000"/>
                <w:sz w:val="22"/>
                <w:szCs w:val="22"/>
              </w:rPr>
              <w:lastRenderedPageBreak/>
              <w:t>There are some small, standing committees set up for various technical issues that may provide some guidance (e.g. IDN-related implementations, RSEP reviews) and the IRT process itself could be looked at as a basis for creating a “standing” IRT of some sort.</w:t>
            </w:r>
          </w:p>
        </w:tc>
        <w:tc>
          <w:tcPr>
            <w:tcW w:w="2970" w:type="dxa"/>
          </w:tcPr>
          <w:p w14:paraId="3F9F6C96" w14:textId="6C432EAA" w:rsidR="00495641" w:rsidRPr="000A47DC" w:rsidRDefault="00483969" w:rsidP="00412441">
            <w:pPr>
              <w:rPr>
                <w:rFonts w:ascii="Calibri" w:hAnsi="Calibri" w:cs="Calibri"/>
                <w:sz w:val="22"/>
                <w:szCs w:val="22"/>
              </w:rPr>
            </w:pPr>
            <w:r w:rsidRPr="000A47DC">
              <w:rPr>
                <w:rFonts w:ascii="Calibri" w:hAnsi="Calibri" w:cs="Calibri"/>
                <w:sz w:val="22"/>
                <w:szCs w:val="22"/>
              </w:rPr>
              <w:t>#24</w:t>
            </w:r>
          </w:p>
        </w:tc>
        <w:tc>
          <w:tcPr>
            <w:tcW w:w="2785" w:type="dxa"/>
          </w:tcPr>
          <w:p w14:paraId="621589BC" w14:textId="487B42FA" w:rsidR="00412441" w:rsidRPr="000A47DC" w:rsidRDefault="00412441" w:rsidP="00412441">
            <w:pPr>
              <w:rPr>
                <w:rFonts w:ascii="Calibri" w:hAnsi="Calibri" w:cs="Calibri"/>
                <w:sz w:val="22"/>
                <w:szCs w:val="22"/>
              </w:rPr>
            </w:pPr>
          </w:p>
        </w:tc>
      </w:tr>
      <w:tr w:rsidR="00DD1A55" w:rsidRPr="000A47DC" w14:paraId="773945E0" w14:textId="77777777" w:rsidTr="00DA3F06">
        <w:tc>
          <w:tcPr>
            <w:tcW w:w="8635" w:type="dxa"/>
          </w:tcPr>
          <w:p w14:paraId="27DE19FF" w14:textId="6B3A8CB2" w:rsidR="00DD1A55" w:rsidRPr="000A47DC" w:rsidRDefault="00DD1A55" w:rsidP="00412441">
            <w:pPr>
              <w:rPr>
                <w:rFonts w:ascii="Calibri" w:hAnsi="Calibri" w:cs="Calibri"/>
                <w:color w:val="000000"/>
                <w:sz w:val="22"/>
                <w:szCs w:val="22"/>
              </w:rPr>
            </w:pPr>
            <w:r w:rsidRPr="000A47DC">
              <w:rPr>
                <w:rFonts w:ascii="Calibri" w:hAnsi="Calibri" w:cs="Calibri"/>
                <w:color w:val="000000"/>
                <w:sz w:val="22"/>
                <w:szCs w:val="22"/>
              </w:rPr>
              <w:t>Some kind of cross-community standing committee could be suitable for the Mechanism, akin to the CSC for PTI but with representation reflecting that of the EPDP.</w:t>
            </w:r>
          </w:p>
        </w:tc>
        <w:tc>
          <w:tcPr>
            <w:tcW w:w="2970" w:type="dxa"/>
          </w:tcPr>
          <w:p w14:paraId="0E981BBD" w14:textId="588FD70B" w:rsidR="00DD1A55" w:rsidRPr="000A47DC" w:rsidRDefault="00DD1A55" w:rsidP="00412441">
            <w:pPr>
              <w:rPr>
                <w:rFonts w:ascii="Calibri" w:hAnsi="Calibri" w:cs="Calibri"/>
                <w:sz w:val="22"/>
                <w:szCs w:val="22"/>
              </w:rPr>
            </w:pPr>
            <w:r w:rsidRPr="000A47DC">
              <w:rPr>
                <w:rFonts w:ascii="Calibri" w:hAnsi="Calibri" w:cs="Calibri"/>
                <w:sz w:val="22"/>
                <w:szCs w:val="22"/>
              </w:rPr>
              <w:t>#25</w:t>
            </w:r>
          </w:p>
        </w:tc>
        <w:tc>
          <w:tcPr>
            <w:tcW w:w="2785" w:type="dxa"/>
          </w:tcPr>
          <w:p w14:paraId="7C6CDBCD" w14:textId="77777777" w:rsidR="00DD1A55" w:rsidRPr="000A47DC" w:rsidRDefault="00DD1A55" w:rsidP="00412441">
            <w:pPr>
              <w:rPr>
                <w:rFonts w:ascii="Calibri" w:hAnsi="Calibri" w:cs="Calibri"/>
                <w:sz w:val="22"/>
                <w:szCs w:val="22"/>
              </w:rPr>
            </w:pPr>
          </w:p>
        </w:tc>
      </w:tr>
      <w:tr w:rsidR="00F77813" w:rsidRPr="000A47DC" w14:paraId="02E1847A" w14:textId="77777777" w:rsidTr="00DA3F06">
        <w:tc>
          <w:tcPr>
            <w:tcW w:w="8635" w:type="dxa"/>
          </w:tcPr>
          <w:p w14:paraId="2F5A7A06" w14:textId="01D608CF" w:rsidR="00F77813" w:rsidRPr="000A47DC" w:rsidRDefault="000A47DC" w:rsidP="00412441">
            <w:pPr>
              <w:rPr>
                <w:rFonts w:ascii="Calibri" w:hAnsi="Calibri" w:cs="Calibri"/>
                <w:color w:val="000000"/>
                <w:sz w:val="22"/>
                <w:szCs w:val="22"/>
              </w:rPr>
            </w:pPr>
            <w:r>
              <w:rPr>
                <w:rFonts w:ascii="Calibri" w:hAnsi="Calibri" w:cs="Calibri"/>
                <w:color w:val="000000"/>
                <w:sz w:val="22"/>
                <w:szCs w:val="22"/>
              </w:rPr>
              <w:t>W</w:t>
            </w:r>
            <w:r w:rsidR="00F77813" w:rsidRPr="000A47DC">
              <w:rPr>
                <w:rFonts w:ascii="Calibri" w:hAnsi="Calibri" w:cs="Calibri"/>
                <w:color w:val="000000"/>
                <w:sz w:val="22"/>
                <w:szCs w:val="22"/>
              </w:rPr>
              <w:t xml:space="preserve">e might look to other forms of standing committees employed by ICANN to continuously examine and recommend improvements to other matters, </w:t>
            </w:r>
            <w:proofErr w:type="spellStart"/>
            <w:r w:rsidR="00F77813" w:rsidRPr="000A47DC">
              <w:rPr>
                <w:rFonts w:ascii="Calibri" w:hAnsi="Calibri" w:cs="Calibri"/>
                <w:color w:val="000000"/>
                <w:sz w:val="22"/>
                <w:szCs w:val="22"/>
              </w:rPr>
              <w:t>e.g</w:t>
            </w:r>
            <w:proofErr w:type="spellEnd"/>
            <w:r w:rsidR="00F77813" w:rsidRPr="000A47DC">
              <w:rPr>
                <w:rFonts w:ascii="Calibri" w:hAnsi="Calibri" w:cs="Calibri"/>
                <w:color w:val="000000"/>
                <w:sz w:val="22"/>
                <w:szCs w:val="22"/>
              </w:rPr>
              <w:t xml:space="preserve"> the IANA Customer Standing Committee, the Empowered Community structure, the GNSO Council Standing Selection Committee, </w:t>
            </w:r>
            <w:proofErr w:type="spellStart"/>
            <w:r w:rsidR="00F77813" w:rsidRPr="000A47DC">
              <w:rPr>
                <w:rFonts w:ascii="Calibri" w:hAnsi="Calibri" w:cs="Calibri"/>
                <w:color w:val="000000"/>
                <w:sz w:val="22"/>
                <w:szCs w:val="22"/>
              </w:rPr>
              <w:t>etc</w:t>
            </w:r>
            <w:proofErr w:type="spellEnd"/>
          </w:p>
        </w:tc>
        <w:tc>
          <w:tcPr>
            <w:tcW w:w="2970" w:type="dxa"/>
          </w:tcPr>
          <w:p w14:paraId="3D07F625" w14:textId="357169C7" w:rsidR="00F77813" w:rsidRPr="000A47DC" w:rsidRDefault="00F77813" w:rsidP="00412441">
            <w:pPr>
              <w:rPr>
                <w:rFonts w:ascii="Calibri" w:hAnsi="Calibri" w:cs="Calibri"/>
                <w:sz w:val="22"/>
                <w:szCs w:val="22"/>
              </w:rPr>
            </w:pPr>
            <w:r w:rsidRPr="000A47DC">
              <w:rPr>
                <w:rFonts w:ascii="Calibri" w:hAnsi="Calibri" w:cs="Calibri"/>
                <w:sz w:val="22"/>
                <w:szCs w:val="22"/>
              </w:rPr>
              <w:t>#31</w:t>
            </w:r>
          </w:p>
        </w:tc>
        <w:tc>
          <w:tcPr>
            <w:tcW w:w="2785" w:type="dxa"/>
          </w:tcPr>
          <w:p w14:paraId="757ACB98" w14:textId="77777777" w:rsidR="00F77813" w:rsidRPr="000A47DC" w:rsidRDefault="00F77813" w:rsidP="00412441">
            <w:pPr>
              <w:rPr>
                <w:rFonts w:ascii="Calibri" w:hAnsi="Calibri" w:cs="Calibri"/>
                <w:sz w:val="22"/>
                <w:szCs w:val="22"/>
              </w:rPr>
            </w:pPr>
          </w:p>
        </w:tc>
      </w:tr>
      <w:tr w:rsidR="000A47DC" w:rsidRPr="000A47DC" w14:paraId="3BCE33EB" w14:textId="77777777" w:rsidTr="00DA3F06">
        <w:tc>
          <w:tcPr>
            <w:tcW w:w="8635" w:type="dxa"/>
          </w:tcPr>
          <w:p w14:paraId="31D14697" w14:textId="401ECE1A" w:rsidR="000A47DC" w:rsidRPr="000A47DC" w:rsidRDefault="000A47DC" w:rsidP="00412441">
            <w:pPr>
              <w:rPr>
                <w:rFonts w:ascii="Calibri" w:hAnsi="Calibri" w:cs="Calibri"/>
                <w:color w:val="000000"/>
                <w:sz w:val="22"/>
                <w:szCs w:val="22"/>
              </w:rPr>
            </w:pPr>
            <w:r>
              <w:rPr>
                <w:rFonts w:ascii="Calibri" w:hAnsi="Calibri" w:cs="Calibri"/>
                <w:color w:val="000000"/>
                <w:sz w:val="22"/>
                <w:szCs w:val="22"/>
              </w:rPr>
              <w:t>A new mechanism is not needed: t</w:t>
            </w:r>
            <w:r w:rsidRPr="000A47DC">
              <w:rPr>
                <w:rFonts w:ascii="Calibri" w:hAnsi="Calibri" w:cs="Calibri"/>
                <w:color w:val="000000"/>
                <w:sz w:val="22"/>
                <w:szCs w:val="22"/>
              </w:rPr>
              <w:t>he existing GNSO Policy Development Process and contract negotiation process must be used</w:t>
            </w:r>
            <w:r>
              <w:rPr>
                <w:rFonts w:ascii="Calibri" w:hAnsi="Calibri" w:cs="Calibri"/>
                <w:color w:val="000000"/>
                <w:sz w:val="22"/>
                <w:szCs w:val="22"/>
              </w:rPr>
              <w:t xml:space="preserve"> for any changes or updates</w:t>
            </w:r>
          </w:p>
        </w:tc>
        <w:tc>
          <w:tcPr>
            <w:tcW w:w="2970" w:type="dxa"/>
          </w:tcPr>
          <w:p w14:paraId="448DF00A" w14:textId="70870215" w:rsidR="000A47DC" w:rsidRPr="000A47DC" w:rsidRDefault="000A47DC" w:rsidP="00412441">
            <w:pPr>
              <w:rPr>
                <w:rFonts w:ascii="Calibri" w:hAnsi="Calibri" w:cs="Calibri"/>
                <w:sz w:val="22"/>
                <w:szCs w:val="22"/>
              </w:rPr>
            </w:pPr>
            <w:r w:rsidRPr="000A47DC">
              <w:rPr>
                <w:rFonts w:ascii="Calibri" w:hAnsi="Calibri" w:cs="Calibri"/>
                <w:sz w:val="22"/>
                <w:szCs w:val="22"/>
              </w:rPr>
              <w:t>#30, 32,</w:t>
            </w:r>
            <w:r>
              <w:rPr>
                <w:rFonts w:ascii="Calibri" w:hAnsi="Calibri" w:cs="Calibri"/>
                <w:sz w:val="22"/>
                <w:szCs w:val="22"/>
              </w:rPr>
              <w:t xml:space="preserve"> 34, 35,</w:t>
            </w:r>
            <w:r w:rsidRPr="000A47DC">
              <w:rPr>
                <w:rFonts w:ascii="Calibri" w:hAnsi="Calibri" w:cs="Calibri"/>
                <w:sz w:val="22"/>
                <w:szCs w:val="22"/>
              </w:rPr>
              <w:t xml:space="preserve"> 36</w:t>
            </w:r>
          </w:p>
        </w:tc>
        <w:tc>
          <w:tcPr>
            <w:tcW w:w="2785" w:type="dxa"/>
          </w:tcPr>
          <w:p w14:paraId="143E79AA" w14:textId="77777777" w:rsidR="000A47DC" w:rsidRPr="000A47DC" w:rsidRDefault="000A47DC" w:rsidP="00412441">
            <w:pPr>
              <w:rPr>
                <w:rFonts w:ascii="Calibri" w:hAnsi="Calibri" w:cs="Calibri"/>
                <w:sz w:val="22"/>
                <w:szCs w:val="22"/>
              </w:rPr>
            </w:pPr>
          </w:p>
        </w:tc>
      </w:tr>
      <w:tr w:rsidR="001C525A" w:rsidRPr="000A47DC" w14:paraId="43CB2D95" w14:textId="77777777" w:rsidTr="005104B2">
        <w:tc>
          <w:tcPr>
            <w:tcW w:w="8635" w:type="dxa"/>
          </w:tcPr>
          <w:p w14:paraId="493F023D" w14:textId="60509F4D" w:rsidR="001C525A" w:rsidRPr="000A47DC" w:rsidRDefault="00483969" w:rsidP="005104B2">
            <w:pPr>
              <w:rPr>
                <w:rFonts w:ascii="Calibri" w:hAnsi="Calibri" w:cs="Calibri"/>
                <w:sz w:val="22"/>
                <w:szCs w:val="22"/>
              </w:rPr>
            </w:pPr>
            <w:r w:rsidRPr="000A47DC">
              <w:rPr>
                <w:rFonts w:ascii="Calibri" w:hAnsi="Calibri" w:cs="Calibri"/>
                <w:color w:val="000000"/>
                <w:sz w:val="22"/>
                <w:szCs w:val="22"/>
              </w:rPr>
              <w:t xml:space="preserve">It should be noted that this is not a new concept, as such a mechanism was envisioned by the Expert Working Group on gTLD Directory Services in its final report. Recommendation set 4 stated that “The RDS must be designed with the ability to accommodate new users and permissible purposes that are likely to emerge over time,” and proposed a multi-stakeholder review board for this purpose. The </w:t>
            </w:r>
            <w:proofErr w:type="spellStart"/>
            <w:r w:rsidRPr="000A47DC">
              <w:rPr>
                <w:rFonts w:ascii="Calibri" w:hAnsi="Calibri" w:cs="Calibri"/>
                <w:color w:val="000000"/>
                <w:sz w:val="22"/>
                <w:szCs w:val="22"/>
              </w:rPr>
              <w:t>ePDP</w:t>
            </w:r>
            <w:proofErr w:type="spellEnd"/>
            <w:r w:rsidRPr="000A47DC">
              <w:rPr>
                <w:rFonts w:ascii="Calibri" w:hAnsi="Calibri" w:cs="Calibri"/>
                <w:color w:val="000000"/>
                <w:sz w:val="22"/>
                <w:szCs w:val="22"/>
              </w:rPr>
              <w:t xml:space="preserve"> members may wish to review this work to assist their own effort.</w:t>
            </w:r>
          </w:p>
        </w:tc>
        <w:tc>
          <w:tcPr>
            <w:tcW w:w="2970" w:type="dxa"/>
          </w:tcPr>
          <w:p w14:paraId="1145BE5F" w14:textId="26C12B33" w:rsidR="001C525A" w:rsidRPr="000A47DC" w:rsidRDefault="00483969" w:rsidP="005104B2">
            <w:pPr>
              <w:rPr>
                <w:rFonts w:ascii="Calibri" w:hAnsi="Calibri" w:cs="Calibri"/>
                <w:sz w:val="22"/>
                <w:szCs w:val="22"/>
              </w:rPr>
            </w:pPr>
            <w:r w:rsidRPr="000A47DC">
              <w:rPr>
                <w:rFonts w:ascii="Calibri" w:hAnsi="Calibri" w:cs="Calibri"/>
                <w:sz w:val="22"/>
                <w:szCs w:val="22"/>
              </w:rPr>
              <w:t>#</w:t>
            </w:r>
            <w:r w:rsidR="00DD1A55" w:rsidRPr="000A47DC">
              <w:rPr>
                <w:rFonts w:ascii="Calibri" w:hAnsi="Calibri" w:cs="Calibri"/>
                <w:sz w:val="22"/>
                <w:szCs w:val="22"/>
              </w:rPr>
              <w:t>24</w:t>
            </w:r>
          </w:p>
        </w:tc>
        <w:tc>
          <w:tcPr>
            <w:tcW w:w="2785" w:type="dxa"/>
          </w:tcPr>
          <w:p w14:paraId="3BA4FEAE" w14:textId="2830B668" w:rsidR="001C525A" w:rsidRPr="000A47DC" w:rsidRDefault="001C525A" w:rsidP="005104B2">
            <w:pPr>
              <w:rPr>
                <w:rFonts w:ascii="Calibri" w:hAnsi="Calibri" w:cs="Calibri"/>
                <w:sz w:val="22"/>
                <w:szCs w:val="22"/>
              </w:rPr>
            </w:pPr>
          </w:p>
        </w:tc>
      </w:tr>
      <w:tr w:rsidR="001C525A" w:rsidRPr="000A47DC" w14:paraId="7705CD72" w14:textId="77777777" w:rsidTr="005104B2">
        <w:tc>
          <w:tcPr>
            <w:tcW w:w="8635" w:type="dxa"/>
          </w:tcPr>
          <w:p w14:paraId="64A074D5" w14:textId="415EFAD7" w:rsidR="001C525A" w:rsidRPr="000A47DC" w:rsidRDefault="00DD1A55" w:rsidP="005104B2">
            <w:pPr>
              <w:rPr>
                <w:rFonts w:ascii="Calibri" w:hAnsi="Calibri" w:cs="Calibri"/>
                <w:sz w:val="22"/>
                <w:szCs w:val="22"/>
              </w:rPr>
            </w:pPr>
            <w:r w:rsidRPr="000A47DC">
              <w:rPr>
                <w:rFonts w:ascii="Calibri" w:hAnsi="Calibri" w:cs="Calibri"/>
                <w:color w:val="000000"/>
                <w:sz w:val="22"/>
                <w:szCs w:val="22"/>
              </w:rPr>
              <w:t>It should not take the form of a GNSO PDP, as this structure is likely too rigid to meet the needs that the Mechanism would be serving.</w:t>
            </w:r>
          </w:p>
        </w:tc>
        <w:tc>
          <w:tcPr>
            <w:tcW w:w="2970" w:type="dxa"/>
          </w:tcPr>
          <w:p w14:paraId="7AAF090F" w14:textId="7C5893EA" w:rsidR="001C525A" w:rsidRPr="000A47DC" w:rsidRDefault="00DD1A55" w:rsidP="005104B2">
            <w:pPr>
              <w:rPr>
                <w:rFonts w:ascii="Calibri" w:hAnsi="Calibri" w:cs="Calibri"/>
                <w:sz w:val="22"/>
                <w:szCs w:val="22"/>
              </w:rPr>
            </w:pPr>
            <w:r w:rsidRPr="000A47DC">
              <w:rPr>
                <w:rFonts w:ascii="Calibri" w:hAnsi="Calibri" w:cs="Calibri"/>
                <w:sz w:val="22"/>
                <w:szCs w:val="22"/>
              </w:rPr>
              <w:t>#25</w:t>
            </w:r>
          </w:p>
        </w:tc>
        <w:tc>
          <w:tcPr>
            <w:tcW w:w="2785" w:type="dxa"/>
          </w:tcPr>
          <w:p w14:paraId="27FB840E" w14:textId="6FD286A6" w:rsidR="001C525A" w:rsidRPr="000A47DC" w:rsidRDefault="001C525A" w:rsidP="005104B2">
            <w:pPr>
              <w:rPr>
                <w:rFonts w:ascii="Calibri" w:hAnsi="Calibri" w:cs="Calibri"/>
                <w:sz w:val="22"/>
                <w:szCs w:val="22"/>
              </w:rPr>
            </w:pPr>
          </w:p>
        </w:tc>
      </w:tr>
      <w:tr w:rsidR="000A47DC" w:rsidRPr="000A47DC" w14:paraId="0B2B8F5E" w14:textId="77777777" w:rsidTr="005104B2">
        <w:tc>
          <w:tcPr>
            <w:tcW w:w="8635" w:type="dxa"/>
          </w:tcPr>
          <w:p w14:paraId="06D705AC" w14:textId="77777777" w:rsidR="000A47DC" w:rsidRPr="000A47DC" w:rsidRDefault="000A47DC" w:rsidP="005104B2">
            <w:pPr>
              <w:pStyle w:val="ColorfulList-Accent11"/>
              <w:ind w:left="0"/>
              <w:rPr>
                <w:rFonts w:ascii="Calibri" w:hAnsi="Calibri" w:cs="Calibri"/>
                <w:sz w:val="22"/>
                <w:szCs w:val="22"/>
              </w:rPr>
            </w:pPr>
            <w:r w:rsidRPr="000A47DC">
              <w:rPr>
                <w:rFonts w:ascii="Calibri" w:hAnsi="Calibri" w:cs="Calibri"/>
                <w:sz w:val="22"/>
                <w:szCs w:val="22"/>
              </w:rPr>
              <w:t>A subcommittee of the GNSO Council can engage in long-term oversight of the SSAD's administration.</w:t>
            </w:r>
          </w:p>
        </w:tc>
        <w:tc>
          <w:tcPr>
            <w:tcW w:w="2970" w:type="dxa"/>
          </w:tcPr>
          <w:p w14:paraId="020141D3" w14:textId="77777777" w:rsidR="000A47DC" w:rsidRPr="000A47DC" w:rsidRDefault="000A47DC" w:rsidP="005104B2">
            <w:pPr>
              <w:rPr>
                <w:rFonts w:ascii="Calibri" w:hAnsi="Calibri" w:cs="Calibri"/>
                <w:sz w:val="22"/>
                <w:szCs w:val="22"/>
              </w:rPr>
            </w:pPr>
            <w:r w:rsidRPr="000A47DC">
              <w:rPr>
                <w:rFonts w:ascii="Calibri" w:hAnsi="Calibri" w:cs="Calibri"/>
                <w:sz w:val="22"/>
                <w:szCs w:val="22"/>
              </w:rPr>
              <w:t>#34, 35</w:t>
            </w:r>
          </w:p>
        </w:tc>
        <w:tc>
          <w:tcPr>
            <w:tcW w:w="2785" w:type="dxa"/>
          </w:tcPr>
          <w:p w14:paraId="0546E0D2" w14:textId="77777777" w:rsidR="000A47DC" w:rsidRPr="000A47DC" w:rsidRDefault="000A47DC" w:rsidP="005104B2">
            <w:pPr>
              <w:rPr>
                <w:rFonts w:ascii="Calibri" w:hAnsi="Calibri" w:cs="Calibri"/>
                <w:sz w:val="22"/>
                <w:szCs w:val="22"/>
              </w:rPr>
            </w:pPr>
          </w:p>
        </w:tc>
      </w:tr>
      <w:tr w:rsidR="00DD1A55" w:rsidRPr="000A47DC" w14:paraId="7A05A4F7" w14:textId="77777777" w:rsidTr="005104B2">
        <w:tc>
          <w:tcPr>
            <w:tcW w:w="8635" w:type="dxa"/>
          </w:tcPr>
          <w:p w14:paraId="7CAD5B48" w14:textId="55FC2A18" w:rsidR="00DD1A55" w:rsidRPr="000A47DC" w:rsidRDefault="00DD1A55" w:rsidP="005104B2">
            <w:pPr>
              <w:rPr>
                <w:rFonts w:ascii="Calibri" w:hAnsi="Calibri" w:cs="Calibri"/>
                <w:i/>
                <w:iCs/>
                <w:sz w:val="22"/>
                <w:szCs w:val="22"/>
              </w:rPr>
            </w:pPr>
            <w:r w:rsidRPr="000A47DC">
              <w:rPr>
                <w:rFonts w:ascii="Calibri" w:hAnsi="Calibri" w:cs="Calibri"/>
                <w:sz w:val="22"/>
                <w:szCs w:val="22"/>
              </w:rPr>
              <w:t>Disclosure requests should follow best practice templates such as developed by RrSG</w:t>
            </w:r>
            <w:r w:rsidR="000A47DC" w:rsidRPr="000A47DC">
              <w:rPr>
                <w:rFonts w:ascii="Calibri" w:hAnsi="Calibri" w:cs="Calibri"/>
                <w:sz w:val="22"/>
                <w:szCs w:val="22"/>
              </w:rPr>
              <w:t xml:space="preserve"> (Minimum required information for Whois data requests)</w:t>
            </w:r>
            <w:r w:rsidRPr="000A47DC">
              <w:rPr>
                <w:rFonts w:ascii="Calibri" w:hAnsi="Calibri" w:cs="Calibri"/>
                <w:sz w:val="22"/>
                <w:szCs w:val="22"/>
              </w:rPr>
              <w:t xml:space="preserve">, </w:t>
            </w:r>
            <w:proofErr w:type="spellStart"/>
            <w:r w:rsidRPr="000A47DC">
              <w:rPr>
                <w:rFonts w:ascii="Calibri" w:hAnsi="Calibri" w:cs="Calibri"/>
                <w:sz w:val="22"/>
                <w:szCs w:val="22"/>
              </w:rPr>
              <w:t>GoDady</w:t>
            </w:r>
            <w:proofErr w:type="spellEnd"/>
            <w:r w:rsidRPr="000A47DC">
              <w:rPr>
                <w:rFonts w:ascii="Calibri" w:hAnsi="Calibri" w:cs="Calibri"/>
                <w:sz w:val="22"/>
                <w:szCs w:val="22"/>
              </w:rPr>
              <w:t xml:space="preserve"> and </w:t>
            </w:r>
            <w:proofErr w:type="spellStart"/>
            <w:r w:rsidRPr="000A47DC">
              <w:rPr>
                <w:rFonts w:ascii="Calibri" w:hAnsi="Calibri" w:cs="Calibri"/>
                <w:sz w:val="22"/>
                <w:szCs w:val="22"/>
              </w:rPr>
              <w:t>Denic</w:t>
            </w:r>
            <w:proofErr w:type="spellEnd"/>
            <w:r w:rsidRPr="000A47DC">
              <w:rPr>
                <w:rFonts w:ascii="Calibri" w:hAnsi="Calibri" w:cs="Calibri"/>
                <w:sz w:val="22"/>
                <w:szCs w:val="22"/>
              </w:rPr>
              <w:t>. [</w:t>
            </w:r>
            <w:r w:rsidRPr="000A47DC">
              <w:rPr>
                <w:rFonts w:ascii="Calibri" w:hAnsi="Calibri" w:cs="Calibri"/>
                <w:i/>
                <w:iCs/>
                <w:sz w:val="22"/>
                <w:szCs w:val="22"/>
              </w:rPr>
              <w:t>Staff note – this does not seem to be specific to the mechanism but input on what existing processes procedures could be used in general?]</w:t>
            </w:r>
          </w:p>
        </w:tc>
        <w:tc>
          <w:tcPr>
            <w:tcW w:w="2970" w:type="dxa"/>
          </w:tcPr>
          <w:p w14:paraId="2193C162" w14:textId="2855012D" w:rsidR="00DD1A55" w:rsidRPr="000A47DC" w:rsidRDefault="00DD1A55" w:rsidP="005104B2">
            <w:pPr>
              <w:rPr>
                <w:rFonts w:ascii="Calibri" w:hAnsi="Calibri" w:cs="Calibri"/>
                <w:sz w:val="22"/>
                <w:szCs w:val="22"/>
              </w:rPr>
            </w:pPr>
            <w:r w:rsidRPr="000A47DC">
              <w:rPr>
                <w:rFonts w:ascii="Calibri" w:hAnsi="Calibri" w:cs="Calibri"/>
                <w:sz w:val="22"/>
                <w:szCs w:val="22"/>
              </w:rPr>
              <w:t>#10,</w:t>
            </w:r>
            <w:r w:rsidR="00F77813" w:rsidRPr="000A47DC">
              <w:rPr>
                <w:rFonts w:ascii="Calibri" w:hAnsi="Calibri" w:cs="Calibri"/>
                <w:sz w:val="22"/>
                <w:szCs w:val="22"/>
              </w:rPr>
              <w:t xml:space="preserve"> 36</w:t>
            </w:r>
            <w:r w:rsidRPr="000A47DC">
              <w:rPr>
                <w:rFonts w:ascii="Calibri" w:hAnsi="Calibri" w:cs="Calibri"/>
                <w:sz w:val="22"/>
                <w:szCs w:val="22"/>
              </w:rPr>
              <w:t xml:space="preserve"> </w:t>
            </w:r>
          </w:p>
        </w:tc>
        <w:tc>
          <w:tcPr>
            <w:tcW w:w="2785" w:type="dxa"/>
          </w:tcPr>
          <w:p w14:paraId="3C6E998E" w14:textId="49C0A9F5" w:rsidR="00DD1A55" w:rsidRPr="000A47DC" w:rsidRDefault="00DD1A55" w:rsidP="005104B2">
            <w:pPr>
              <w:rPr>
                <w:rFonts w:ascii="Calibri" w:hAnsi="Calibri" w:cs="Calibri"/>
                <w:sz w:val="22"/>
                <w:szCs w:val="22"/>
              </w:rPr>
            </w:pPr>
          </w:p>
        </w:tc>
      </w:tr>
      <w:tr w:rsidR="001C525A" w:rsidRPr="000A47DC" w14:paraId="59C64486" w14:textId="77777777" w:rsidTr="005104B2">
        <w:tc>
          <w:tcPr>
            <w:tcW w:w="8635" w:type="dxa"/>
          </w:tcPr>
          <w:p w14:paraId="64468EA1" w14:textId="6844F9E3" w:rsidR="001C525A" w:rsidRPr="000A47DC" w:rsidRDefault="00DD1A55" w:rsidP="005104B2">
            <w:pPr>
              <w:rPr>
                <w:rFonts w:ascii="Calibri" w:hAnsi="Calibri" w:cs="Calibri"/>
                <w:sz w:val="22"/>
                <w:szCs w:val="22"/>
              </w:rPr>
            </w:pPr>
            <w:r w:rsidRPr="000A47DC">
              <w:rPr>
                <w:rFonts w:ascii="Calibri" w:hAnsi="Calibri" w:cs="Calibri"/>
                <w:color w:val="000000"/>
                <w:sz w:val="22"/>
                <w:szCs w:val="22"/>
              </w:rPr>
              <w:t xml:space="preserve">in terms of validation:  as noted above the WIPO Brands Database contains tens of millions of records across dozens of national and regional offices, see:  www3.wipo.int/branddb/en/branddb-help.jsp#db </w:t>
            </w:r>
            <w:r w:rsidRPr="000A47DC">
              <w:rPr>
                <w:rFonts w:ascii="Calibri" w:hAnsi="Calibri" w:cs="Calibri"/>
                <w:sz w:val="22"/>
                <w:szCs w:val="22"/>
              </w:rPr>
              <w:t>[</w:t>
            </w:r>
            <w:r w:rsidRPr="000A47DC">
              <w:rPr>
                <w:rFonts w:ascii="Calibri" w:hAnsi="Calibri" w:cs="Calibri"/>
                <w:i/>
                <w:iCs/>
                <w:sz w:val="22"/>
                <w:szCs w:val="22"/>
              </w:rPr>
              <w:t>Staff note – this does not seem to be specific to the mechanism but input on what existing processes procedures could be used in general?]</w:t>
            </w:r>
          </w:p>
        </w:tc>
        <w:tc>
          <w:tcPr>
            <w:tcW w:w="2970" w:type="dxa"/>
          </w:tcPr>
          <w:p w14:paraId="01DA9F9E" w14:textId="7623A1A6" w:rsidR="001C525A" w:rsidRPr="000A47DC" w:rsidRDefault="00F77813" w:rsidP="005104B2">
            <w:pPr>
              <w:rPr>
                <w:rFonts w:ascii="Calibri" w:hAnsi="Calibri" w:cs="Calibri"/>
                <w:sz w:val="22"/>
                <w:szCs w:val="22"/>
              </w:rPr>
            </w:pPr>
            <w:r w:rsidRPr="000A47DC">
              <w:rPr>
                <w:rFonts w:ascii="Calibri" w:hAnsi="Calibri" w:cs="Calibri"/>
                <w:sz w:val="22"/>
                <w:szCs w:val="22"/>
              </w:rPr>
              <w:t>#</w:t>
            </w:r>
            <w:r w:rsidR="00DD1A55" w:rsidRPr="000A47DC">
              <w:rPr>
                <w:rFonts w:ascii="Calibri" w:hAnsi="Calibri" w:cs="Calibri"/>
                <w:sz w:val="22"/>
                <w:szCs w:val="22"/>
              </w:rPr>
              <w:t>26</w:t>
            </w:r>
          </w:p>
        </w:tc>
        <w:tc>
          <w:tcPr>
            <w:tcW w:w="2785" w:type="dxa"/>
          </w:tcPr>
          <w:p w14:paraId="3B2A1DCE" w14:textId="48C84100" w:rsidR="001C525A" w:rsidRPr="000A47DC" w:rsidRDefault="001C525A" w:rsidP="005104B2">
            <w:pPr>
              <w:rPr>
                <w:rFonts w:ascii="Calibri" w:hAnsi="Calibri" w:cs="Calibri"/>
                <w:sz w:val="22"/>
                <w:szCs w:val="22"/>
              </w:rPr>
            </w:pPr>
          </w:p>
        </w:tc>
      </w:tr>
    </w:tbl>
    <w:p w14:paraId="692EE37D" w14:textId="77777777" w:rsidR="00151618" w:rsidRPr="000A47DC" w:rsidRDefault="00151618" w:rsidP="00151618">
      <w:pPr>
        <w:rPr>
          <w:rFonts w:ascii="Calibri" w:hAnsi="Calibri" w:cs="Calibri"/>
          <w:b/>
          <w:sz w:val="22"/>
          <w:szCs w:val="22"/>
        </w:rPr>
      </w:pPr>
    </w:p>
    <w:tbl>
      <w:tblPr>
        <w:tblStyle w:val="TableGrid"/>
        <w:tblW w:w="0" w:type="auto"/>
        <w:tblLook w:val="04A0" w:firstRow="1" w:lastRow="0" w:firstColumn="1" w:lastColumn="0" w:noHBand="0" w:noVBand="1"/>
      </w:tblPr>
      <w:tblGrid>
        <w:gridCol w:w="8635"/>
        <w:gridCol w:w="2970"/>
        <w:gridCol w:w="2785"/>
      </w:tblGrid>
      <w:tr w:rsidR="001C525A" w:rsidRPr="000A47DC" w14:paraId="1C902BF1" w14:textId="77777777" w:rsidTr="005104B2">
        <w:tc>
          <w:tcPr>
            <w:tcW w:w="8635" w:type="dxa"/>
            <w:shd w:val="clear" w:color="auto" w:fill="002060"/>
          </w:tcPr>
          <w:p w14:paraId="31D771D5" w14:textId="3490FBE3" w:rsidR="001C525A" w:rsidRPr="000A47DC" w:rsidRDefault="001C525A" w:rsidP="005104B2">
            <w:pPr>
              <w:rPr>
                <w:rFonts w:ascii="Calibri" w:hAnsi="Calibri" w:cs="Calibri"/>
                <w:b/>
                <w:sz w:val="22"/>
                <w:szCs w:val="22"/>
              </w:rPr>
            </w:pPr>
            <w:r w:rsidRPr="000A47DC">
              <w:rPr>
                <w:rFonts w:ascii="Calibri" w:hAnsi="Calibri" w:cs="Calibri"/>
                <w:b/>
                <w:sz w:val="22"/>
                <w:szCs w:val="22"/>
              </w:rPr>
              <w:t xml:space="preserve">Suggestions – </w:t>
            </w:r>
            <w:r w:rsidR="001F4D8D" w:rsidRPr="000A47DC">
              <w:rPr>
                <w:rFonts w:ascii="Calibri" w:hAnsi="Calibri" w:cs="Calibri"/>
                <w:b/>
                <w:sz w:val="22"/>
                <w:szCs w:val="22"/>
              </w:rPr>
              <w:t>Role / scope of mechanism</w:t>
            </w:r>
          </w:p>
        </w:tc>
        <w:tc>
          <w:tcPr>
            <w:tcW w:w="2970" w:type="dxa"/>
            <w:shd w:val="clear" w:color="auto" w:fill="002060"/>
          </w:tcPr>
          <w:p w14:paraId="3136BA2B" w14:textId="77777777" w:rsidR="001C525A" w:rsidRPr="000A47DC" w:rsidRDefault="001C525A" w:rsidP="005104B2">
            <w:pPr>
              <w:rPr>
                <w:rFonts w:ascii="Calibri" w:hAnsi="Calibri" w:cs="Calibri"/>
                <w:b/>
                <w:sz w:val="22"/>
                <w:szCs w:val="22"/>
              </w:rPr>
            </w:pPr>
            <w:r w:rsidRPr="000A47DC">
              <w:rPr>
                <w:rFonts w:ascii="Calibri" w:hAnsi="Calibri" w:cs="Calibri"/>
                <w:b/>
                <w:sz w:val="22"/>
                <w:szCs w:val="22"/>
              </w:rPr>
              <w:t>Corresponding PCRT Comment #</w:t>
            </w:r>
          </w:p>
        </w:tc>
        <w:tc>
          <w:tcPr>
            <w:tcW w:w="2785" w:type="dxa"/>
            <w:shd w:val="clear" w:color="auto" w:fill="002060"/>
          </w:tcPr>
          <w:p w14:paraId="1B90C988" w14:textId="50BF24E0" w:rsidR="001C525A" w:rsidRPr="000A47DC" w:rsidRDefault="000A47DC" w:rsidP="005104B2">
            <w:pPr>
              <w:rPr>
                <w:rFonts w:ascii="Calibri" w:hAnsi="Calibri" w:cs="Calibri"/>
                <w:b/>
                <w:sz w:val="22"/>
                <w:szCs w:val="22"/>
              </w:rPr>
            </w:pPr>
            <w:r>
              <w:rPr>
                <w:rFonts w:ascii="Calibri" w:hAnsi="Calibri" w:cs="Calibri"/>
                <w:b/>
                <w:sz w:val="22"/>
                <w:szCs w:val="22"/>
              </w:rPr>
              <w:t>EPDP Team Support for suggestion (Y/N)</w:t>
            </w:r>
          </w:p>
        </w:tc>
      </w:tr>
      <w:tr w:rsidR="001C525A" w:rsidRPr="000A47DC" w14:paraId="070E1E23" w14:textId="77777777" w:rsidTr="005104B2">
        <w:tc>
          <w:tcPr>
            <w:tcW w:w="8635" w:type="dxa"/>
          </w:tcPr>
          <w:p w14:paraId="61F2859B" w14:textId="08238541" w:rsidR="001C525A" w:rsidRPr="000A47DC" w:rsidRDefault="001F4D8D" w:rsidP="005104B2">
            <w:pPr>
              <w:rPr>
                <w:rFonts w:ascii="Calibri" w:hAnsi="Calibri" w:cs="Calibri"/>
                <w:sz w:val="22"/>
                <w:szCs w:val="22"/>
              </w:rPr>
            </w:pPr>
            <w:r w:rsidRPr="000A47DC">
              <w:rPr>
                <w:rFonts w:ascii="Calibri" w:hAnsi="Calibri" w:cs="Calibri"/>
                <w:color w:val="000000"/>
                <w:sz w:val="22"/>
                <w:szCs w:val="22"/>
              </w:rPr>
              <w:t xml:space="preserve">It should be the aim of the Mechanism to seek to move as many use case-types to full automation as possible, bearing in mind the legal and operational considerations. </w:t>
            </w:r>
            <w:r w:rsidRPr="000A47DC">
              <w:rPr>
                <w:rFonts w:ascii="Calibri" w:hAnsi="Calibri" w:cs="Calibri"/>
                <w:i/>
                <w:iCs/>
                <w:color w:val="000000"/>
                <w:sz w:val="22"/>
                <w:szCs w:val="22"/>
              </w:rPr>
              <w:t xml:space="preserve"> </w:t>
            </w:r>
          </w:p>
        </w:tc>
        <w:tc>
          <w:tcPr>
            <w:tcW w:w="2970" w:type="dxa"/>
          </w:tcPr>
          <w:p w14:paraId="2FFC68F8" w14:textId="1F5A6FB0" w:rsidR="001C525A" w:rsidRPr="000A47DC" w:rsidRDefault="001F4D8D" w:rsidP="005104B2">
            <w:pPr>
              <w:rPr>
                <w:rFonts w:ascii="Calibri" w:hAnsi="Calibri" w:cs="Calibri"/>
                <w:sz w:val="22"/>
                <w:szCs w:val="22"/>
              </w:rPr>
            </w:pPr>
            <w:r w:rsidRPr="000A47DC">
              <w:rPr>
                <w:rFonts w:ascii="Calibri" w:hAnsi="Calibri" w:cs="Calibri"/>
                <w:sz w:val="22"/>
                <w:szCs w:val="22"/>
              </w:rPr>
              <w:t>#7</w:t>
            </w:r>
            <w:r w:rsidR="00483969" w:rsidRPr="000A47DC">
              <w:rPr>
                <w:rFonts w:ascii="Calibri" w:hAnsi="Calibri" w:cs="Calibri"/>
                <w:sz w:val="22"/>
                <w:szCs w:val="22"/>
              </w:rPr>
              <w:t>, 13</w:t>
            </w:r>
            <w:r w:rsidR="00DD1A55" w:rsidRPr="000A47DC">
              <w:rPr>
                <w:rFonts w:ascii="Calibri" w:hAnsi="Calibri" w:cs="Calibri"/>
                <w:sz w:val="22"/>
                <w:szCs w:val="22"/>
              </w:rPr>
              <w:t>, 25</w:t>
            </w:r>
            <w:r w:rsidR="00071D1D" w:rsidRPr="000A47DC">
              <w:rPr>
                <w:rFonts w:ascii="Calibri" w:hAnsi="Calibri" w:cs="Calibri"/>
                <w:sz w:val="22"/>
                <w:szCs w:val="22"/>
              </w:rPr>
              <w:t>, 29</w:t>
            </w:r>
            <w:r w:rsidR="00F77813" w:rsidRPr="000A47DC">
              <w:rPr>
                <w:rFonts w:ascii="Calibri" w:hAnsi="Calibri" w:cs="Calibri"/>
                <w:sz w:val="22"/>
                <w:szCs w:val="22"/>
              </w:rPr>
              <w:t>, 31,</w:t>
            </w:r>
            <w:r w:rsidR="001C525A" w:rsidRPr="000A47DC">
              <w:rPr>
                <w:rFonts w:ascii="Calibri" w:hAnsi="Calibri" w:cs="Calibri"/>
                <w:sz w:val="22"/>
                <w:szCs w:val="22"/>
              </w:rPr>
              <w:t xml:space="preserve"> </w:t>
            </w:r>
          </w:p>
        </w:tc>
        <w:tc>
          <w:tcPr>
            <w:tcW w:w="2785" w:type="dxa"/>
          </w:tcPr>
          <w:p w14:paraId="0153CDE3" w14:textId="4FF68548" w:rsidR="001C525A" w:rsidRPr="000A47DC" w:rsidRDefault="001C525A" w:rsidP="005104B2">
            <w:pPr>
              <w:rPr>
                <w:rFonts w:ascii="Calibri" w:hAnsi="Calibri" w:cs="Calibri"/>
                <w:sz w:val="22"/>
                <w:szCs w:val="22"/>
              </w:rPr>
            </w:pPr>
          </w:p>
        </w:tc>
      </w:tr>
      <w:tr w:rsidR="001C525A" w:rsidRPr="000A47DC" w14:paraId="66BF1F1D" w14:textId="77777777" w:rsidTr="005104B2">
        <w:tc>
          <w:tcPr>
            <w:tcW w:w="8635" w:type="dxa"/>
          </w:tcPr>
          <w:p w14:paraId="43A6DFAF" w14:textId="7ECD4EC7" w:rsidR="001C525A" w:rsidRPr="000A47DC" w:rsidRDefault="001F4D8D" w:rsidP="005104B2">
            <w:pPr>
              <w:rPr>
                <w:rFonts w:ascii="Calibri" w:hAnsi="Calibri" w:cs="Calibri"/>
                <w:sz w:val="22"/>
                <w:szCs w:val="22"/>
              </w:rPr>
            </w:pPr>
            <w:r w:rsidRPr="000A47DC">
              <w:rPr>
                <w:rFonts w:ascii="Calibri" w:hAnsi="Calibri" w:cs="Calibri"/>
                <w:color w:val="000000"/>
                <w:sz w:val="22"/>
                <w:szCs w:val="22"/>
              </w:rPr>
              <w:t>All SSAD entities must receive detailed guidance in due time developed by ICANN consensus policy.</w:t>
            </w:r>
          </w:p>
        </w:tc>
        <w:tc>
          <w:tcPr>
            <w:tcW w:w="2970" w:type="dxa"/>
          </w:tcPr>
          <w:p w14:paraId="73E0200A" w14:textId="28718429" w:rsidR="001C525A" w:rsidRPr="000A47DC" w:rsidRDefault="001F4D8D" w:rsidP="005104B2">
            <w:pPr>
              <w:rPr>
                <w:rFonts w:ascii="Calibri" w:hAnsi="Calibri" w:cs="Calibri"/>
                <w:sz w:val="22"/>
                <w:szCs w:val="22"/>
              </w:rPr>
            </w:pPr>
            <w:r w:rsidRPr="000A47DC">
              <w:rPr>
                <w:rFonts w:ascii="Calibri" w:hAnsi="Calibri" w:cs="Calibri"/>
                <w:sz w:val="22"/>
                <w:szCs w:val="22"/>
              </w:rPr>
              <w:t>#9</w:t>
            </w:r>
          </w:p>
        </w:tc>
        <w:tc>
          <w:tcPr>
            <w:tcW w:w="2785" w:type="dxa"/>
          </w:tcPr>
          <w:p w14:paraId="783A1185" w14:textId="3F64082D" w:rsidR="001C525A" w:rsidRPr="000A47DC" w:rsidRDefault="001C525A" w:rsidP="005104B2">
            <w:pPr>
              <w:rPr>
                <w:rFonts w:ascii="Calibri" w:hAnsi="Calibri" w:cs="Calibri"/>
                <w:sz w:val="22"/>
                <w:szCs w:val="22"/>
              </w:rPr>
            </w:pPr>
          </w:p>
        </w:tc>
      </w:tr>
      <w:tr w:rsidR="001C525A" w:rsidRPr="000A47DC" w14:paraId="5300FB32" w14:textId="77777777" w:rsidTr="005104B2">
        <w:tc>
          <w:tcPr>
            <w:tcW w:w="8635" w:type="dxa"/>
          </w:tcPr>
          <w:p w14:paraId="4D1988DB" w14:textId="607F3471" w:rsidR="001C525A" w:rsidRPr="000A47DC" w:rsidRDefault="00483969" w:rsidP="005104B2">
            <w:pPr>
              <w:rPr>
                <w:rFonts w:ascii="Calibri" w:hAnsi="Calibri" w:cs="Calibri"/>
                <w:sz w:val="22"/>
                <w:szCs w:val="22"/>
              </w:rPr>
            </w:pPr>
            <w:r w:rsidRPr="000A47DC">
              <w:rPr>
                <w:rFonts w:ascii="Calibri" w:hAnsi="Calibri" w:cs="Calibri"/>
                <w:color w:val="000000"/>
                <w:sz w:val="22"/>
                <w:szCs w:val="22"/>
              </w:rPr>
              <w:t>it must be able to require automation for new request types without that power crossing “the picket fence” or being considered to be policy making under the GNSO’s remit</w:t>
            </w:r>
          </w:p>
        </w:tc>
        <w:tc>
          <w:tcPr>
            <w:tcW w:w="2970" w:type="dxa"/>
          </w:tcPr>
          <w:p w14:paraId="67A413EC" w14:textId="000ADE6B" w:rsidR="001C525A" w:rsidRPr="000A47DC" w:rsidRDefault="00483969" w:rsidP="005104B2">
            <w:pPr>
              <w:rPr>
                <w:rFonts w:ascii="Calibri" w:hAnsi="Calibri" w:cs="Calibri"/>
                <w:sz w:val="22"/>
                <w:szCs w:val="22"/>
              </w:rPr>
            </w:pPr>
            <w:r w:rsidRPr="000A47DC">
              <w:rPr>
                <w:rFonts w:ascii="Calibri" w:hAnsi="Calibri" w:cs="Calibri"/>
                <w:sz w:val="22"/>
                <w:szCs w:val="22"/>
              </w:rPr>
              <w:t>#13</w:t>
            </w:r>
            <w:r w:rsidR="00071D1D" w:rsidRPr="000A47DC">
              <w:rPr>
                <w:rFonts w:ascii="Calibri" w:hAnsi="Calibri" w:cs="Calibri"/>
                <w:sz w:val="22"/>
                <w:szCs w:val="22"/>
              </w:rPr>
              <w:t>, 29</w:t>
            </w:r>
            <w:r w:rsidR="00F77813" w:rsidRPr="000A47DC">
              <w:rPr>
                <w:rFonts w:ascii="Calibri" w:hAnsi="Calibri" w:cs="Calibri"/>
                <w:sz w:val="22"/>
                <w:szCs w:val="22"/>
              </w:rPr>
              <w:t>, 31</w:t>
            </w:r>
          </w:p>
        </w:tc>
        <w:tc>
          <w:tcPr>
            <w:tcW w:w="2785" w:type="dxa"/>
          </w:tcPr>
          <w:p w14:paraId="1C9D20D3" w14:textId="7B9A8B33" w:rsidR="001C525A" w:rsidRPr="000A47DC" w:rsidRDefault="001C525A" w:rsidP="005104B2">
            <w:pPr>
              <w:rPr>
                <w:rFonts w:ascii="Calibri" w:hAnsi="Calibri" w:cs="Calibri"/>
                <w:sz w:val="22"/>
                <w:szCs w:val="22"/>
              </w:rPr>
            </w:pPr>
          </w:p>
        </w:tc>
      </w:tr>
      <w:tr w:rsidR="001C525A" w:rsidRPr="000A47DC" w14:paraId="542B0E49" w14:textId="77777777" w:rsidTr="005104B2">
        <w:tc>
          <w:tcPr>
            <w:tcW w:w="8635" w:type="dxa"/>
          </w:tcPr>
          <w:p w14:paraId="67B17E02" w14:textId="230A3989" w:rsidR="001C525A" w:rsidRPr="000A47DC" w:rsidRDefault="00483969" w:rsidP="005104B2">
            <w:pPr>
              <w:rPr>
                <w:rFonts w:ascii="Calibri" w:hAnsi="Calibri" w:cs="Calibri"/>
                <w:sz w:val="22"/>
                <w:szCs w:val="22"/>
              </w:rPr>
            </w:pPr>
            <w:r w:rsidRPr="000A47DC">
              <w:rPr>
                <w:rFonts w:ascii="Calibri" w:hAnsi="Calibri" w:cs="Calibri"/>
                <w:color w:val="000000"/>
                <w:sz w:val="22"/>
                <w:szCs w:val="22"/>
              </w:rPr>
              <w:lastRenderedPageBreak/>
              <w:t>looking into the types of disclosures that out of experience are deemed automatable and recommend moving its decision making to the central gateway manager who would provide an automated response to such requests.</w:t>
            </w:r>
          </w:p>
        </w:tc>
        <w:tc>
          <w:tcPr>
            <w:tcW w:w="2970" w:type="dxa"/>
          </w:tcPr>
          <w:p w14:paraId="1F3C128E" w14:textId="5EE5F726" w:rsidR="001C525A" w:rsidRPr="000A47DC" w:rsidRDefault="00483969" w:rsidP="005104B2">
            <w:pPr>
              <w:rPr>
                <w:rFonts w:ascii="Calibri" w:hAnsi="Calibri" w:cs="Calibri"/>
                <w:sz w:val="22"/>
                <w:szCs w:val="22"/>
              </w:rPr>
            </w:pPr>
            <w:r w:rsidRPr="000A47DC">
              <w:rPr>
                <w:rFonts w:ascii="Calibri" w:hAnsi="Calibri" w:cs="Calibri"/>
                <w:sz w:val="22"/>
                <w:szCs w:val="22"/>
              </w:rPr>
              <w:t>#22</w:t>
            </w:r>
          </w:p>
        </w:tc>
        <w:tc>
          <w:tcPr>
            <w:tcW w:w="2785" w:type="dxa"/>
          </w:tcPr>
          <w:p w14:paraId="5EA0A6C7" w14:textId="72DB1018" w:rsidR="001C525A" w:rsidRPr="000A47DC" w:rsidRDefault="001C525A" w:rsidP="005104B2">
            <w:pPr>
              <w:rPr>
                <w:rFonts w:ascii="Calibri" w:hAnsi="Calibri" w:cs="Calibri"/>
                <w:sz w:val="22"/>
                <w:szCs w:val="22"/>
              </w:rPr>
            </w:pPr>
          </w:p>
        </w:tc>
      </w:tr>
      <w:tr w:rsidR="001C525A" w:rsidRPr="000A47DC" w14:paraId="1E5080B8" w14:textId="77777777" w:rsidTr="005104B2">
        <w:tc>
          <w:tcPr>
            <w:tcW w:w="8635" w:type="dxa"/>
          </w:tcPr>
          <w:p w14:paraId="12CFF93D" w14:textId="594F03AD" w:rsidR="001C525A" w:rsidRPr="000A47DC" w:rsidRDefault="00483969" w:rsidP="005104B2">
            <w:pPr>
              <w:rPr>
                <w:rFonts w:ascii="Calibri" w:hAnsi="Calibri" w:cs="Calibri"/>
                <w:sz w:val="22"/>
                <w:szCs w:val="22"/>
              </w:rPr>
            </w:pPr>
            <w:r w:rsidRPr="000A47DC">
              <w:rPr>
                <w:rFonts w:ascii="Calibri" w:hAnsi="Calibri" w:cs="Calibri"/>
                <w:color w:val="000000"/>
                <w:sz w:val="22"/>
                <w:szCs w:val="22"/>
              </w:rPr>
              <w:t>the scope of the work it can do and recommendations it provides must both be narrow in their application yet enforceable under existing policy and contractual terms.</w:t>
            </w:r>
          </w:p>
        </w:tc>
        <w:tc>
          <w:tcPr>
            <w:tcW w:w="2970" w:type="dxa"/>
          </w:tcPr>
          <w:p w14:paraId="4F995028" w14:textId="4AD57BAC" w:rsidR="001C525A" w:rsidRPr="000A47DC" w:rsidRDefault="00483969" w:rsidP="005104B2">
            <w:pPr>
              <w:rPr>
                <w:rFonts w:ascii="Calibri" w:hAnsi="Calibri" w:cs="Calibri"/>
                <w:sz w:val="22"/>
                <w:szCs w:val="22"/>
              </w:rPr>
            </w:pPr>
            <w:r w:rsidRPr="000A47DC">
              <w:rPr>
                <w:rFonts w:ascii="Calibri" w:hAnsi="Calibri" w:cs="Calibri"/>
                <w:sz w:val="22"/>
                <w:szCs w:val="22"/>
              </w:rPr>
              <w:t>#24</w:t>
            </w:r>
          </w:p>
        </w:tc>
        <w:tc>
          <w:tcPr>
            <w:tcW w:w="2785" w:type="dxa"/>
          </w:tcPr>
          <w:p w14:paraId="47A4F4CF" w14:textId="59057090" w:rsidR="001C525A" w:rsidRPr="000A47DC" w:rsidRDefault="001C525A" w:rsidP="005104B2">
            <w:pPr>
              <w:rPr>
                <w:rFonts w:ascii="Calibri" w:hAnsi="Calibri" w:cs="Calibri"/>
                <w:sz w:val="22"/>
                <w:szCs w:val="22"/>
              </w:rPr>
            </w:pPr>
          </w:p>
        </w:tc>
      </w:tr>
      <w:tr w:rsidR="00DD1A55" w:rsidRPr="000A47DC" w14:paraId="17421B5B" w14:textId="77777777" w:rsidTr="005104B2">
        <w:tc>
          <w:tcPr>
            <w:tcW w:w="8635" w:type="dxa"/>
          </w:tcPr>
          <w:p w14:paraId="6DD10D96" w14:textId="40180F92" w:rsidR="00DD1A55" w:rsidRPr="000A47DC" w:rsidRDefault="00DD1A55" w:rsidP="005104B2">
            <w:pPr>
              <w:rPr>
                <w:rFonts w:ascii="Calibri" w:hAnsi="Calibri" w:cs="Calibri"/>
                <w:color w:val="000000"/>
                <w:sz w:val="22"/>
                <w:szCs w:val="22"/>
              </w:rPr>
            </w:pPr>
            <w:r w:rsidRPr="000A47DC">
              <w:rPr>
                <w:rFonts w:ascii="Calibri" w:hAnsi="Calibri" w:cs="Calibri"/>
                <w:color w:val="000000"/>
                <w:sz w:val="22"/>
                <w:szCs w:val="22"/>
              </w:rPr>
              <w:t>The Mechanism must not be a channel for second-guessing the EPDP recommendations/Registration Data Policy, or SSAD policy without objective evidence of legal risk, financial unsustainability, or other existential matters.</w:t>
            </w:r>
          </w:p>
        </w:tc>
        <w:tc>
          <w:tcPr>
            <w:tcW w:w="2970" w:type="dxa"/>
          </w:tcPr>
          <w:p w14:paraId="08032E3A" w14:textId="30180539" w:rsidR="00DD1A55" w:rsidRPr="000A47DC" w:rsidRDefault="00DD1A55" w:rsidP="005104B2">
            <w:pPr>
              <w:rPr>
                <w:rFonts w:ascii="Calibri" w:hAnsi="Calibri" w:cs="Calibri"/>
                <w:sz w:val="22"/>
                <w:szCs w:val="22"/>
              </w:rPr>
            </w:pPr>
            <w:r w:rsidRPr="000A47DC">
              <w:rPr>
                <w:rFonts w:ascii="Calibri" w:hAnsi="Calibri" w:cs="Calibri"/>
                <w:sz w:val="22"/>
                <w:szCs w:val="22"/>
              </w:rPr>
              <w:t>#25</w:t>
            </w:r>
            <w:r w:rsidR="00F77813" w:rsidRPr="000A47DC">
              <w:rPr>
                <w:rFonts w:ascii="Calibri" w:hAnsi="Calibri" w:cs="Calibri"/>
                <w:sz w:val="22"/>
                <w:szCs w:val="22"/>
              </w:rPr>
              <w:t>, 31</w:t>
            </w:r>
          </w:p>
        </w:tc>
        <w:tc>
          <w:tcPr>
            <w:tcW w:w="2785" w:type="dxa"/>
          </w:tcPr>
          <w:p w14:paraId="7D112EEC" w14:textId="77777777" w:rsidR="00DD1A55" w:rsidRPr="000A47DC" w:rsidRDefault="00DD1A55" w:rsidP="005104B2">
            <w:pPr>
              <w:rPr>
                <w:rFonts w:ascii="Calibri" w:hAnsi="Calibri" w:cs="Calibri"/>
                <w:sz w:val="22"/>
                <w:szCs w:val="22"/>
              </w:rPr>
            </w:pPr>
          </w:p>
        </w:tc>
      </w:tr>
      <w:tr w:rsidR="00DD1A55" w:rsidRPr="000A47DC" w14:paraId="6AFB103C" w14:textId="77777777" w:rsidTr="005104B2">
        <w:tc>
          <w:tcPr>
            <w:tcW w:w="8635" w:type="dxa"/>
          </w:tcPr>
          <w:p w14:paraId="4FED4EEB" w14:textId="253F3990" w:rsidR="00DD1A55" w:rsidRPr="000A47DC" w:rsidRDefault="00DD1A55" w:rsidP="005104B2">
            <w:pPr>
              <w:rPr>
                <w:rFonts w:ascii="Calibri" w:hAnsi="Calibri" w:cs="Calibri"/>
                <w:color w:val="000000"/>
                <w:sz w:val="22"/>
                <w:szCs w:val="22"/>
              </w:rPr>
            </w:pPr>
            <w:r w:rsidRPr="000A47DC">
              <w:rPr>
                <w:rFonts w:ascii="Calibri" w:hAnsi="Calibri" w:cs="Calibri"/>
                <w:color w:val="000000"/>
                <w:sz w:val="22"/>
                <w:szCs w:val="22"/>
              </w:rPr>
              <w:t>Add d) The ability for Contracted Parties to make additional non-public data and services available through the SSAD or otherwise in a manner consistent with applicable data protection law. The EPDP Phase 2 recommendations should not be interpreted as precluding a Contracted Party from collecting additional registration data elements from a Registrant, and disclosing that information via SSAD, or otherwise, in a manner consistent with applicable data protection laws and other regulations</w:t>
            </w:r>
          </w:p>
        </w:tc>
        <w:tc>
          <w:tcPr>
            <w:tcW w:w="2970" w:type="dxa"/>
          </w:tcPr>
          <w:p w14:paraId="5DF95C45" w14:textId="2F1C2E02" w:rsidR="00DD1A55" w:rsidRPr="000A47DC" w:rsidRDefault="00DD1A55" w:rsidP="005104B2">
            <w:pPr>
              <w:rPr>
                <w:rFonts w:ascii="Calibri" w:hAnsi="Calibri" w:cs="Calibri"/>
                <w:sz w:val="22"/>
                <w:szCs w:val="22"/>
              </w:rPr>
            </w:pPr>
            <w:r w:rsidRPr="000A47DC">
              <w:rPr>
                <w:rFonts w:ascii="Calibri" w:hAnsi="Calibri" w:cs="Calibri"/>
                <w:sz w:val="22"/>
                <w:szCs w:val="22"/>
              </w:rPr>
              <w:t>#27</w:t>
            </w:r>
          </w:p>
        </w:tc>
        <w:tc>
          <w:tcPr>
            <w:tcW w:w="2785" w:type="dxa"/>
          </w:tcPr>
          <w:p w14:paraId="4255A72C" w14:textId="77777777" w:rsidR="00DD1A55" w:rsidRPr="000A47DC" w:rsidRDefault="00DD1A55" w:rsidP="005104B2">
            <w:pPr>
              <w:rPr>
                <w:rFonts w:ascii="Calibri" w:hAnsi="Calibri" w:cs="Calibri"/>
                <w:sz w:val="22"/>
                <w:szCs w:val="22"/>
              </w:rPr>
            </w:pPr>
          </w:p>
        </w:tc>
      </w:tr>
      <w:tr w:rsidR="00DD1A55" w:rsidRPr="000A47DC" w14:paraId="107D0FFA" w14:textId="77777777" w:rsidTr="005104B2">
        <w:tc>
          <w:tcPr>
            <w:tcW w:w="8635" w:type="dxa"/>
          </w:tcPr>
          <w:p w14:paraId="35EF3916" w14:textId="77F964EC" w:rsidR="00DD1A55" w:rsidRPr="000A47DC" w:rsidRDefault="00DD1A55" w:rsidP="005104B2">
            <w:pPr>
              <w:rPr>
                <w:rFonts w:ascii="Calibri" w:hAnsi="Calibri" w:cs="Calibri"/>
                <w:color w:val="000000"/>
                <w:sz w:val="22"/>
                <w:szCs w:val="22"/>
              </w:rPr>
            </w:pPr>
            <w:r w:rsidRPr="000A47DC">
              <w:rPr>
                <w:rFonts w:ascii="Calibri" w:hAnsi="Calibri" w:cs="Calibri"/>
                <w:color w:val="000000"/>
                <w:sz w:val="22"/>
                <w:szCs w:val="22"/>
              </w:rPr>
              <w:t>As decisions by the mechanism may result in increased automation of disclosure, there needs to be a clear definition of which parties remain responsible for the disclosure decisions</w:t>
            </w:r>
          </w:p>
        </w:tc>
        <w:tc>
          <w:tcPr>
            <w:tcW w:w="2970" w:type="dxa"/>
          </w:tcPr>
          <w:p w14:paraId="356DDE5B" w14:textId="6F8748DE" w:rsidR="00DD1A55" w:rsidRPr="000A47DC" w:rsidRDefault="00DD1A55" w:rsidP="005104B2">
            <w:pPr>
              <w:rPr>
                <w:rFonts w:ascii="Calibri" w:hAnsi="Calibri" w:cs="Calibri"/>
                <w:sz w:val="22"/>
                <w:szCs w:val="22"/>
              </w:rPr>
            </w:pPr>
            <w:r w:rsidRPr="000A47DC">
              <w:rPr>
                <w:rFonts w:ascii="Calibri" w:hAnsi="Calibri" w:cs="Calibri"/>
                <w:sz w:val="22"/>
                <w:szCs w:val="22"/>
              </w:rPr>
              <w:t>#28</w:t>
            </w:r>
          </w:p>
        </w:tc>
        <w:tc>
          <w:tcPr>
            <w:tcW w:w="2785" w:type="dxa"/>
          </w:tcPr>
          <w:p w14:paraId="52F808F9" w14:textId="77777777" w:rsidR="00DD1A55" w:rsidRPr="000A47DC" w:rsidRDefault="00DD1A55" w:rsidP="005104B2">
            <w:pPr>
              <w:rPr>
                <w:rFonts w:ascii="Calibri" w:hAnsi="Calibri" w:cs="Calibri"/>
                <w:sz w:val="22"/>
                <w:szCs w:val="22"/>
              </w:rPr>
            </w:pPr>
          </w:p>
        </w:tc>
      </w:tr>
      <w:tr w:rsidR="00071D1D" w:rsidRPr="000A47DC" w14:paraId="753AFA7F" w14:textId="77777777" w:rsidTr="005104B2">
        <w:tc>
          <w:tcPr>
            <w:tcW w:w="8635" w:type="dxa"/>
          </w:tcPr>
          <w:p w14:paraId="23F01215" w14:textId="72A8C67B" w:rsidR="00071D1D" w:rsidRPr="000A47DC" w:rsidRDefault="00071D1D" w:rsidP="005104B2">
            <w:pPr>
              <w:rPr>
                <w:rFonts w:ascii="Calibri" w:hAnsi="Calibri" w:cs="Calibri"/>
                <w:color w:val="000000"/>
                <w:sz w:val="22"/>
                <w:szCs w:val="22"/>
              </w:rPr>
            </w:pPr>
            <w:r w:rsidRPr="000A47DC">
              <w:rPr>
                <w:rFonts w:ascii="Calibri" w:hAnsi="Calibri" w:cs="Calibri"/>
                <w:color w:val="000000"/>
                <w:sz w:val="22"/>
                <w:szCs w:val="22"/>
              </w:rPr>
              <w:t>Recommendations stemming from this Mechanism MUST be focused on implementation only.</w:t>
            </w:r>
          </w:p>
        </w:tc>
        <w:tc>
          <w:tcPr>
            <w:tcW w:w="2970" w:type="dxa"/>
          </w:tcPr>
          <w:p w14:paraId="4BF287D2" w14:textId="7A532537" w:rsidR="00071D1D" w:rsidRPr="000A47DC" w:rsidRDefault="00071D1D" w:rsidP="005104B2">
            <w:pPr>
              <w:rPr>
                <w:rFonts w:ascii="Calibri" w:hAnsi="Calibri" w:cs="Calibri"/>
                <w:sz w:val="22"/>
                <w:szCs w:val="22"/>
              </w:rPr>
            </w:pPr>
            <w:r w:rsidRPr="000A47DC">
              <w:rPr>
                <w:rFonts w:ascii="Calibri" w:hAnsi="Calibri" w:cs="Calibri"/>
                <w:sz w:val="22"/>
                <w:szCs w:val="22"/>
              </w:rPr>
              <w:t>#30</w:t>
            </w:r>
          </w:p>
        </w:tc>
        <w:tc>
          <w:tcPr>
            <w:tcW w:w="2785" w:type="dxa"/>
          </w:tcPr>
          <w:p w14:paraId="3251551D" w14:textId="77777777" w:rsidR="00071D1D" w:rsidRPr="000A47DC" w:rsidRDefault="00071D1D" w:rsidP="005104B2">
            <w:pPr>
              <w:rPr>
                <w:rFonts w:ascii="Calibri" w:hAnsi="Calibri" w:cs="Calibri"/>
                <w:sz w:val="22"/>
                <w:szCs w:val="22"/>
              </w:rPr>
            </w:pPr>
          </w:p>
        </w:tc>
      </w:tr>
      <w:tr w:rsidR="00071D1D" w:rsidRPr="000A47DC" w14:paraId="38B11A91" w14:textId="77777777" w:rsidTr="005104B2">
        <w:tc>
          <w:tcPr>
            <w:tcW w:w="8635" w:type="dxa"/>
          </w:tcPr>
          <w:p w14:paraId="24AEC2CB" w14:textId="7D551067" w:rsidR="00071D1D" w:rsidRPr="000A47DC" w:rsidRDefault="00071D1D" w:rsidP="005104B2">
            <w:pPr>
              <w:rPr>
                <w:rFonts w:ascii="Calibri" w:hAnsi="Calibri" w:cs="Calibri"/>
                <w:color w:val="000000"/>
                <w:sz w:val="22"/>
                <w:szCs w:val="22"/>
              </w:rPr>
            </w:pPr>
            <w:r w:rsidRPr="000A47DC">
              <w:rPr>
                <w:rFonts w:ascii="Calibri" w:hAnsi="Calibri" w:cs="Calibri"/>
                <w:color w:val="000000"/>
                <w:sz w:val="22"/>
                <w:szCs w:val="22"/>
              </w:rPr>
              <w:t>SLA will need review and modification as further experience is gathered. However, we see no need to establish ongoing review of the categories of disclosure requests which may be automated, nor will we need modifications to user categories and disclosure rationales.</w:t>
            </w:r>
          </w:p>
        </w:tc>
        <w:tc>
          <w:tcPr>
            <w:tcW w:w="2970" w:type="dxa"/>
          </w:tcPr>
          <w:p w14:paraId="5F73BC36" w14:textId="781896AF" w:rsidR="00071D1D" w:rsidRPr="000A47DC" w:rsidRDefault="00071D1D" w:rsidP="005104B2">
            <w:pPr>
              <w:rPr>
                <w:rFonts w:ascii="Calibri" w:hAnsi="Calibri" w:cs="Calibri"/>
                <w:sz w:val="22"/>
                <w:szCs w:val="22"/>
              </w:rPr>
            </w:pPr>
            <w:r w:rsidRPr="000A47DC">
              <w:rPr>
                <w:rFonts w:ascii="Calibri" w:hAnsi="Calibri" w:cs="Calibri"/>
                <w:sz w:val="22"/>
                <w:szCs w:val="22"/>
              </w:rPr>
              <w:t>#30</w:t>
            </w:r>
          </w:p>
        </w:tc>
        <w:tc>
          <w:tcPr>
            <w:tcW w:w="2785" w:type="dxa"/>
          </w:tcPr>
          <w:p w14:paraId="760854FB" w14:textId="77777777" w:rsidR="00071D1D" w:rsidRPr="000A47DC" w:rsidRDefault="00071D1D" w:rsidP="005104B2">
            <w:pPr>
              <w:rPr>
                <w:rFonts w:ascii="Calibri" w:hAnsi="Calibri" w:cs="Calibri"/>
                <w:sz w:val="22"/>
                <w:szCs w:val="22"/>
              </w:rPr>
            </w:pPr>
          </w:p>
        </w:tc>
      </w:tr>
      <w:tr w:rsidR="00F77813" w:rsidRPr="000A47DC" w14:paraId="3F012AB2" w14:textId="77777777" w:rsidTr="005104B2">
        <w:tc>
          <w:tcPr>
            <w:tcW w:w="8635" w:type="dxa"/>
          </w:tcPr>
          <w:p w14:paraId="74820CB9" w14:textId="2ACFC49C" w:rsidR="00F77813" w:rsidRPr="000A47DC" w:rsidRDefault="00F77813" w:rsidP="005104B2">
            <w:pPr>
              <w:rPr>
                <w:rFonts w:ascii="Calibri" w:hAnsi="Calibri" w:cs="Calibri"/>
                <w:color w:val="000000"/>
                <w:sz w:val="22"/>
                <w:szCs w:val="22"/>
              </w:rPr>
            </w:pPr>
            <w:r w:rsidRPr="000A47DC">
              <w:rPr>
                <w:rFonts w:ascii="Calibri" w:hAnsi="Calibri" w:cs="Calibri"/>
                <w:color w:val="000000"/>
                <w:sz w:val="22"/>
                <w:szCs w:val="22"/>
              </w:rPr>
              <w:t>the increased centralization of disclosure decision-making be explicitly added to the list of responsibilities of the Mechanism</w:t>
            </w:r>
          </w:p>
        </w:tc>
        <w:tc>
          <w:tcPr>
            <w:tcW w:w="2970" w:type="dxa"/>
          </w:tcPr>
          <w:p w14:paraId="3C2EFFE8" w14:textId="23B3A3A7" w:rsidR="00F77813" w:rsidRPr="000A47DC" w:rsidRDefault="00F77813" w:rsidP="005104B2">
            <w:pPr>
              <w:rPr>
                <w:rFonts w:ascii="Calibri" w:hAnsi="Calibri" w:cs="Calibri"/>
                <w:sz w:val="22"/>
                <w:szCs w:val="22"/>
              </w:rPr>
            </w:pPr>
            <w:r w:rsidRPr="000A47DC">
              <w:rPr>
                <w:rFonts w:ascii="Calibri" w:hAnsi="Calibri" w:cs="Calibri"/>
                <w:sz w:val="22"/>
                <w:szCs w:val="22"/>
              </w:rPr>
              <w:t>#33</w:t>
            </w:r>
          </w:p>
        </w:tc>
        <w:tc>
          <w:tcPr>
            <w:tcW w:w="2785" w:type="dxa"/>
          </w:tcPr>
          <w:p w14:paraId="721C33EE" w14:textId="77777777" w:rsidR="00F77813" w:rsidRPr="000A47DC" w:rsidRDefault="00F77813" w:rsidP="005104B2">
            <w:pPr>
              <w:rPr>
                <w:rFonts w:ascii="Calibri" w:hAnsi="Calibri" w:cs="Calibri"/>
                <w:sz w:val="22"/>
                <w:szCs w:val="22"/>
              </w:rPr>
            </w:pPr>
          </w:p>
        </w:tc>
      </w:tr>
    </w:tbl>
    <w:p w14:paraId="46DA2E7E" w14:textId="77777777" w:rsidR="00151618" w:rsidRPr="000A47DC" w:rsidRDefault="00151618" w:rsidP="00151618">
      <w:pPr>
        <w:rPr>
          <w:rFonts w:ascii="Calibri" w:hAnsi="Calibri" w:cs="Calibri"/>
          <w:b/>
          <w:sz w:val="22"/>
          <w:szCs w:val="22"/>
        </w:rPr>
      </w:pPr>
    </w:p>
    <w:tbl>
      <w:tblPr>
        <w:tblStyle w:val="TableGrid"/>
        <w:tblW w:w="0" w:type="auto"/>
        <w:tblLook w:val="04A0" w:firstRow="1" w:lastRow="0" w:firstColumn="1" w:lastColumn="0" w:noHBand="0" w:noVBand="1"/>
      </w:tblPr>
      <w:tblGrid>
        <w:gridCol w:w="8635"/>
        <w:gridCol w:w="2970"/>
        <w:gridCol w:w="2785"/>
      </w:tblGrid>
      <w:tr w:rsidR="001F4D8D" w:rsidRPr="000A47DC" w14:paraId="56DFD01D" w14:textId="77777777" w:rsidTr="005104B2">
        <w:tc>
          <w:tcPr>
            <w:tcW w:w="8635" w:type="dxa"/>
            <w:shd w:val="clear" w:color="auto" w:fill="002060"/>
          </w:tcPr>
          <w:p w14:paraId="7BC612B0" w14:textId="391BFFF8" w:rsidR="001F4D8D" w:rsidRPr="000A47DC" w:rsidRDefault="001F4D8D" w:rsidP="005104B2">
            <w:pPr>
              <w:rPr>
                <w:rFonts w:ascii="Calibri" w:hAnsi="Calibri" w:cs="Calibri"/>
                <w:b/>
                <w:sz w:val="22"/>
                <w:szCs w:val="22"/>
              </w:rPr>
            </w:pPr>
            <w:r w:rsidRPr="000A47DC">
              <w:rPr>
                <w:rFonts w:ascii="Calibri" w:hAnsi="Calibri" w:cs="Calibri"/>
                <w:b/>
                <w:sz w:val="22"/>
                <w:szCs w:val="22"/>
              </w:rPr>
              <w:t xml:space="preserve">Suggestions – </w:t>
            </w:r>
            <w:r w:rsidR="00483969" w:rsidRPr="000A47DC">
              <w:rPr>
                <w:rFonts w:ascii="Calibri" w:hAnsi="Calibri" w:cs="Calibri"/>
                <w:b/>
                <w:sz w:val="22"/>
                <w:szCs w:val="22"/>
              </w:rPr>
              <w:t>Resources</w:t>
            </w:r>
          </w:p>
        </w:tc>
        <w:tc>
          <w:tcPr>
            <w:tcW w:w="2970" w:type="dxa"/>
            <w:shd w:val="clear" w:color="auto" w:fill="002060"/>
          </w:tcPr>
          <w:p w14:paraId="78C7E6B1" w14:textId="77777777" w:rsidR="001F4D8D" w:rsidRPr="000A47DC" w:rsidRDefault="001F4D8D" w:rsidP="005104B2">
            <w:pPr>
              <w:rPr>
                <w:rFonts w:ascii="Calibri" w:hAnsi="Calibri" w:cs="Calibri"/>
                <w:b/>
                <w:sz w:val="22"/>
                <w:szCs w:val="22"/>
              </w:rPr>
            </w:pPr>
            <w:r w:rsidRPr="000A47DC">
              <w:rPr>
                <w:rFonts w:ascii="Calibri" w:hAnsi="Calibri" w:cs="Calibri"/>
                <w:b/>
                <w:sz w:val="22"/>
                <w:szCs w:val="22"/>
              </w:rPr>
              <w:t>Corresponding PCRT Comment #</w:t>
            </w:r>
          </w:p>
        </w:tc>
        <w:tc>
          <w:tcPr>
            <w:tcW w:w="2785" w:type="dxa"/>
            <w:shd w:val="clear" w:color="auto" w:fill="002060"/>
          </w:tcPr>
          <w:p w14:paraId="27E9FEC7" w14:textId="44EA5A7A" w:rsidR="001F4D8D" w:rsidRPr="000A47DC" w:rsidRDefault="000A47DC" w:rsidP="005104B2">
            <w:pPr>
              <w:rPr>
                <w:rFonts w:ascii="Calibri" w:hAnsi="Calibri" w:cs="Calibri"/>
                <w:b/>
                <w:sz w:val="22"/>
                <w:szCs w:val="22"/>
              </w:rPr>
            </w:pPr>
            <w:r>
              <w:rPr>
                <w:rFonts w:ascii="Calibri" w:hAnsi="Calibri" w:cs="Calibri"/>
                <w:b/>
                <w:sz w:val="22"/>
                <w:szCs w:val="22"/>
              </w:rPr>
              <w:t>EPDP Team Support for suggestion (Y/N)</w:t>
            </w:r>
          </w:p>
        </w:tc>
      </w:tr>
      <w:tr w:rsidR="001F4D8D" w:rsidRPr="000A47DC" w14:paraId="6B96B8EE" w14:textId="77777777" w:rsidTr="005104B2">
        <w:tc>
          <w:tcPr>
            <w:tcW w:w="8635" w:type="dxa"/>
          </w:tcPr>
          <w:p w14:paraId="633FCEBC" w14:textId="2BF03FD3" w:rsidR="001F4D8D" w:rsidRPr="000A47DC" w:rsidRDefault="00483969" w:rsidP="005104B2">
            <w:pPr>
              <w:rPr>
                <w:rFonts w:ascii="Calibri" w:hAnsi="Calibri" w:cs="Calibri"/>
                <w:sz w:val="22"/>
                <w:szCs w:val="22"/>
              </w:rPr>
            </w:pPr>
            <w:r w:rsidRPr="000A47DC">
              <w:rPr>
                <w:rFonts w:ascii="Calibri" w:hAnsi="Calibri" w:cs="Calibri"/>
                <w:color w:val="000000"/>
                <w:sz w:val="22"/>
                <w:szCs w:val="22"/>
              </w:rPr>
              <w:t>It should have sufficient resources to obtain the legal clarity required to justify the centralization of more use cases over time</w:t>
            </w:r>
          </w:p>
        </w:tc>
        <w:tc>
          <w:tcPr>
            <w:tcW w:w="2970" w:type="dxa"/>
          </w:tcPr>
          <w:p w14:paraId="21EAF936" w14:textId="2CCD265B" w:rsidR="001F4D8D" w:rsidRPr="000A47DC" w:rsidRDefault="001F4D8D" w:rsidP="005104B2">
            <w:pPr>
              <w:rPr>
                <w:rFonts w:ascii="Calibri" w:hAnsi="Calibri" w:cs="Calibri"/>
                <w:sz w:val="22"/>
                <w:szCs w:val="22"/>
              </w:rPr>
            </w:pPr>
            <w:r w:rsidRPr="000A47DC">
              <w:rPr>
                <w:rFonts w:ascii="Calibri" w:hAnsi="Calibri" w:cs="Calibri"/>
                <w:sz w:val="22"/>
                <w:szCs w:val="22"/>
              </w:rPr>
              <w:t>#</w:t>
            </w:r>
            <w:r w:rsidR="00483969" w:rsidRPr="000A47DC">
              <w:rPr>
                <w:rFonts w:ascii="Calibri" w:hAnsi="Calibri" w:cs="Calibri"/>
                <w:sz w:val="22"/>
                <w:szCs w:val="22"/>
              </w:rPr>
              <w:t>13</w:t>
            </w:r>
            <w:r w:rsidR="00DD1A55" w:rsidRPr="000A47DC">
              <w:rPr>
                <w:rFonts w:ascii="Calibri" w:hAnsi="Calibri" w:cs="Calibri"/>
                <w:sz w:val="22"/>
                <w:szCs w:val="22"/>
              </w:rPr>
              <w:t>, 25</w:t>
            </w:r>
            <w:r w:rsidR="00071D1D" w:rsidRPr="000A47DC">
              <w:rPr>
                <w:rFonts w:ascii="Calibri" w:hAnsi="Calibri" w:cs="Calibri"/>
                <w:sz w:val="22"/>
                <w:szCs w:val="22"/>
              </w:rPr>
              <w:t>, 29</w:t>
            </w:r>
            <w:r w:rsidR="00F77813" w:rsidRPr="000A47DC">
              <w:rPr>
                <w:rFonts w:ascii="Calibri" w:hAnsi="Calibri" w:cs="Calibri"/>
                <w:sz w:val="22"/>
                <w:szCs w:val="22"/>
              </w:rPr>
              <w:t>, 33</w:t>
            </w:r>
            <w:r w:rsidRPr="000A47DC">
              <w:rPr>
                <w:rFonts w:ascii="Calibri" w:hAnsi="Calibri" w:cs="Calibri"/>
                <w:sz w:val="22"/>
                <w:szCs w:val="22"/>
              </w:rPr>
              <w:t xml:space="preserve"> </w:t>
            </w:r>
          </w:p>
        </w:tc>
        <w:tc>
          <w:tcPr>
            <w:tcW w:w="2785" w:type="dxa"/>
          </w:tcPr>
          <w:p w14:paraId="4E674A35" w14:textId="40BC2A4A" w:rsidR="001F4D8D" w:rsidRPr="000A47DC" w:rsidRDefault="001F4D8D" w:rsidP="005104B2">
            <w:pPr>
              <w:rPr>
                <w:rFonts w:ascii="Calibri" w:hAnsi="Calibri" w:cs="Calibri"/>
                <w:sz w:val="22"/>
                <w:szCs w:val="22"/>
              </w:rPr>
            </w:pPr>
          </w:p>
        </w:tc>
      </w:tr>
    </w:tbl>
    <w:p w14:paraId="0DFCA585" w14:textId="2ADFCEFC" w:rsidR="00404709" w:rsidRPr="000A47DC" w:rsidRDefault="00404709">
      <w:pPr>
        <w:rPr>
          <w:rFonts w:ascii="Calibri" w:hAnsi="Calibri" w:cs="Calibri"/>
          <w:sz w:val="22"/>
          <w:szCs w:val="22"/>
        </w:rPr>
      </w:pPr>
    </w:p>
    <w:tbl>
      <w:tblPr>
        <w:tblStyle w:val="TableGrid"/>
        <w:tblW w:w="0" w:type="auto"/>
        <w:tblLook w:val="04A0" w:firstRow="1" w:lastRow="0" w:firstColumn="1" w:lastColumn="0" w:noHBand="0" w:noVBand="1"/>
      </w:tblPr>
      <w:tblGrid>
        <w:gridCol w:w="8635"/>
        <w:gridCol w:w="2970"/>
        <w:gridCol w:w="2785"/>
      </w:tblGrid>
      <w:tr w:rsidR="001F4D8D" w:rsidRPr="000A47DC" w14:paraId="00A2BBFE" w14:textId="77777777" w:rsidTr="005104B2">
        <w:tc>
          <w:tcPr>
            <w:tcW w:w="8635" w:type="dxa"/>
            <w:shd w:val="clear" w:color="auto" w:fill="002060"/>
          </w:tcPr>
          <w:p w14:paraId="136553A0" w14:textId="02379208" w:rsidR="001F4D8D" w:rsidRPr="000A47DC" w:rsidRDefault="001F4D8D" w:rsidP="005104B2">
            <w:pPr>
              <w:rPr>
                <w:rFonts w:ascii="Calibri" w:hAnsi="Calibri" w:cs="Calibri"/>
                <w:b/>
                <w:sz w:val="22"/>
                <w:szCs w:val="22"/>
              </w:rPr>
            </w:pPr>
            <w:r w:rsidRPr="000A47DC">
              <w:rPr>
                <w:rFonts w:ascii="Calibri" w:hAnsi="Calibri" w:cs="Calibri"/>
                <w:b/>
                <w:sz w:val="22"/>
                <w:szCs w:val="22"/>
              </w:rPr>
              <w:t>Suggestions – Decision Making</w:t>
            </w:r>
          </w:p>
        </w:tc>
        <w:tc>
          <w:tcPr>
            <w:tcW w:w="2970" w:type="dxa"/>
            <w:shd w:val="clear" w:color="auto" w:fill="002060"/>
          </w:tcPr>
          <w:p w14:paraId="3145EFE0" w14:textId="77777777" w:rsidR="001F4D8D" w:rsidRPr="000A47DC" w:rsidRDefault="001F4D8D" w:rsidP="005104B2">
            <w:pPr>
              <w:rPr>
                <w:rFonts w:ascii="Calibri" w:hAnsi="Calibri" w:cs="Calibri"/>
                <w:b/>
                <w:sz w:val="22"/>
                <w:szCs w:val="22"/>
              </w:rPr>
            </w:pPr>
            <w:r w:rsidRPr="000A47DC">
              <w:rPr>
                <w:rFonts w:ascii="Calibri" w:hAnsi="Calibri" w:cs="Calibri"/>
                <w:b/>
                <w:sz w:val="22"/>
                <w:szCs w:val="22"/>
              </w:rPr>
              <w:t>Corresponding PCRT Comment #</w:t>
            </w:r>
          </w:p>
        </w:tc>
        <w:tc>
          <w:tcPr>
            <w:tcW w:w="2785" w:type="dxa"/>
            <w:shd w:val="clear" w:color="auto" w:fill="002060"/>
          </w:tcPr>
          <w:p w14:paraId="63103A8A" w14:textId="09181D27" w:rsidR="001F4D8D" w:rsidRPr="000A47DC" w:rsidRDefault="000A47DC" w:rsidP="005104B2">
            <w:pPr>
              <w:rPr>
                <w:rFonts w:ascii="Calibri" w:hAnsi="Calibri" w:cs="Calibri"/>
                <w:b/>
                <w:sz w:val="22"/>
                <w:szCs w:val="22"/>
              </w:rPr>
            </w:pPr>
            <w:r>
              <w:rPr>
                <w:rFonts w:ascii="Calibri" w:hAnsi="Calibri" w:cs="Calibri"/>
                <w:b/>
                <w:sz w:val="22"/>
                <w:szCs w:val="22"/>
              </w:rPr>
              <w:t>EPDP Team Support for suggestion (Y/N)</w:t>
            </w:r>
          </w:p>
        </w:tc>
      </w:tr>
      <w:tr w:rsidR="001F4D8D" w:rsidRPr="000A47DC" w14:paraId="67A2AF76" w14:textId="77777777" w:rsidTr="005104B2">
        <w:tc>
          <w:tcPr>
            <w:tcW w:w="8635" w:type="dxa"/>
          </w:tcPr>
          <w:p w14:paraId="7E12BC69" w14:textId="40CA9720" w:rsidR="001F4D8D" w:rsidRPr="000A47DC" w:rsidRDefault="001F4D8D" w:rsidP="005104B2">
            <w:pPr>
              <w:rPr>
                <w:rFonts w:ascii="Calibri" w:hAnsi="Calibri" w:cs="Calibri"/>
                <w:sz w:val="22"/>
                <w:szCs w:val="22"/>
              </w:rPr>
            </w:pPr>
            <w:r w:rsidRPr="000A47DC">
              <w:rPr>
                <w:rFonts w:ascii="Calibri" w:hAnsi="Calibri" w:cs="Calibri"/>
                <w:color w:val="000000"/>
                <w:sz w:val="22"/>
                <w:szCs w:val="22"/>
              </w:rPr>
              <w:t>Decisions should not be subject to reversal by the GNSO</w:t>
            </w:r>
          </w:p>
        </w:tc>
        <w:tc>
          <w:tcPr>
            <w:tcW w:w="2970" w:type="dxa"/>
          </w:tcPr>
          <w:p w14:paraId="2FD310BE" w14:textId="529B9F66" w:rsidR="001F4D8D" w:rsidRPr="000A47DC" w:rsidRDefault="001F4D8D" w:rsidP="005104B2">
            <w:pPr>
              <w:rPr>
                <w:rFonts w:ascii="Calibri" w:hAnsi="Calibri" w:cs="Calibri"/>
                <w:sz w:val="22"/>
                <w:szCs w:val="22"/>
              </w:rPr>
            </w:pPr>
            <w:r w:rsidRPr="000A47DC">
              <w:rPr>
                <w:rFonts w:ascii="Calibri" w:hAnsi="Calibri" w:cs="Calibri"/>
                <w:sz w:val="22"/>
                <w:szCs w:val="22"/>
              </w:rPr>
              <w:t>#11, 12</w:t>
            </w:r>
            <w:r w:rsidR="00483969" w:rsidRPr="000A47DC">
              <w:rPr>
                <w:rFonts w:ascii="Calibri" w:hAnsi="Calibri" w:cs="Calibri"/>
                <w:sz w:val="22"/>
                <w:szCs w:val="22"/>
              </w:rPr>
              <w:t>, 14, 15, 16, 17, 18, 19, 20, 21</w:t>
            </w:r>
          </w:p>
        </w:tc>
        <w:tc>
          <w:tcPr>
            <w:tcW w:w="2785" w:type="dxa"/>
          </w:tcPr>
          <w:p w14:paraId="4F360D22" w14:textId="0DAF3AE4" w:rsidR="001F4D8D" w:rsidRPr="000A47DC" w:rsidRDefault="001F4D8D" w:rsidP="005104B2">
            <w:pPr>
              <w:rPr>
                <w:rFonts w:ascii="Calibri" w:hAnsi="Calibri" w:cs="Calibri"/>
                <w:sz w:val="22"/>
                <w:szCs w:val="22"/>
              </w:rPr>
            </w:pPr>
          </w:p>
        </w:tc>
      </w:tr>
      <w:tr w:rsidR="001F4D8D" w:rsidRPr="000A47DC" w14:paraId="3F72BCBC" w14:textId="77777777" w:rsidTr="005104B2">
        <w:tc>
          <w:tcPr>
            <w:tcW w:w="8635" w:type="dxa"/>
          </w:tcPr>
          <w:p w14:paraId="67322119" w14:textId="3F808BBA" w:rsidR="001F4D8D" w:rsidRPr="000A47DC" w:rsidRDefault="00483969" w:rsidP="005104B2">
            <w:pPr>
              <w:rPr>
                <w:rFonts w:ascii="Calibri" w:hAnsi="Calibri" w:cs="Calibri"/>
                <w:sz w:val="22"/>
                <w:szCs w:val="22"/>
              </w:rPr>
            </w:pPr>
            <w:r w:rsidRPr="000A47DC">
              <w:rPr>
                <w:rFonts w:ascii="Calibri" w:hAnsi="Calibri" w:cs="Calibri"/>
                <w:color w:val="000000"/>
                <w:sz w:val="22"/>
                <w:szCs w:val="22"/>
              </w:rPr>
              <w:t>The mechanism must have the authority (with the support of contracted party representatives) to have new classes of automation introduced into the SSAD without referring the matter to the GNSO Council which only has jurisdiction over policy matters (and this present policy recommendation will already allow the creation of new classes of automated responses).</w:t>
            </w:r>
          </w:p>
        </w:tc>
        <w:tc>
          <w:tcPr>
            <w:tcW w:w="2970" w:type="dxa"/>
          </w:tcPr>
          <w:p w14:paraId="092CB71E" w14:textId="2D7E0F7B" w:rsidR="001F4D8D" w:rsidRPr="000A47DC" w:rsidRDefault="00483969" w:rsidP="005104B2">
            <w:pPr>
              <w:rPr>
                <w:rFonts w:ascii="Calibri" w:hAnsi="Calibri" w:cs="Calibri"/>
                <w:sz w:val="22"/>
                <w:szCs w:val="22"/>
              </w:rPr>
            </w:pPr>
            <w:r w:rsidRPr="000A47DC">
              <w:rPr>
                <w:rFonts w:ascii="Calibri" w:hAnsi="Calibri" w:cs="Calibri"/>
                <w:sz w:val="22"/>
                <w:szCs w:val="22"/>
              </w:rPr>
              <w:t>#22</w:t>
            </w:r>
          </w:p>
        </w:tc>
        <w:tc>
          <w:tcPr>
            <w:tcW w:w="2785" w:type="dxa"/>
          </w:tcPr>
          <w:p w14:paraId="1379B71E" w14:textId="167306C9" w:rsidR="001F4D8D" w:rsidRPr="000A47DC" w:rsidRDefault="001F4D8D" w:rsidP="005104B2">
            <w:pPr>
              <w:rPr>
                <w:rFonts w:ascii="Calibri" w:hAnsi="Calibri" w:cs="Calibri"/>
                <w:sz w:val="22"/>
                <w:szCs w:val="22"/>
              </w:rPr>
            </w:pPr>
          </w:p>
        </w:tc>
      </w:tr>
      <w:tr w:rsidR="001F4D8D" w:rsidRPr="000A47DC" w14:paraId="3B81F0B8" w14:textId="77777777" w:rsidTr="005104B2">
        <w:tc>
          <w:tcPr>
            <w:tcW w:w="8635" w:type="dxa"/>
          </w:tcPr>
          <w:p w14:paraId="2FBF5309" w14:textId="72E5862E" w:rsidR="001F4D8D" w:rsidRPr="000A47DC" w:rsidRDefault="00483969" w:rsidP="005104B2">
            <w:pPr>
              <w:rPr>
                <w:rFonts w:ascii="Calibri" w:hAnsi="Calibri" w:cs="Calibri"/>
                <w:sz w:val="22"/>
                <w:szCs w:val="22"/>
              </w:rPr>
            </w:pPr>
            <w:r w:rsidRPr="000A47DC">
              <w:rPr>
                <w:rFonts w:ascii="Calibri" w:hAnsi="Calibri" w:cs="Calibri"/>
                <w:color w:val="000000"/>
                <w:sz w:val="22"/>
                <w:szCs w:val="22"/>
              </w:rPr>
              <w:lastRenderedPageBreak/>
              <w:t xml:space="preserve">Decisions that result from this mechanism must not be subject to a vote from the GNSO Council that does not include the Advisory Committees.  </w:t>
            </w:r>
          </w:p>
        </w:tc>
        <w:tc>
          <w:tcPr>
            <w:tcW w:w="2970" w:type="dxa"/>
          </w:tcPr>
          <w:p w14:paraId="59E158D5" w14:textId="747E3E70" w:rsidR="001F4D8D" w:rsidRPr="000A47DC" w:rsidRDefault="00483969" w:rsidP="005104B2">
            <w:pPr>
              <w:rPr>
                <w:rFonts w:ascii="Calibri" w:hAnsi="Calibri" w:cs="Calibri"/>
                <w:sz w:val="22"/>
                <w:szCs w:val="22"/>
              </w:rPr>
            </w:pPr>
            <w:r w:rsidRPr="000A47DC">
              <w:rPr>
                <w:rFonts w:ascii="Calibri" w:hAnsi="Calibri" w:cs="Calibri"/>
                <w:sz w:val="22"/>
                <w:szCs w:val="22"/>
              </w:rPr>
              <w:t>#23</w:t>
            </w:r>
          </w:p>
        </w:tc>
        <w:tc>
          <w:tcPr>
            <w:tcW w:w="2785" w:type="dxa"/>
          </w:tcPr>
          <w:p w14:paraId="3519D80B" w14:textId="55D80B36" w:rsidR="001F4D8D" w:rsidRPr="000A47DC" w:rsidRDefault="001F4D8D" w:rsidP="005104B2">
            <w:pPr>
              <w:rPr>
                <w:rFonts w:ascii="Calibri" w:hAnsi="Calibri" w:cs="Calibri"/>
                <w:sz w:val="22"/>
                <w:szCs w:val="22"/>
              </w:rPr>
            </w:pPr>
          </w:p>
        </w:tc>
      </w:tr>
      <w:tr w:rsidR="001F4D8D" w:rsidRPr="000A47DC" w14:paraId="0036E95D" w14:textId="77777777" w:rsidTr="005104B2">
        <w:tc>
          <w:tcPr>
            <w:tcW w:w="8635" w:type="dxa"/>
          </w:tcPr>
          <w:p w14:paraId="02FC8AB4" w14:textId="4EDACD20" w:rsidR="001F4D8D" w:rsidRPr="000A47DC" w:rsidRDefault="00071D1D" w:rsidP="005104B2">
            <w:pPr>
              <w:rPr>
                <w:rFonts w:ascii="Calibri" w:hAnsi="Calibri" w:cs="Calibri"/>
                <w:sz w:val="22"/>
                <w:szCs w:val="22"/>
              </w:rPr>
            </w:pPr>
            <w:r w:rsidRPr="000A47DC">
              <w:rPr>
                <w:rFonts w:ascii="Calibri" w:hAnsi="Calibri" w:cs="Calibri"/>
                <w:color w:val="000000"/>
                <w:sz w:val="22"/>
                <w:szCs w:val="22"/>
              </w:rPr>
              <w:t xml:space="preserve">This Mechanism cannot create new policies or contractual obligations on Contracted Parties, and MUST instead be referred to the legitimate and relevant </w:t>
            </w:r>
            <w:r w:rsidR="00F77813" w:rsidRPr="000A47DC">
              <w:rPr>
                <w:rFonts w:ascii="Calibri" w:hAnsi="Calibri" w:cs="Calibri"/>
                <w:color w:val="000000"/>
                <w:sz w:val="22"/>
                <w:szCs w:val="22"/>
              </w:rPr>
              <w:t xml:space="preserve">GNSO </w:t>
            </w:r>
            <w:r w:rsidRPr="000A47DC">
              <w:rPr>
                <w:rFonts w:ascii="Calibri" w:hAnsi="Calibri" w:cs="Calibri"/>
                <w:color w:val="000000"/>
                <w:sz w:val="22"/>
                <w:szCs w:val="22"/>
              </w:rPr>
              <w:t xml:space="preserve">Policy Development Process or direct contract negotiation with ICANN Org. </w:t>
            </w:r>
          </w:p>
        </w:tc>
        <w:tc>
          <w:tcPr>
            <w:tcW w:w="2970" w:type="dxa"/>
          </w:tcPr>
          <w:p w14:paraId="2D61D649" w14:textId="62E1C4DF" w:rsidR="001F4D8D" w:rsidRPr="000A47DC" w:rsidRDefault="00071D1D" w:rsidP="005104B2">
            <w:pPr>
              <w:rPr>
                <w:rFonts w:ascii="Calibri" w:hAnsi="Calibri" w:cs="Calibri"/>
                <w:sz w:val="22"/>
                <w:szCs w:val="22"/>
              </w:rPr>
            </w:pPr>
            <w:r w:rsidRPr="000A47DC">
              <w:rPr>
                <w:rFonts w:ascii="Calibri" w:hAnsi="Calibri" w:cs="Calibri"/>
                <w:sz w:val="22"/>
                <w:szCs w:val="22"/>
              </w:rPr>
              <w:t>#30</w:t>
            </w:r>
          </w:p>
        </w:tc>
        <w:tc>
          <w:tcPr>
            <w:tcW w:w="2785" w:type="dxa"/>
          </w:tcPr>
          <w:p w14:paraId="1D667F86" w14:textId="5C32E750" w:rsidR="001F4D8D" w:rsidRPr="000A47DC" w:rsidRDefault="001F4D8D" w:rsidP="005104B2">
            <w:pPr>
              <w:rPr>
                <w:rFonts w:ascii="Calibri" w:hAnsi="Calibri" w:cs="Calibri"/>
                <w:sz w:val="22"/>
                <w:szCs w:val="22"/>
              </w:rPr>
            </w:pPr>
          </w:p>
        </w:tc>
      </w:tr>
      <w:tr w:rsidR="001F4D8D" w:rsidRPr="000A47DC" w14:paraId="01DB18AC" w14:textId="77777777" w:rsidTr="005104B2">
        <w:tc>
          <w:tcPr>
            <w:tcW w:w="8635" w:type="dxa"/>
          </w:tcPr>
          <w:p w14:paraId="55A3324E" w14:textId="7F4AFEB2" w:rsidR="001F4D8D" w:rsidRPr="000A47DC" w:rsidRDefault="00F77813" w:rsidP="005104B2">
            <w:pPr>
              <w:rPr>
                <w:rFonts w:ascii="Calibri" w:hAnsi="Calibri" w:cs="Calibri"/>
                <w:sz w:val="22"/>
                <w:szCs w:val="22"/>
              </w:rPr>
            </w:pPr>
            <w:r w:rsidRPr="000A47DC">
              <w:rPr>
                <w:rFonts w:ascii="Calibri" w:hAnsi="Calibri" w:cs="Calibri"/>
                <w:color w:val="000000"/>
                <w:sz w:val="22"/>
                <w:szCs w:val="22"/>
              </w:rPr>
              <w:t>its guidance could be channeled to the GNSO Council, ICANN Org, and Board, with implementation of any accepted evolutionary guidance handled by a “standing” ICANN Org IRT in coordination with the standing committee Mechanism</w:t>
            </w:r>
          </w:p>
        </w:tc>
        <w:tc>
          <w:tcPr>
            <w:tcW w:w="2970" w:type="dxa"/>
          </w:tcPr>
          <w:p w14:paraId="70CDC9E7" w14:textId="4E4FF2C9" w:rsidR="001F4D8D" w:rsidRPr="000A47DC" w:rsidRDefault="00F77813" w:rsidP="005104B2">
            <w:pPr>
              <w:rPr>
                <w:rFonts w:ascii="Calibri" w:hAnsi="Calibri" w:cs="Calibri"/>
                <w:sz w:val="22"/>
                <w:szCs w:val="22"/>
              </w:rPr>
            </w:pPr>
            <w:r w:rsidRPr="000A47DC">
              <w:rPr>
                <w:rFonts w:ascii="Calibri" w:hAnsi="Calibri" w:cs="Calibri"/>
                <w:sz w:val="22"/>
                <w:szCs w:val="22"/>
              </w:rPr>
              <w:t>#31</w:t>
            </w:r>
          </w:p>
        </w:tc>
        <w:tc>
          <w:tcPr>
            <w:tcW w:w="2785" w:type="dxa"/>
          </w:tcPr>
          <w:p w14:paraId="21C79CE7" w14:textId="27E0D9F5" w:rsidR="001F4D8D" w:rsidRPr="000A47DC" w:rsidRDefault="001F4D8D" w:rsidP="005104B2">
            <w:pPr>
              <w:rPr>
                <w:rFonts w:ascii="Calibri" w:hAnsi="Calibri" w:cs="Calibri"/>
                <w:sz w:val="22"/>
                <w:szCs w:val="22"/>
              </w:rPr>
            </w:pPr>
          </w:p>
        </w:tc>
      </w:tr>
      <w:tr w:rsidR="00F77813" w:rsidRPr="000A47DC" w14:paraId="1B682280" w14:textId="77777777" w:rsidTr="005104B2">
        <w:tc>
          <w:tcPr>
            <w:tcW w:w="8635" w:type="dxa"/>
          </w:tcPr>
          <w:p w14:paraId="1FAC1368" w14:textId="0500560E" w:rsidR="00F77813" w:rsidRPr="000A47DC" w:rsidRDefault="00F77813" w:rsidP="005104B2">
            <w:pPr>
              <w:rPr>
                <w:rFonts w:ascii="Calibri" w:hAnsi="Calibri" w:cs="Calibri"/>
                <w:color w:val="000000"/>
                <w:sz w:val="22"/>
                <w:szCs w:val="22"/>
              </w:rPr>
            </w:pPr>
            <w:r w:rsidRPr="000A47DC">
              <w:rPr>
                <w:rFonts w:ascii="Calibri" w:hAnsi="Calibri" w:cs="Calibri"/>
                <w:color w:val="000000"/>
                <w:sz w:val="22"/>
                <w:szCs w:val="22"/>
              </w:rPr>
              <w:t xml:space="preserve">The administrator can propose operational improvements; the GNSO Council subcommittee can review them to see if they implicate policy or alter policy or might have bad effects. Council approval should be required to go forward. In some </w:t>
            </w:r>
            <w:proofErr w:type="gramStart"/>
            <w:r w:rsidRPr="000A47DC">
              <w:rPr>
                <w:rFonts w:ascii="Calibri" w:hAnsi="Calibri" w:cs="Calibri"/>
                <w:color w:val="000000"/>
                <w:sz w:val="22"/>
                <w:szCs w:val="22"/>
              </w:rPr>
              <w:t>cases</w:t>
            </w:r>
            <w:proofErr w:type="gramEnd"/>
            <w:r w:rsidRPr="000A47DC">
              <w:rPr>
                <w:rFonts w:ascii="Calibri" w:hAnsi="Calibri" w:cs="Calibri"/>
                <w:color w:val="000000"/>
                <w:sz w:val="22"/>
                <w:szCs w:val="22"/>
              </w:rPr>
              <w:t xml:space="preserve"> public comment might be useful and required</w:t>
            </w:r>
          </w:p>
        </w:tc>
        <w:tc>
          <w:tcPr>
            <w:tcW w:w="2970" w:type="dxa"/>
          </w:tcPr>
          <w:p w14:paraId="27713F78" w14:textId="40D4BE1F" w:rsidR="00F77813" w:rsidRPr="000A47DC" w:rsidRDefault="00F77813" w:rsidP="005104B2">
            <w:pPr>
              <w:rPr>
                <w:rFonts w:ascii="Calibri" w:hAnsi="Calibri" w:cs="Calibri"/>
                <w:sz w:val="22"/>
                <w:szCs w:val="22"/>
              </w:rPr>
            </w:pPr>
            <w:r w:rsidRPr="000A47DC">
              <w:rPr>
                <w:rFonts w:ascii="Calibri" w:hAnsi="Calibri" w:cs="Calibri"/>
                <w:sz w:val="22"/>
                <w:szCs w:val="22"/>
              </w:rPr>
              <w:t>#34</w:t>
            </w:r>
          </w:p>
        </w:tc>
        <w:tc>
          <w:tcPr>
            <w:tcW w:w="2785" w:type="dxa"/>
          </w:tcPr>
          <w:p w14:paraId="3E9CAB65" w14:textId="77777777" w:rsidR="00F77813" w:rsidRPr="000A47DC" w:rsidRDefault="00F77813" w:rsidP="005104B2">
            <w:pPr>
              <w:rPr>
                <w:rFonts w:ascii="Calibri" w:hAnsi="Calibri" w:cs="Calibri"/>
                <w:sz w:val="22"/>
                <w:szCs w:val="22"/>
              </w:rPr>
            </w:pPr>
          </w:p>
        </w:tc>
      </w:tr>
    </w:tbl>
    <w:p w14:paraId="67145DF4" w14:textId="77777777" w:rsidR="001F4D8D" w:rsidRPr="000A47DC" w:rsidRDefault="001F4D8D">
      <w:pPr>
        <w:rPr>
          <w:rFonts w:ascii="Calibri" w:hAnsi="Calibri" w:cs="Calibri"/>
          <w:sz w:val="22"/>
          <w:szCs w:val="22"/>
        </w:rPr>
      </w:pPr>
    </w:p>
    <w:sectPr w:rsidR="001F4D8D" w:rsidRPr="000A47DC" w:rsidSect="007B7DD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69C4F"/>
    <w:multiLevelType w:val="hybridMultilevel"/>
    <w:tmpl w:val="597FE06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18"/>
    <w:rsid w:val="00071D1D"/>
    <w:rsid w:val="000A47DC"/>
    <w:rsid w:val="00151618"/>
    <w:rsid w:val="001C525A"/>
    <w:rsid w:val="001F4D8D"/>
    <w:rsid w:val="00236F48"/>
    <w:rsid w:val="002531D0"/>
    <w:rsid w:val="00404709"/>
    <w:rsid w:val="004076B0"/>
    <w:rsid w:val="00412441"/>
    <w:rsid w:val="00440B65"/>
    <w:rsid w:val="00483969"/>
    <w:rsid w:val="00495641"/>
    <w:rsid w:val="00654E32"/>
    <w:rsid w:val="0066352B"/>
    <w:rsid w:val="007175D1"/>
    <w:rsid w:val="00B30E66"/>
    <w:rsid w:val="00CB78C2"/>
    <w:rsid w:val="00DC58CE"/>
    <w:rsid w:val="00DD1A55"/>
    <w:rsid w:val="00F7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BC7F"/>
  <w15:chartTrackingRefBased/>
  <w15:docId w15:val="{33E640E1-CCDC-DC4A-B9F7-B63C17CA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1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25A"/>
    <w:pPr>
      <w:widowControl w:val="0"/>
      <w:autoSpaceDE w:val="0"/>
      <w:autoSpaceDN w:val="0"/>
      <w:adjustRightInd w:val="0"/>
    </w:pPr>
    <w:rPr>
      <w:rFonts w:ascii="Times New Roman" w:eastAsia="MS Mincho" w:hAnsi="Times New Roman" w:cs="Times New Roman"/>
      <w:color w:val="000000"/>
    </w:rPr>
  </w:style>
  <w:style w:type="paragraph" w:customStyle="1" w:styleId="ColorfulList-Accent11">
    <w:name w:val="Colorful List - Accent 11"/>
    <w:basedOn w:val="Normal"/>
    <w:uiPriority w:val="34"/>
    <w:qFormat/>
    <w:rsid w:val="001F4D8D"/>
    <w:pPr>
      <w:ind w:left="720"/>
      <w:contextualSpacing/>
    </w:pPr>
    <w:rPr>
      <w:rFonts w:ascii="Times New Roman" w:eastAsia="Cambr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50465">
      <w:bodyDiv w:val="1"/>
      <w:marLeft w:val="0"/>
      <w:marRight w:val="0"/>
      <w:marTop w:val="0"/>
      <w:marBottom w:val="0"/>
      <w:divBdr>
        <w:top w:val="none" w:sz="0" w:space="0" w:color="auto"/>
        <w:left w:val="none" w:sz="0" w:space="0" w:color="auto"/>
        <w:bottom w:val="none" w:sz="0" w:space="0" w:color="auto"/>
        <w:right w:val="none" w:sz="0" w:space="0" w:color="auto"/>
      </w:divBdr>
    </w:div>
    <w:div w:id="415828082">
      <w:bodyDiv w:val="1"/>
      <w:marLeft w:val="0"/>
      <w:marRight w:val="0"/>
      <w:marTop w:val="0"/>
      <w:marBottom w:val="0"/>
      <w:divBdr>
        <w:top w:val="none" w:sz="0" w:space="0" w:color="auto"/>
        <w:left w:val="none" w:sz="0" w:space="0" w:color="auto"/>
        <w:bottom w:val="none" w:sz="0" w:space="0" w:color="auto"/>
        <w:right w:val="none" w:sz="0" w:space="0" w:color="auto"/>
      </w:divBdr>
    </w:div>
    <w:div w:id="20571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2</cp:revision>
  <dcterms:created xsi:type="dcterms:W3CDTF">2020-03-25T17:28:00Z</dcterms:created>
  <dcterms:modified xsi:type="dcterms:W3CDTF">2020-03-25T17:28:00Z</dcterms:modified>
</cp:coreProperties>
</file>