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657D8" w14:textId="168E21C8" w:rsidR="00CC3016" w:rsidRPr="00A709C6" w:rsidRDefault="00A709C6">
      <w:pPr>
        <w:rPr>
          <w:b/>
        </w:rPr>
      </w:pPr>
      <w:r w:rsidRPr="00A709C6">
        <w:rPr>
          <w:b/>
        </w:rPr>
        <w:t>EPDP Team High Interest Topic Session</w:t>
      </w:r>
    </w:p>
    <w:p w14:paraId="65B2B80A" w14:textId="498A1256" w:rsidR="00A709C6" w:rsidRDefault="00A709C6">
      <w:r>
        <w:t>Monday 22 October, 15.15 – 16.45</w:t>
      </w:r>
    </w:p>
    <w:p w14:paraId="50EE56E4" w14:textId="4942951D" w:rsidR="00A709C6" w:rsidRDefault="00A709C6"/>
    <w:p w14:paraId="1A5F613D" w14:textId="4192EC3C" w:rsidR="00A709C6" w:rsidRPr="00C67B52" w:rsidRDefault="00A709C6">
      <w:pPr>
        <w:rPr>
          <w:b/>
        </w:rPr>
      </w:pPr>
      <w:r w:rsidRPr="00C67B52">
        <w:rPr>
          <w:b/>
        </w:rPr>
        <w:t>Draft Agenda</w:t>
      </w:r>
    </w:p>
    <w:p w14:paraId="3C7D8DA5" w14:textId="37AFC73D" w:rsidR="00A709C6" w:rsidRDefault="00A709C6"/>
    <w:tbl>
      <w:tblPr>
        <w:tblStyle w:val="TableGrid"/>
        <w:tblW w:w="0" w:type="auto"/>
        <w:tblLook w:val="04A0" w:firstRow="1" w:lastRow="0" w:firstColumn="1" w:lastColumn="0" w:noHBand="0" w:noVBand="1"/>
      </w:tblPr>
      <w:tblGrid>
        <w:gridCol w:w="2337"/>
        <w:gridCol w:w="1618"/>
        <w:gridCol w:w="3600"/>
        <w:gridCol w:w="1795"/>
      </w:tblGrid>
      <w:tr w:rsidR="00A709C6" w14:paraId="2F7D39A2" w14:textId="77777777" w:rsidTr="007F3750">
        <w:tc>
          <w:tcPr>
            <w:tcW w:w="2337" w:type="dxa"/>
            <w:shd w:val="clear" w:color="auto" w:fill="E7E6E6" w:themeFill="background2"/>
          </w:tcPr>
          <w:p w14:paraId="259B0C4B" w14:textId="45CDF753" w:rsidR="00A709C6" w:rsidRPr="00A709C6" w:rsidRDefault="00A709C6">
            <w:pPr>
              <w:rPr>
                <w:b/>
              </w:rPr>
            </w:pPr>
            <w:r w:rsidRPr="00A709C6">
              <w:rPr>
                <w:b/>
              </w:rPr>
              <w:t>Topic</w:t>
            </w:r>
          </w:p>
        </w:tc>
        <w:tc>
          <w:tcPr>
            <w:tcW w:w="1618" w:type="dxa"/>
            <w:shd w:val="clear" w:color="auto" w:fill="E7E6E6" w:themeFill="background2"/>
          </w:tcPr>
          <w:p w14:paraId="483360CD" w14:textId="6119AD6F" w:rsidR="00A709C6" w:rsidRPr="00A709C6" w:rsidRDefault="00A709C6">
            <w:pPr>
              <w:rPr>
                <w:b/>
              </w:rPr>
            </w:pPr>
            <w:r w:rsidRPr="00A709C6">
              <w:rPr>
                <w:b/>
              </w:rPr>
              <w:t>Timing</w:t>
            </w:r>
          </w:p>
        </w:tc>
        <w:tc>
          <w:tcPr>
            <w:tcW w:w="3600" w:type="dxa"/>
            <w:shd w:val="clear" w:color="auto" w:fill="E7E6E6" w:themeFill="background2"/>
          </w:tcPr>
          <w:p w14:paraId="76158437" w14:textId="4A7CF5DC" w:rsidR="00A709C6" w:rsidRPr="00A709C6" w:rsidRDefault="00A709C6">
            <w:pPr>
              <w:rPr>
                <w:b/>
              </w:rPr>
            </w:pPr>
            <w:r w:rsidRPr="00A709C6">
              <w:rPr>
                <w:b/>
              </w:rPr>
              <w:t>Objective</w:t>
            </w:r>
          </w:p>
        </w:tc>
        <w:tc>
          <w:tcPr>
            <w:tcW w:w="1795" w:type="dxa"/>
            <w:shd w:val="clear" w:color="auto" w:fill="E7E6E6" w:themeFill="background2"/>
          </w:tcPr>
          <w:p w14:paraId="327E39D4" w14:textId="54975DFF" w:rsidR="00A709C6" w:rsidRPr="00A709C6" w:rsidRDefault="00A709C6">
            <w:pPr>
              <w:rPr>
                <w:b/>
              </w:rPr>
            </w:pPr>
            <w:r w:rsidRPr="00A709C6">
              <w:rPr>
                <w:b/>
              </w:rPr>
              <w:t>Presenter</w:t>
            </w:r>
            <w:r>
              <w:rPr>
                <w:b/>
              </w:rPr>
              <w:t xml:space="preserve"> on behalf of EPDP Team</w:t>
            </w:r>
          </w:p>
        </w:tc>
      </w:tr>
      <w:tr w:rsidR="00A709C6" w14:paraId="6A485B63" w14:textId="77777777" w:rsidTr="007F3750">
        <w:tc>
          <w:tcPr>
            <w:tcW w:w="2337" w:type="dxa"/>
          </w:tcPr>
          <w:p w14:paraId="7218B77E" w14:textId="03A6F170" w:rsidR="00A709C6" w:rsidRPr="00A709C6" w:rsidRDefault="00A709C6">
            <w:pPr>
              <w:rPr>
                <w:b/>
              </w:rPr>
            </w:pPr>
            <w:r w:rsidRPr="00A709C6">
              <w:rPr>
                <w:b/>
              </w:rPr>
              <w:t>Welcome &amp; introductions</w:t>
            </w:r>
          </w:p>
        </w:tc>
        <w:tc>
          <w:tcPr>
            <w:tcW w:w="1618" w:type="dxa"/>
          </w:tcPr>
          <w:p w14:paraId="39444D17" w14:textId="7C6E2194" w:rsidR="00A709C6" w:rsidRDefault="00A709C6">
            <w:r>
              <w:t>15.15 – 15.20</w:t>
            </w:r>
          </w:p>
        </w:tc>
        <w:tc>
          <w:tcPr>
            <w:tcW w:w="3600" w:type="dxa"/>
          </w:tcPr>
          <w:p w14:paraId="0F28FC94" w14:textId="77777777" w:rsidR="00A709C6" w:rsidRDefault="00A709C6">
            <w:r>
              <w:t xml:space="preserve">Welcome audience and introduce panelists. </w:t>
            </w:r>
          </w:p>
          <w:p w14:paraId="0C4E4FFD" w14:textId="508997A9" w:rsidR="00A709C6" w:rsidRDefault="00A709C6">
            <w:r>
              <w:t>Provide overview of structure for the session.</w:t>
            </w:r>
          </w:p>
        </w:tc>
        <w:tc>
          <w:tcPr>
            <w:tcW w:w="1795" w:type="dxa"/>
          </w:tcPr>
          <w:p w14:paraId="335F4E37" w14:textId="68FA5D9C" w:rsidR="00A709C6" w:rsidRDefault="00A709C6">
            <w:r>
              <w:t xml:space="preserve">Kurt </w:t>
            </w:r>
          </w:p>
        </w:tc>
      </w:tr>
      <w:tr w:rsidR="00A709C6" w14:paraId="0D300D58" w14:textId="77777777" w:rsidTr="007F3750">
        <w:tc>
          <w:tcPr>
            <w:tcW w:w="2337" w:type="dxa"/>
            <w:tcBorders>
              <w:bottom w:val="single" w:sz="4" w:space="0" w:color="auto"/>
            </w:tcBorders>
          </w:tcPr>
          <w:p w14:paraId="69A7AC3C" w14:textId="7634797E" w:rsidR="00A709C6" w:rsidRPr="00A709C6" w:rsidRDefault="00A709C6">
            <w:pPr>
              <w:rPr>
                <w:b/>
              </w:rPr>
            </w:pPr>
            <w:r>
              <w:rPr>
                <w:b/>
              </w:rPr>
              <w:t>EPDP b</w:t>
            </w:r>
            <w:r w:rsidRPr="00A709C6">
              <w:rPr>
                <w:b/>
              </w:rPr>
              <w:t>ackground and approach for development of Initial Report</w:t>
            </w:r>
          </w:p>
        </w:tc>
        <w:tc>
          <w:tcPr>
            <w:tcW w:w="1618" w:type="dxa"/>
            <w:tcBorders>
              <w:bottom w:val="single" w:sz="4" w:space="0" w:color="auto"/>
            </w:tcBorders>
          </w:tcPr>
          <w:p w14:paraId="6087682A" w14:textId="529CC2A0" w:rsidR="00A709C6" w:rsidRDefault="00A709C6">
            <w:r>
              <w:t>15.20 – 15.30</w:t>
            </w:r>
          </w:p>
        </w:tc>
        <w:tc>
          <w:tcPr>
            <w:tcW w:w="3600" w:type="dxa"/>
            <w:tcBorders>
              <w:bottom w:val="single" w:sz="4" w:space="0" w:color="auto"/>
            </w:tcBorders>
          </w:tcPr>
          <w:p w14:paraId="26CE3D5D" w14:textId="6163DFC1" w:rsidR="00A709C6" w:rsidRDefault="00A709C6">
            <w:r>
              <w:t>Provide brief background to the EPDP, its scope, deliverables as well as approach taken to deliberations and development of Initial Report.</w:t>
            </w:r>
          </w:p>
          <w:p w14:paraId="4F8BD923" w14:textId="54C0A2F6" w:rsidR="00442835" w:rsidRDefault="00442835">
            <w:r>
              <w:t>Describe approach to the problem through thoughtful, methodical way (worksheets, data matrix, etc.)</w:t>
            </w:r>
          </w:p>
          <w:p w14:paraId="45B40274" w14:textId="6F3FBEDD" w:rsidR="00442835" w:rsidRPr="00442835" w:rsidRDefault="00442835" w:rsidP="00442835">
            <w:pPr>
              <w:rPr>
                <w:rFonts w:ascii="Calibri" w:hAnsi="Calibri" w:cs="Calibri"/>
                <w:color w:val="000000"/>
                <w:sz w:val="22"/>
                <w:szCs w:val="22"/>
              </w:rPr>
            </w:pPr>
            <w:r>
              <w:t>In order to answer charter questions, needed to carefully consider purposes, legal basis, data elements weight against necessity and data minimization principles</w:t>
            </w:r>
            <w:bookmarkStart w:id="0" w:name="_GoBack"/>
            <w:bookmarkEnd w:id="0"/>
            <w:r>
              <w:rPr>
                <w:rFonts w:ascii="Calibri" w:hAnsi="Calibri" w:cs="Calibri"/>
                <w:color w:val="000000"/>
                <w:sz w:val="22"/>
                <w:szCs w:val="22"/>
              </w:rPr>
              <w:t xml:space="preserve"> minimizations</w:t>
            </w:r>
          </w:p>
        </w:tc>
        <w:tc>
          <w:tcPr>
            <w:tcW w:w="1795" w:type="dxa"/>
            <w:tcBorders>
              <w:bottom w:val="single" w:sz="4" w:space="0" w:color="auto"/>
            </w:tcBorders>
          </w:tcPr>
          <w:p w14:paraId="25CEE4E6" w14:textId="043B965F" w:rsidR="00A709C6" w:rsidRDefault="00442835">
            <w:r>
              <w:t xml:space="preserve">Kurt / </w:t>
            </w:r>
            <w:r w:rsidR="00A709C6">
              <w:t xml:space="preserve">Rafik </w:t>
            </w:r>
          </w:p>
        </w:tc>
      </w:tr>
      <w:tr w:rsidR="00A709C6" w14:paraId="305C927B" w14:textId="77777777" w:rsidTr="00C67B52">
        <w:tc>
          <w:tcPr>
            <w:tcW w:w="9350" w:type="dxa"/>
            <w:gridSpan w:val="4"/>
            <w:shd w:val="clear" w:color="auto" w:fill="E7E6E6" w:themeFill="background2"/>
          </w:tcPr>
          <w:p w14:paraId="10FC0BC7" w14:textId="010D7D5C" w:rsidR="00A709C6" w:rsidRPr="00A709C6" w:rsidRDefault="00A709C6">
            <w:pPr>
              <w:rPr>
                <w:b/>
              </w:rPr>
            </w:pPr>
            <w:r w:rsidRPr="00A709C6">
              <w:rPr>
                <w:b/>
              </w:rPr>
              <w:t>EPDP Team Responses to Charter Questions and Overview of Preliminary Recommendations</w:t>
            </w:r>
          </w:p>
        </w:tc>
      </w:tr>
      <w:tr w:rsidR="00A709C6" w14:paraId="41D3F9F2" w14:textId="77777777" w:rsidTr="007F3750">
        <w:tc>
          <w:tcPr>
            <w:tcW w:w="2337" w:type="dxa"/>
          </w:tcPr>
          <w:p w14:paraId="7734CF13" w14:textId="00FD466A" w:rsidR="00A709C6" w:rsidRDefault="00A709C6">
            <w:r>
              <w:t>Purposes for Processing Registration Data</w:t>
            </w:r>
          </w:p>
        </w:tc>
        <w:tc>
          <w:tcPr>
            <w:tcW w:w="1618" w:type="dxa"/>
          </w:tcPr>
          <w:p w14:paraId="3FF8F46D" w14:textId="729F90A9" w:rsidR="00A709C6" w:rsidRDefault="00A709C6">
            <w:r>
              <w:t>15.30 – 15.40</w:t>
            </w:r>
          </w:p>
        </w:tc>
        <w:tc>
          <w:tcPr>
            <w:tcW w:w="3600" w:type="dxa"/>
          </w:tcPr>
          <w:p w14:paraId="1D17A989" w14:textId="77777777" w:rsidR="00A709C6" w:rsidRDefault="00A709C6">
            <w:r>
              <w:t>Outline how the EPDP Team moved from Temp Spec purposes to wholesome consideration of purposes, data elements required, processing activities as well as lawful basis.</w:t>
            </w:r>
          </w:p>
          <w:p w14:paraId="72222DCB" w14:textId="77777777" w:rsidR="00A709C6" w:rsidRDefault="00A709C6">
            <w:r>
              <w:t>Provide high level overview of purposes identified and explain how further details are expected to be included in the form of data elements workbooks.</w:t>
            </w:r>
          </w:p>
          <w:p w14:paraId="4CC5E26C" w14:textId="3F6E3338" w:rsidR="00A709C6" w:rsidRDefault="00A709C6">
            <w:r>
              <w:t>Provide high level overview of expected preliminary recommendations in relation to this topic.</w:t>
            </w:r>
          </w:p>
        </w:tc>
        <w:tc>
          <w:tcPr>
            <w:tcW w:w="1795" w:type="dxa"/>
          </w:tcPr>
          <w:p w14:paraId="5E8C277E" w14:textId="7D047900" w:rsidR="00A709C6" w:rsidRDefault="00A709C6"/>
        </w:tc>
      </w:tr>
      <w:tr w:rsidR="00A709C6" w14:paraId="5C496F31" w14:textId="77777777" w:rsidTr="007F3750">
        <w:tc>
          <w:tcPr>
            <w:tcW w:w="2337" w:type="dxa"/>
          </w:tcPr>
          <w:p w14:paraId="21D168C6" w14:textId="33F320C3" w:rsidR="00A709C6" w:rsidRDefault="00A709C6">
            <w:r>
              <w:rPr>
                <w:rFonts w:ascii="Calibri" w:hAnsi="Calibri" w:cs="Calibri"/>
                <w:b/>
                <w:bCs/>
                <w:color w:val="000000"/>
              </w:rPr>
              <w:lastRenderedPageBreak/>
              <w:t>Required Data Processing Activities</w:t>
            </w:r>
          </w:p>
        </w:tc>
        <w:tc>
          <w:tcPr>
            <w:tcW w:w="1618" w:type="dxa"/>
          </w:tcPr>
          <w:p w14:paraId="79AD4A65" w14:textId="455AB030" w:rsidR="00A709C6" w:rsidRDefault="00A709C6">
            <w:r>
              <w:t>15.40 – 15.50</w:t>
            </w:r>
          </w:p>
        </w:tc>
        <w:tc>
          <w:tcPr>
            <w:tcW w:w="3600" w:type="dxa"/>
          </w:tcPr>
          <w:p w14:paraId="3356DCD8" w14:textId="77777777" w:rsidR="00A709C6" w:rsidRDefault="00A709C6">
            <w:r>
              <w:t xml:space="preserve">Provide high level overview of what data is expected to be collected for the purposes identified in the previous segment, data to be transferred from Rr to Ry and recommended data retention periods. </w:t>
            </w:r>
          </w:p>
          <w:p w14:paraId="080BF610" w14:textId="26630DAE" w:rsidR="00C67B52" w:rsidRDefault="00C67B52">
            <w:r>
              <w:t>Provide high level overview of expected preliminary recommendations in relation to this topic.</w:t>
            </w:r>
          </w:p>
        </w:tc>
        <w:tc>
          <w:tcPr>
            <w:tcW w:w="1795" w:type="dxa"/>
          </w:tcPr>
          <w:p w14:paraId="4DEB708B" w14:textId="2FA2E193" w:rsidR="00A709C6" w:rsidRDefault="00A709C6"/>
        </w:tc>
      </w:tr>
      <w:tr w:rsidR="00C67B52" w14:paraId="75618CE9" w14:textId="77777777" w:rsidTr="007F3750">
        <w:tc>
          <w:tcPr>
            <w:tcW w:w="2337" w:type="dxa"/>
          </w:tcPr>
          <w:p w14:paraId="09557DAE" w14:textId="6CA06949" w:rsidR="00C67B52" w:rsidRDefault="00C67B52">
            <w:pPr>
              <w:rPr>
                <w:rFonts w:ascii="Calibri" w:hAnsi="Calibri" w:cs="Calibri"/>
                <w:b/>
                <w:bCs/>
                <w:color w:val="000000"/>
              </w:rPr>
            </w:pPr>
            <w:r>
              <w:rPr>
                <w:rFonts w:ascii="Calibri" w:hAnsi="Calibri" w:cs="Calibri"/>
                <w:b/>
                <w:bCs/>
                <w:color w:val="000000"/>
              </w:rPr>
              <w:t>Data Processing Terms</w:t>
            </w:r>
          </w:p>
        </w:tc>
        <w:tc>
          <w:tcPr>
            <w:tcW w:w="1618" w:type="dxa"/>
          </w:tcPr>
          <w:p w14:paraId="2FC324E6" w14:textId="01DFA81F" w:rsidR="00C67B52" w:rsidRDefault="00C67B52">
            <w:r>
              <w:t>15.50 – 15.55</w:t>
            </w:r>
          </w:p>
        </w:tc>
        <w:tc>
          <w:tcPr>
            <w:tcW w:w="3600" w:type="dxa"/>
          </w:tcPr>
          <w:p w14:paraId="6C6B573B" w14:textId="6217458C" w:rsidR="00C67B52" w:rsidRDefault="00C67B52">
            <w:r>
              <w:t xml:space="preserve">Provide high level overview of expected preliminary recommendations in relation to this topic. </w:t>
            </w:r>
          </w:p>
        </w:tc>
        <w:tc>
          <w:tcPr>
            <w:tcW w:w="1795" w:type="dxa"/>
          </w:tcPr>
          <w:p w14:paraId="6CFE5DCE" w14:textId="16B47F86" w:rsidR="00C67B52" w:rsidRDefault="00C67B52"/>
        </w:tc>
      </w:tr>
      <w:tr w:rsidR="00C67B52" w14:paraId="7CC6A5BD" w14:textId="77777777" w:rsidTr="007F3750">
        <w:tc>
          <w:tcPr>
            <w:tcW w:w="2337" w:type="dxa"/>
          </w:tcPr>
          <w:p w14:paraId="27C68146" w14:textId="1FD9A552" w:rsidR="00C67B52" w:rsidRDefault="00C67B52">
            <w:pPr>
              <w:rPr>
                <w:rFonts w:ascii="Calibri" w:hAnsi="Calibri" w:cs="Calibri"/>
                <w:b/>
                <w:bCs/>
                <w:color w:val="000000"/>
              </w:rPr>
            </w:pPr>
            <w:r>
              <w:rPr>
                <w:rFonts w:ascii="Calibri" w:hAnsi="Calibri" w:cs="Calibri"/>
                <w:b/>
                <w:bCs/>
                <w:color w:val="000000"/>
              </w:rPr>
              <w:t>Updates to other Consensus Policies (UDRP, URS, Transfers)</w:t>
            </w:r>
          </w:p>
        </w:tc>
        <w:tc>
          <w:tcPr>
            <w:tcW w:w="1618" w:type="dxa"/>
          </w:tcPr>
          <w:p w14:paraId="055A273C" w14:textId="012D4A7A" w:rsidR="00C67B52" w:rsidRDefault="00C67B52">
            <w:r>
              <w:t xml:space="preserve">15.55 – 16.00 </w:t>
            </w:r>
          </w:p>
        </w:tc>
        <w:tc>
          <w:tcPr>
            <w:tcW w:w="3600" w:type="dxa"/>
          </w:tcPr>
          <w:p w14:paraId="6E9FE33D" w14:textId="4BBB0937" w:rsidR="00C67B52" w:rsidRDefault="00C67B52">
            <w:r>
              <w:t>Provide high level overview of expected preliminary recommendations in relation to this topic.</w:t>
            </w:r>
          </w:p>
        </w:tc>
        <w:tc>
          <w:tcPr>
            <w:tcW w:w="1795" w:type="dxa"/>
          </w:tcPr>
          <w:p w14:paraId="06DD8F14" w14:textId="258CF739" w:rsidR="00C67B52" w:rsidRDefault="00C67B52"/>
        </w:tc>
      </w:tr>
      <w:tr w:rsidR="00C67B52" w14:paraId="23BD3D43" w14:textId="77777777" w:rsidTr="007F3750">
        <w:tc>
          <w:tcPr>
            <w:tcW w:w="2337" w:type="dxa"/>
          </w:tcPr>
          <w:p w14:paraId="680FBAA4" w14:textId="619525C4" w:rsidR="00C67B52" w:rsidRDefault="00C67B52">
            <w:pPr>
              <w:rPr>
                <w:rFonts w:ascii="Calibri" w:hAnsi="Calibri" w:cs="Calibri"/>
                <w:b/>
                <w:bCs/>
                <w:color w:val="000000"/>
              </w:rPr>
            </w:pPr>
            <w:r>
              <w:rPr>
                <w:rFonts w:ascii="Calibri" w:hAnsi="Calibri" w:cs="Calibri"/>
                <w:b/>
                <w:bCs/>
                <w:color w:val="000000"/>
              </w:rPr>
              <w:t>Other recommendations</w:t>
            </w:r>
            <w:r w:rsidR="007F3750">
              <w:rPr>
                <w:rFonts w:ascii="Calibri" w:hAnsi="Calibri" w:cs="Calibri"/>
                <w:b/>
                <w:bCs/>
                <w:color w:val="000000"/>
              </w:rPr>
              <w:t xml:space="preserve"> &amp; outstanding issues, if any</w:t>
            </w:r>
          </w:p>
        </w:tc>
        <w:tc>
          <w:tcPr>
            <w:tcW w:w="1618" w:type="dxa"/>
          </w:tcPr>
          <w:p w14:paraId="3E780410" w14:textId="0759B5B0" w:rsidR="00C67B52" w:rsidRDefault="00C67B52">
            <w:r>
              <w:t>16.00 – 16.</w:t>
            </w:r>
            <w:r w:rsidR="007F3750">
              <w:t>10</w:t>
            </w:r>
          </w:p>
        </w:tc>
        <w:tc>
          <w:tcPr>
            <w:tcW w:w="3600" w:type="dxa"/>
          </w:tcPr>
          <w:p w14:paraId="1565813A" w14:textId="77777777" w:rsidR="00C67B52" w:rsidRDefault="00C67B52">
            <w:r>
              <w:t>Provide high level overview of other preliminary recommendations expected to be included in the Initial Report</w:t>
            </w:r>
          </w:p>
          <w:p w14:paraId="1D40B587" w14:textId="46A33EA0" w:rsidR="007F3750" w:rsidRDefault="007F3750">
            <w:r>
              <w:t>Provide overview of topics that the EPDP Team is still working on addressing through its meetings later in the week</w:t>
            </w:r>
          </w:p>
        </w:tc>
        <w:tc>
          <w:tcPr>
            <w:tcW w:w="1795" w:type="dxa"/>
          </w:tcPr>
          <w:p w14:paraId="5680BC1B" w14:textId="2BF4FA62" w:rsidR="00C67B52" w:rsidRDefault="00C67B52"/>
        </w:tc>
      </w:tr>
      <w:tr w:rsidR="00C67B52" w14:paraId="738F85A2" w14:textId="77777777" w:rsidTr="007F3750">
        <w:tc>
          <w:tcPr>
            <w:tcW w:w="2337" w:type="dxa"/>
          </w:tcPr>
          <w:p w14:paraId="6E1A47ED" w14:textId="365EE5DB" w:rsidR="00C67B52" w:rsidRDefault="00C67B52">
            <w:pPr>
              <w:rPr>
                <w:rFonts w:ascii="Calibri" w:hAnsi="Calibri" w:cs="Calibri"/>
                <w:b/>
                <w:bCs/>
                <w:color w:val="000000"/>
              </w:rPr>
            </w:pPr>
            <w:r>
              <w:rPr>
                <w:rFonts w:ascii="Calibri" w:hAnsi="Calibri" w:cs="Calibri"/>
                <w:b/>
                <w:bCs/>
                <w:color w:val="000000"/>
              </w:rPr>
              <w:t>Expected next steps in relation to publication of Initial report</w:t>
            </w:r>
          </w:p>
        </w:tc>
        <w:tc>
          <w:tcPr>
            <w:tcW w:w="1618" w:type="dxa"/>
          </w:tcPr>
          <w:p w14:paraId="014639F3" w14:textId="68D6C678" w:rsidR="00C67B52" w:rsidRDefault="00C67B52">
            <w:r>
              <w:t>16.</w:t>
            </w:r>
            <w:r w:rsidR="007F3750">
              <w:t>10</w:t>
            </w:r>
            <w:r>
              <w:t xml:space="preserve"> – 16.1</w:t>
            </w:r>
            <w:r w:rsidR="007F3750">
              <w:t>5</w:t>
            </w:r>
          </w:p>
        </w:tc>
        <w:tc>
          <w:tcPr>
            <w:tcW w:w="3600" w:type="dxa"/>
          </w:tcPr>
          <w:p w14:paraId="7E29D3A6" w14:textId="181AE6CC" w:rsidR="00C67B52" w:rsidRDefault="00C67B52">
            <w:r>
              <w:t>Provide timeline of when public comment period will open, close and expected next steps, including when work on standardized access model is expected to commence.</w:t>
            </w:r>
          </w:p>
        </w:tc>
        <w:tc>
          <w:tcPr>
            <w:tcW w:w="1795" w:type="dxa"/>
          </w:tcPr>
          <w:p w14:paraId="25A9863C" w14:textId="70364FAD" w:rsidR="00C67B52" w:rsidRDefault="00C67B52"/>
        </w:tc>
      </w:tr>
      <w:tr w:rsidR="00C67B52" w14:paraId="72CA0210" w14:textId="77777777" w:rsidTr="007F3750">
        <w:tc>
          <w:tcPr>
            <w:tcW w:w="2337" w:type="dxa"/>
          </w:tcPr>
          <w:p w14:paraId="6FD3D9A8" w14:textId="1C519762" w:rsidR="00C67B52" w:rsidRDefault="00C67B52">
            <w:pPr>
              <w:rPr>
                <w:rFonts w:ascii="Calibri" w:hAnsi="Calibri" w:cs="Calibri"/>
                <w:b/>
                <w:bCs/>
                <w:color w:val="000000"/>
              </w:rPr>
            </w:pPr>
            <w:r>
              <w:rPr>
                <w:rFonts w:ascii="Calibri" w:hAnsi="Calibri" w:cs="Calibri"/>
                <w:b/>
                <w:bCs/>
                <w:color w:val="000000"/>
              </w:rPr>
              <w:t>Q &amp; A</w:t>
            </w:r>
          </w:p>
        </w:tc>
        <w:tc>
          <w:tcPr>
            <w:tcW w:w="1618" w:type="dxa"/>
          </w:tcPr>
          <w:p w14:paraId="2D51FCD7" w14:textId="25A41524" w:rsidR="00C67B52" w:rsidRDefault="00C67B52">
            <w:r>
              <w:t>16.1</w:t>
            </w:r>
            <w:r w:rsidR="007F3750">
              <w:t>5</w:t>
            </w:r>
            <w:r>
              <w:t xml:space="preserve"> – 16.4</w:t>
            </w:r>
            <w:r w:rsidR="007F3750">
              <w:t>0</w:t>
            </w:r>
          </w:p>
        </w:tc>
        <w:tc>
          <w:tcPr>
            <w:tcW w:w="3600" w:type="dxa"/>
          </w:tcPr>
          <w:p w14:paraId="3D5D92DB" w14:textId="0B16CAEF" w:rsidR="00C67B52" w:rsidRDefault="00C67B52">
            <w:r>
              <w:t>Encourage audience to ask clarifying questions in relation to updates that have been provided</w:t>
            </w:r>
          </w:p>
        </w:tc>
        <w:tc>
          <w:tcPr>
            <w:tcW w:w="1795" w:type="dxa"/>
          </w:tcPr>
          <w:p w14:paraId="49D7B1BA" w14:textId="3D50F125" w:rsidR="00C67B52" w:rsidRDefault="00442835">
            <w:r>
              <w:t>Moderator:</w:t>
            </w:r>
          </w:p>
        </w:tc>
      </w:tr>
      <w:tr w:rsidR="007F3750" w14:paraId="6C29F75A" w14:textId="77777777" w:rsidTr="007F3750">
        <w:tc>
          <w:tcPr>
            <w:tcW w:w="2337" w:type="dxa"/>
          </w:tcPr>
          <w:p w14:paraId="7C8909F6" w14:textId="3C6C8F5C" w:rsidR="007F3750" w:rsidRDefault="007F3750">
            <w:pPr>
              <w:rPr>
                <w:rFonts w:ascii="Calibri" w:hAnsi="Calibri" w:cs="Calibri"/>
                <w:b/>
                <w:bCs/>
                <w:color w:val="000000"/>
              </w:rPr>
            </w:pPr>
            <w:r>
              <w:rPr>
                <w:rFonts w:ascii="Calibri" w:hAnsi="Calibri" w:cs="Calibri"/>
                <w:b/>
                <w:bCs/>
                <w:color w:val="000000"/>
              </w:rPr>
              <w:t>Close</w:t>
            </w:r>
          </w:p>
        </w:tc>
        <w:tc>
          <w:tcPr>
            <w:tcW w:w="1618" w:type="dxa"/>
          </w:tcPr>
          <w:p w14:paraId="305012B0" w14:textId="077BF271" w:rsidR="007F3750" w:rsidRDefault="007F3750">
            <w:r>
              <w:t>16.40 – 16.45</w:t>
            </w:r>
          </w:p>
        </w:tc>
        <w:tc>
          <w:tcPr>
            <w:tcW w:w="3600" w:type="dxa"/>
          </w:tcPr>
          <w:p w14:paraId="21C0B127" w14:textId="77777777" w:rsidR="007F3750" w:rsidRDefault="007F3750">
            <w:r>
              <w:t xml:space="preserve">Encourage audience to provide input through the public comment forum. </w:t>
            </w:r>
          </w:p>
          <w:p w14:paraId="0AE9A835" w14:textId="5107DAD6" w:rsidR="007F3750" w:rsidRDefault="007F3750">
            <w:r>
              <w:t xml:space="preserve">Thank audience and panelists for their participation. </w:t>
            </w:r>
          </w:p>
        </w:tc>
        <w:tc>
          <w:tcPr>
            <w:tcW w:w="1795" w:type="dxa"/>
          </w:tcPr>
          <w:p w14:paraId="40E6AA8F" w14:textId="653FF50D" w:rsidR="007F3750" w:rsidRDefault="007F3750">
            <w:r>
              <w:t xml:space="preserve">Kurt </w:t>
            </w:r>
          </w:p>
        </w:tc>
      </w:tr>
    </w:tbl>
    <w:p w14:paraId="2119244B" w14:textId="22CBD98D" w:rsidR="00A709C6" w:rsidRDefault="00A709C6"/>
    <w:sectPr w:rsidR="00A709C6"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320D53"/>
    <w:multiLevelType w:val="multilevel"/>
    <w:tmpl w:val="D26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C6"/>
    <w:rsid w:val="00442835"/>
    <w:rsid w:val="007600F5"/>
    <w:rsid w:val="007F1FED"/>
    <w:rsid w:val="007F3750"/>
    <w:rsid w:val="00A709C6"/>
    <w:rsid w:val="00C67B52"/>
    <w:rsid w:val="00CC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01A233"/>
  <w15:chartTrackingRefBased/>
  <w15:docId w15:val="{4A032BB9-99EF-104D-9745-70247170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498367">
      <w:bodyDiv w:val="1"/>
      <w:marLeft w:val="0"/>
      <w:marRight w:val="0"/>
      <w:marTop w:val="0"/>
      <w:marBottom w:val="0"/>
      <w:divBdr>
        <w:top w:val="none" w:sz="0" w:space="0" w:color="auto"/>
        <w:left w:val="none" w:sz="0" w:space="0" w:color="auto"/>
        <w:bottom w:val="none" w:sz="0" w:space="0" w:color="auto"/>
        <w:right w:val="none" w:sz="0" w:space="0" w:color="auto"/>
      </w:divBdr>
      <w:divsChild>
        <w:div w:id="386147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7053">
              <w:marLeft w:val="0"/>
              <w:marRight w:val="0"/>
              <w:marTop w:val="0"/>
              <w:marBottom w:val="0"/>
              <w:divBdr>
                <w:top w:val="none" w:sz="0" w:space="0" w:color="auto"/>
                <w:left w:val="none" w:sz="0" w:space="0" w:color="auto"/>
                <w:bottom w:val="none" w:sz="0" w:space="0" w:color="auto"/>
                <w:right w:val="none" w:sz="0" w:space="0" w:color="auto"/>
              </w:divBdr>
              <w:divsChild>
                <w:div w:id="12181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2018-10-11T13:22:00Z</dcterms:created>
  <dcterms:modified xsi:type="dcterms:W3CDTF">2018-10-11T13:22:00Z</dcterms:modified>
</cp:coreProperties>
</file>