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605BD" w14:textId="77777777" w:rsidR="000B7A30" w:rsidRDefault="001401CA">
      <w:r>
        <w:t>[Date]</w:t>
      </w:r>
    </w:p>
    <w:p w14:paraId="54D70E5B" w14:textId="77777777" w:rsidR="001401CA" w:rsidRDefault="001401CA"/>
    <w:p w14:paraId="594EAC13" w14:textId="77777777" w:rsidR="001401CA" w:rsidRDefault="001401CA">
      <w:r>
        <w:t>Dear Members of the European Data Protection Board,</w:t>
      </w:r>
    </w:p>
    <w:p w14:paraId="3A2C27C6" w14:textId="77777777" w:rsidR="001401CA" w:rsidRDefault="001401CA"/>
    <w:p w14:paraId="4AFEACB9" w14:textId="3389AA30" w:rsidR="00C41A2C" w:rsidRDefault="001401CA">
      <w:r>
        <w:t xml:space="preserve">I am writing on behalf of </w:t>
      </w:r>
      <w:r w:rsidR="0077283B">
        <w:t>a multi-stakeholder policy development team formed by ICANN</w:t>
      </w:r>
      <w:r w:rsidR="00C615F6">
        <w:t xml:space="preserve"> (</w:t>
      </w:r>
      <w:r>
        <w:t>the I</w:t>
      </w:r>
      <w:r w:rsidR="00C41A2C">
        <w:t xml:space="preserve">nternet </w:t>
      </w:r>
      <w:r>
        <w:t>C</w:t>
      </w:r>
      <w:r w:rsidR="00C41A2C">
        <w:t xml:space="preserve">orporation of </w:t>
      </w:r>
      <w:r>
        <w:t>A</w:t>
      </w:r>
      <w:r w:rsidR="00C41A2C">
        <w:t xml:space="preserve">ssigned </w:t>
      </w:r>
      <w:r>
        <w:t>N</w:t>
      </w:r>
      <w:r w:rsidR="00C41A2C">
        <w:t xml:space="preserve">ames and </w:t>
      </w:r>
      <w:r>
        <w:t>N</w:t>
      </w:r>
      <w:r w:rsidR="00C41A2C">
        <w:t>umbers</w:t>
      </w:r>
      <w:r w:rsidR="00C615F6">
        <w:t>)</w:t>
      </w:r>
      <w:r w:rsidR="00C41A2C">
        <w:t xml:space="preserve"> </w:t>
      </w:r>
      <w:r w:rsidR="00BF2657">
        <w:t>to deve</w:t>
      </w:r>
      <w:r w:rsidR="00505F5B">
        <w:t>lop GDPR-compliant policies to govern the operation and procedures of the domain name industry</w:t>
      </w:r>
      <w:r>
        <w:t xml:space="preserve">. </w:t>
      </w:r>
      <w:r w:rsidR="00D3650D">
        <w:t>The team is approximately half-way through its deliberations,</w:t>
      </w:r>
      <w:r w:rsidR="00B95BFB">
        <w:t xml:space="preserve"> and</w:t>
      </w:r>
      <w:r w:rsidR="00D3650D">
        <w:t xml:space="preserve"> has carefully read and considered the </w:t>
      </w:r>
      <w:r w:rsidR="001F0324">
        <w:t>GDPR</w:t>
      </w:r>
      <w:r w:rsidR="00D3650D">
        <w:t>, explanatory treatis</w:t>
      </w:r>
      <w:r w:rsidR="00E437AD">
        <w:t>es, and the writings of the EDPB</w:t>
      </w:r>
      <w:r w:rsidR="00D3650D">
        <w:t xml:space="preserve"> to date. Thus informed, the team has some specific questions where EDPB commentary might inform its remaining work.  </w:t>
      </w:r>
    </w:p>
    <w:p w14:paraId="27350E39" w14:textId="77777777" w:rsidR="00C41A2C" w:rsidRDefault="00C41A2C"/>
    <w:p w14:paraId="396F7274" w14:textId="5880C8BB" w:rsidR="00327AA7" w:rsidRDefault="00C41A2C" w:rsidP="00C41A2C">
      <w:r>
        <w:t xml:space="preserve">As </w:t>
      </w:r>
      <w:r w:rsidR="00327AA7">
        <w:t>indicated in</w:t>
      </w:r>
      <w:r>
        <w:t xml:space="preserve"> Göran Marby’s letter of 17 September 2017, </w:t>
      </w:r>
      <w:r w:rsidRPr="00C41A2C">
        <w:t>ICANN is a global non-governmental non-profit organization</w:t>
      </w:r>
      <w:r w:rsidR="00505F5B">
        <w:t xml:space="preserve"> that</w:t>
      </w:r>
      <w:r w:rsidR="00C310B1">
        <w:t xml:space="preserve"> provides for the technical</w:t>
      </w:r>
      <w:r w:rsidRPr="00C41A2C">
        <w:t xml:space="preserve"> coordinat</w:t>
      </w:r>
      <w:r w:rsidR="00C310B1">
        <w:t>ion, as well as the stability and security of</w:t>
      </w:r>
      <w:r w:rsidRPr="00C41A2C">
        <w:t xml:space="preserve"> the Internet's system of unique identifiers</w:t>
      </w:r>
      <w:r w:rsidR="008239FC">
        <w:t>, i.e., domain names,</w:t>
      </w:r>
      <w:r w:rsidR="00C310B1">
        <w:t xml:space="preserve"> IP add</w:t>
      </w:r>
      <w:r w:rsidR="00505F5B">
        <w:t>resses</w:t>
      </w:r>
      <w:r w:rsidR="008239FC">
        <w:t>, and other technical p</w:t>
      </w:r>
      <w:r w:rsidR="00C310B1">
        <w:t>arame</w:t>
      </w:r>
      <w:r w:rsidR="008239FC">
        <w:t>ters</w:t>
      </w:r>
      <w:r w:rsidRPr="00C41A2C">
        <w:t xml:space="preserve">. </w:t>
      </w:r>
    </w:p>
    <w:p w14:paraId="0386AC81" w14:textId="77777777" w:rsidR="00327AA7" w:rsidRDefault="00327AA7" w:rsidP="00C41A2C"/>
    <w:p w14:paraId="14A34224" w14:textId="0A3BDB16" w:rsidR="00A64164" w:rsidRDefault="00327AA7" w:rsidP="00161AE4">
      <w:r>
        <w:t xml:space="preserve">Following that letter and considerable work with the ICANN community, on 25 May 2018, the ICANN Board adopted the Temporary Specification for gTLD Registration Data. That Specification, intended to bring </w:t>
      </w:r>
      <w:r w:rsidR="00462988">
        <w:t>the domain name ecosystem into GDPR compliance with the least impact on current operations and practices, will expire</w:t>
      </w:r>
      <w:r w:rsidR="00676BFA">
        <w:t xml:space="preserve"> on 25 May 2019. Thus</w:t>
      </w:r>
      <w:r w:rsidR="001D6B9A">
        <w:t>, ICANN</w:t>
      </w:r>
      <w:r w:rsidR="00676BFA">
        <w:t xml:space="preserve"> formed and chartered this Expedited Policy Development </w:t>
      </w:r>
      <w:r w:rsidR="00682B12">
        <w:t>Process</w:t>
      </w:r>
      <w:r w:rsidR="00A64164">
        <w:t xml:space="preserve"> (EPDP)</w:t>
      </w:r>
      <w:r w:rsidR="00682B12">
        <w:t xml:space="preserve"> that is staffed by t</w:t>
      </w:r>
      <w:r w:rsidR="00C41A2C" w:rsidRPr="00C41A2C">
        <w:t>he ICANN community</w:t>
      </w:r>
      <w:r w:rsidR="00A64164">
        <w:t>.</w:t>
      </w:r>
      <w:r w:rsidR="00C41A2C" w:rsidRPr="00C41A2C">
        <w:t xml:space="preserve"> </w:t>
      </w:r>
    </w:p>
    <w:p w14:paraId="19C0682D" w14:textId="77777777" w:rsidR="00A64164" w:rsidRDefault="00A64164" w:rsidP="00161AE4"/>
    <w:p w14:paraId="3C3E84F2" w14:textId="35508481" w:rsidR="007D652D" w:rsidRDefault="00A64164" w:rsidP="00161AE4">
      <w:r>
        <w:t xml:space="preserve">The ICANN community is </w:t>
      </w:r>
      <w:r w:rsidR="00C41A2C" w:rsidRPr="00C41A2C">
        <w:t>a volunteer-based, open collection of global stakeholders, including: businesses, Internet engineers, technical experts, civil society, governments (including law enforcement), end users</w:t>
      </w:r>
      <w:r w:rsidR="00F713C2">
        <w:t>,</w:t>
      </w:r>
      <w:r w:rsidR="00C41A2C" w:rsidRPr="00C41A2C">
        <w:t xml:space="preserve"> and </w:t>
      </w:r>
      <w:r w:rsidR="00F713C2">
        <w:t xml:space="preserve">domain name </w:t>
      </w:r>
      <w:r w:rsidR="002414C9">
        <w:t>registrars and registries</w:t>
      </w:r>
      <w:r w:rsidR="00C41A2C" w:rsidRPr="00C41A2C">
        <w:t xml:space="preserve">. The community works together through a bottom-up process to give advice, make policy recommendations, conduct reviews and propose implementation solutions for common problems within ICANN’s mission and scope. </w:t>
      </w:r>
    </w:p>
    <w:p w14:paraId="2942AF3D" w14:textId="77777777" w:rsidR="00161AE4" w:rsidRDefault="00161AE4" w:rsidP="00161AE4"/>
    <w:p w14:paraId="7E497B31" w14:textId="4352B3A7" w:rsidR="001401CA" w:rsidRDefault="00161AE4">
      <w:r>
        <w:t xml:space="preserve">ICANN </w:t>
      </w:r>
      <w:r w:rsidR="00B85A75">
        <w:t xml:space="preserve">and the EPDP team </w:t>
      </w:r>
      <w:r>
        <w:t>ha</w:t>
      </w:r>
      <w:r w:rsidR="00B85A75">
        <w:t>ve</w:t>
      </w:r>
      <w:r>
        <w:t xml:space="preserve"> been closely following developing data privacy and protection regulations, to determine the potential impact to the services and functions </w:t>
      </w:r>
      <w:r w:rsidR="00B85A75">
        <w:t xml:space="preserve">for which </w:t>
      </w:r>
      <w:r>
        <w:t>ICANN</w:t>
      </w:r>
      <w:r w:rsidR="00B85A75">
        <w:t xml:space="preserve"> and domain name registrars and registries</w:t>
      </w:r>
      <w:r>
        <w:t xml:space="preserve"> </w:t>
      </w:r>
      <w:r w:rsidR="001D6B9A">
        <w:t>are</w:t>
      </w:r>
      <w:r>
        <w:t xml:space="preserve"> responsible</w:t>
      </w:r>
      <w:r w:rsidR="00B85A75">
        <w:t xml:space="preserve">. This includes GDPR’s effect on the publicly available </w:t>
      </w:r>
      <w:r>
        <w:t>W</w:t>
      </w:r>
      <w:r w:rsidR="00B85A75">
        <w:t>hois database</w:t>
      </w:r>
      <w:r w:rsidR="00E96B19">
        <w:t xml:space="preserve">, a </w:t>
      </w:r>
      <w:r w:rsidR="00E96B19" w:rsidRPr="00C41A2C">
        <w:t xml:space="preserve">globally distributed repository of information, known as registration data, that provides </w:t>
      </w:r>
      <w:r w:rsidR="00E96B19">
        <w:t xml:space="preserve">registered domain name holder </w:t>
      </w:r>
      <w:r w:rsidR="00E96B19" w:rsidRPr="00C41A2C">
        <w:t>contact, and other information</w:t>
      </w:r>
      <w:r>
        <w:t xml:space="preserve">. </w:t>
      </w:r>
      <w:r w:rsidR="00B85A75">
        <w:t>In particular, the</w:t>
      </w:r>
      <w:r>
        <w:t xml:space="preserve"> EPDP Team </w:t>
      </w:r>
      <w:r w:rsidR="001401CA">
        <w:t xml:space="preserve">has been tasked to determine if the Temporary Specification for gTLD Registration Data, which was adopted by the ICANN Board in May 2017, should be adopted as is or with modifications, while complying with the GDPR and other relevant privacy and data protection laws. </w:t>
      </w:r>
    </w:p>
    <w:p w14:paraId="6408044E" w14:textId="77777777" w:rsidR="00161AE4" w:rsidRDefault="00161AE4"/>
    <w:p w14:paraId="229A07C5" w14:textId="4343B37E" w:rsidR="00161AE4" w:rsidRDefault="005B7571">
      <w:r>
        <w:t>To inform</w:t>
      </w:r>
      <w:r w:rsidR="00161AE4" w:rsidRPr="00161AE4">
        <w:t xml:space="preserve"> its work, the EPDP Team </w:t>
      </w:r>
      <w:r>
        <w:t>undertook a careful</w:t>
      </w:r>
      <w:r w:rsidR="00161AE4" w:rsidRPr="00161AE4">
        <w:t xml:space="preserve"> review of each of the data elements collected</w:t>
      </w:r>
      <w:r>
        <w:t xml:space="preserve"> in the domain name registration process</w:t>
      </w:r>
      <w:r w:rsidR="00161AE4" w:rsidRPr="00161AE4">
        <w:t>, the purpose for its processing</w:t>
      </w:r>
      <w:r>
        <w:t>,</w:t>
      </w:r>
      <w:r w:rsidR="00161AE4" w:rsidRPr="00161AE4">
        <w:t xml:space="preserve"> and the legal basis for that data processing.</w:t>
      </w:r>
    </w:p>
    <w:p w14:paraId="0A28C578" w14:textId="77777777" w:rsidR="001401CA" w:rsidRDefault="001401CA"/>
    <w:p w14:paraId="09B67888" w14:textId="60A9A674" w:rsidR="00EA3D6E" w:rsidRDefault="00EA3D6E">
      <w:r>
        <w:lastRenderedPageBreak/>
        <w:t>T</w:t>
      </w:r>
      <w:r w:rsidR="001401CA">
        <w:t xml:space="preserve">he Team has published an Initial Report for public comment </w:t>
      </w:r>
      <w:r>
        <w:t>describing</w:t>
      </w:r>
      <w:r w:rsidR="001401CA">
        <w:t xml:space="preserve"> preliminary recommendations </w:t>
      </w:r>
      <w:r>
        <w:t xml:space="preserve">for operating in a GDPR-compliant manner and also answering </w:t>
      </w:r>
      <w:r w:rsidR="001401CA">
        <w:t>questions</w:t>
      </w:r>
      <w:r>
        <w:t xml:space="preserve"> posed</w:t>
      </w:r>
      <w:r w:rsidR="001401CA">
        <w:t xml:space="preserve"> in the EPDP Team’s Charter. </w:t>
      </w:r>
      <w:r>
        <w:t>Data</w:t>
      </w:r>
      <w:r w:rsidR="009558B3">
        <w:t xml:space="preserve"> Elements Workbooks,</w:t>
      </w:r>
      <w:r w:rsidR="00360627">
        <w:t xml:space="preserve"> which are tools to</w:t>
      </w:r>
      <w:r w:rsidR="009558B3">
        <w:t xml:space="preserve"> captur</w:t>
      </w:r>
      <w:r w:rsidR="00360627">
        <w:t>e</w:t>
      </w:r>
      <w:r w:rsidR="009558B3">
        <w:t xml:space="preserve"> the data processing analysis described above</w:t>
      </w:r>
      <w:r w:rsidR="001F0324">
        <w:t>,</w:t>
      </w:r>
      <w:r w:rsidR="009558B3">
        <w:t xml:space="preserve"> can be found in the Initial Report Annex.</w:t>
      </w:r>
    </w:p>
    <w:p w14:paraId="3D915114" w14:textId="77777777" w:rsidR="00EA3D6E" w:rsidRDefault="00EA3D6E"/>
    <w:p w14:paraId="16ECAC65" w14:textId="289773EC" w:rsidR="00D45A61" w:rsidRDefault="001401CA">
      <w:r>
        <w:t xml:space="preserve">In its </w:t>
      </w:r>
      <w:r w:rsidR="009558B3">
        <w:t>work</w:t>
      </w:r>
      <w:r>
        <w:t xml:space="preserve">, the EPDP Team benefited from the advice </w:t>
      </w:r>
      <w:r w:rsidR="009558B3">
        <w:t>the EDPB</w:t>
      </w:r>
      <w:r>
        <w:t xml:space="preserve"> provided to ICANN in previous communications and</w:t>
      </w:r>
      <w:r w:rsidR="00D45A61">
        <w:t xml:space="preserve">, </w:t>
      </w:r>
      <w:r>
        <w:t>in</w:t>
      </w:r>
      <w:r w:rsidR="00D45A61">
        <w:t xml:space="preserve"> particular,</w:t>
      </w:r>
      <w:r>
        <w:t xml:space="preserve"> your letter dated 5 July 2018 (see </w:t>
      </w:r>
      <w:hyperlink r:id="rId7" w:history="1">
        <w:r w:rsidRPr="00495F73">
          <w:rPr>
            <w:rStyle w:val="Hyperlink"/>
          </w:rPr>
          <w:t>https://www.icann.org/en/system/files/correspondence/jelinek-to-marby-05jul18-en.pdf</w:t>
        </w:r>
      </w:hyperlink>
      <w:r>
        <w:t xml:space="preserve">). </w:t>
      </w:r>
    </w:p>
    <w:p w14:paraId="258C443E" w14:textId="77777777" w:rsidR="00D45A61" w:rsidRDefault="00D45A61"/>
    <w:p w14:paraId="592C4936" w14:textId="06613949" w:rsidR="001401CA" w:rsidRDefault="00D45A61">
      <w:r>
        <w:t>W</w:t>
      </w:r>
      <w:r w:rsidR="001401CA">
        <w:t xml:space="preserve">e would appreciate any guidance or feedback you may have on the </w:t>
      </w:r>
      <w:r>
        <w:t>Initial Report</w:t>
      </w:r>
      <w:r w:rsidR="001401CA">
        <w:t xml:space="preserve">. However, </w:t>
      </w:r>
      <w:r w:rsidR="002E6A52">
        <w:t xml:space="preserve">the EPDP work contains both factual and legal analysis. </w:t>
      </w:r>
      <w:r w:rsidR="001401CA">
        <w:t xml:space="preserve"> </w:t>
      </w:r>
      <w:r w:rsidR="002E6A52">
        <w:t>W</w:t>
      </w:r>
      <w:r w:rsidR="001401CA">
        <w:t xml:space="preserve">e </w:t>
      </w:r>
      <w:r>
        <w:t>have some</w:t>
      </w:r>
      <w:r w:rsidR="001401CA">
        <w:t xml:space="preserve"> specific questions </w:t>
      </w:r>
      <w:r>
        <w:t>where</w:t>
      </w:r>
      <w:r w:rsidR="001401CA">
        <w:t xml:space="preserve"> the EPDP Team </w:t>
      </w:r>
      <w:r>
        <w:t>is uncertain of GDPR’s effect in specific instances and</w:t>
      </w:r>
      <w:r w:rsidR="001401CA">
        <w:t xml:space="preserve"> would appreciate your guidance</w:t>
      </w:r>
      <w:r>
        <w:t>.</w:t>
      </w:r>
    </w:p>
    <w:p w14:paraId="13017470" w14:textId="77777777" w:rsidR="001401CA" w:rsidRDefault="001401CA"/>
    <w:p w14:paraId="39DC9BAB" w14:textId="12A562FB" w:rsidR="001401CA" w:rsidRPr="006671C4" w:rsidRDefault="00402E11" w:rsidP="006671C4">
      <w:pPr>
        <w:pStyle w:val="ListParagraph"/>
        <w:numPr>
          <w:ilvl w:val="0"/>
          <w:numId w:val="4"/>
        </w:numPr>
        <w:rPr>
          <w:rFonts w:cstheme="minorHAnsi"/>
          <w:b/>
          <w:i/>
          <w:u w:val="single"/>
        </w:rPr>
      </w:pPr>
      <w:r w:rsidRPr="006671C4">
        <w:rPr>
          <w:rFonts w:cstheme="minorHAnsi"/>
          <w:b/>
          <w:i/>
          <w:u w:val="single"/>
        </w:rPr>
        <w:t xml:space="preserve">Designating a third party as a </w:t>
      </w:r>
      <w:r w:rsidR="005558C4" w:rsidRPr="006671C4">
        <w:rPr>
          <w:rFonts w:cstheme="minorHAnsi"/>
          <w:b/>
          <w:i/>
          <w:u w:val="single"/>
        </w:rPr>
        <w:t xml:space="preserve">technical or administrative </w:t>
      </w:r>
      <w:r w:rsidRPr="006671C4">
        <w:rPr>
          <w:rFonts w:cstheme="minorHAnsi"/>
          <w:b/>
          <w:i/>
          <w:u w:val="single"/>
        </w:rPr>
        <w:t>contact</w:t>
      </w:r>
    </w:p>
    <w:p w14:paraId="5F4CC4B0" w14:textId="77777777" w:rsidR="00402E11" w:rsidRPr="00402E11" w:rsidRDefault="00402E11" w:rsidP="00402E11">
      <w:pPr>
        <w:rPr>
          <w:rFonts w:cstheme="minorHAnsi"/>
        </w:rPr>
      </w:pPr>
    </w:p>
    <w:p w14:paraId="0D1E3B25" w14:textId="77777777" w:rsidR="00525B47" w:rsidRPr="006671C4" w:rsidRDefault="00525B47" w:rsidP="00402E11">
      <w:pPr>
        <w:rPr>
          <w:rFonts w:cstheme="minorHAnsi"/>
          <w:i/>
        </w:rPr>
      </w:pPr>
      <w:r w:rsidRPr="006671C4">
        <w:rPr>
          <w:rFonts w:cstheme="minorHAnsi"/>
          <w:i/>
        </w:rPr>
        <w:t xml:space="preserve">Background: </w:t>
      </w:r>
    </w:p>
    <w:p w14:paraId="48D72779" w14:textId="77777777" w:rsidR="00525B47" w:rsidRDefault="00525B47" w:rsidP="00402E11">
      <w:pPr>
        <w:rPr>
          <w:rFonts w:cstheme="minorHAnsi"/>
        </w:rPr>
      </w:pPr>
    </w:p>
    <w:p w14:paraId="1F227E6A" w14:textId="5ADF4CDB" w:rsidR="00402E11" w:rsidRPr="00402E11" w:rsidRDefault="00402E11" w:rsidP="00402E11">
      <w:pPr>
        <w:rPr>
          <w:rFonts w:cstheme="minorHAnsi"/>
        </w:rPr>
      </w:pPr>
      <w:r w:rsidRPr="00402E11">
        <w:rPr>
          <w:rFonts w:cstheme="minorHAnsi"/>
        </w:rPr>
        <w:t xml:space="preserve">In your letter of 5 July, </w:t>
      </w:r>
      <w:r w:rsidR="00254C72">
        <w:rPr>
          <w:rFonts w:cstheme="minorHAnsi"/>
        </w:rPr>
        <w:t>the EDPB</w:t>
      </w:r>
      <w:r w:rsidR="00254C72" w:rsidRPr="00402E11">
        <w:rPr>
          <w:rFonts w:cstheme="minorHAnsi"/>
        </w:rPr>
        <w:t xml:space="preserve"> </w:t>
      </w:r>
      <w:r w:rsidRPr="00402E11">
        <w:rPr>
          <w:rFonts w:cstheme="minorHAnsi"/>
        </w:rPr>
        <w:t>stated that</w:t>
      </w:r>
      <w:r w:rsidR="00254C72">
        <w:rPr>
          <w:rFonts w:cstheme="minorHAnsi"/>
        </w:rPr>
        <w:t>:</w:t>
      </w:r>
    </w:p>
    <w:p w14:paraId="09586042" w14:textId="77777777" w:rsidR="00402E11" w:rsidRDefault="00402E11" w:rsidP="00402E11">
      <w:pPr>
        <w:pStyle w:val="ListParagraph"/>
        <w:rPr>
          <w:rFonts w:cstheme="minorHAnsi"/>
        </w:rPr>
      </w:pPr>
    </w:p>
    <w:p w14:paraId="1E717CD9" w14:textId="2E947A1B" w:rsidR="00402E11" w:rsidRDefault="004E2D03" w:rsidP="00402E11">
      <w:pPr>
        <w:ind w:left="720"/>
        <w:rPr>
          <w:rFonts w:cstheme="minorHAnsi"/>
        </w:rPr>
      </w:pPr>
      <w:r>
        <w:rPr>
          <w:rFonts w:cstheme="minorHAnsi"/>
        </w:rPr>
        <w:t>“</w:t>
      </w:r>
      <w:r w:rsidR="00402E11" w:rsidRPr="00402E11">
        <w:rPr>
          <w:rFonts w:cstheme="minorHAnsi"/>
        </w:rPr>
        <w:t>The EDPB considers that registrants should in principle not be required to provide personal data directly identifying individual employees (or third parties) fulfilling the administrative or technical functions on behalf of the registrant. Instead, registrants should be provided with the option of providing contact details for persons other than themselves if they wish to delegate these functions and facilitate direct communication with the persons concerned. It should therefore be made clear, as part of the registration process, that the registrant is free to (1) designate the same person as the registrant (or its representative) as the administrative or technical contact; or (2) provide contact information which does not directly identify the administrative or technical contact person concerned (e.g. admin@company.com). For the avoidance of doubt, the EDPB recommends explicitly clarifying this within future updates of the Temporary Specification.</w:t>
      </w:r>
      <w:r>
        <w:rPr>
          <w:rFonts w:cstheme="minorHAnsi"/>
        </w:rPr>
        <w:t>”</w:t>
      </w:r>
    </w:p>
    <w:p w14:paraId="02CF6581" w14:textId="77777777" w:rsidR="00402E11" w:rsidRPr="00402E11" w:rsidRDefault="00402E11" w:rsidP="00402E11">
      <w:pPr>
        <w:ind w:left="720"/>
        <w:rPr>
          <w:rFonts w:cstheme="minorHAnsi"/>
        </w:rPr>
      </w:pPr>
    </w:p>
    <w:p w14:paraId="01D58DF9" w14:textId="6F18463C" w:rsidR="005558C4" w:rsidRDefault="005558C4" w:rsidP="00402E11">
      <w:pPr>
        <w:rPr>
          <w:rFonts w:cstheme="minorHAnsi"/>
        </w:rPr>
      </w:pPr>
      <w:proofErr w:type="gramStart"/>
      <w:r>
        <w:rPr>
          <w:rFonts w:cstheme="minorHAnsi"/>
        </w:rPr>
        <w:t>A</w:t>
      </w:r>
      <w:r w:rsidR="00402E11" w:rsidRPr="00402E11">
        <w:rPr>
          <w:rFonts w:cstheme="minorHAnsi"/>
        </w:rPr>
        <w:t xml:space="preserve"> related footnote states</w:t>
      </w:r>
      <w:proofErr w:type="gramEnd"/>
      <w:r w:rsidR="00402E11" w:rsidRPr="00402E11">
        <w:rPr>
          <w:rFonts w:cstheme="minorHAnsi"/>
        </w:rPr>
        <w:t>, “[if contact details for persons other than the RNH are provided] it should be ensured that the individual concerned is informed</w:t>
      </w:r>
      <w:r>
        <w:rPr>
          <w:rFonts w:cstheme="minorHAnsi"/>
        </w:rPr>
        <w:t>.</w:t>
      </w:r>
      <w:r w:rsidR="00402E11" w:rsidRPr="00402E11">
        <w:rPr>
          <w:rFonts w:cstheme="minorHAnsi"/>
        </w:rPr>
        <w:t xml:space="preserve">” </w:t>
      </w:r>
    </w:p>
    <w:p w14:paraId="351F73AC" w14:textId="77777777" w:rsidR="005558C4" w:rsidRDefault="005558C4" w:rsidP="00402E11">
      <w:pPr>
        <w:rPr>
          <w:rFonts w:cstheme="minorHAnsi"/>
        </w:rPr>
      </w:pPr>
    </w:p>
    <w:p w14:paraId="5FC9A631" w14:textId="77777777" w:rsidR="00525B47" w:rsidRPr="006671C4" w:rsidRDefault="00525B47" w:rsidP="00402E11">
      <w:pPr>
        <w:rPr>
          <w:rFonts w:cstheme="minorHAnsi"/>
          <w:i/>
        </w:rPr>
      </w:pPr>
      <w:r w:rsidRPr="006671C4">
        <w:rPr>
          <w:rFonts w:cstheme="minorHAnsi"/>
          <w:i/>
        </w:rPr>
        <w:t xml:space="preserve">Question: </w:t>
      </w:r>
    </w:p>
    <w:p w14:paraId="63DE377E" w14:textId="77777777" w:rsidR="00525B47" w:rsidRDefault="00525B47" w:rsidP="00402E11">
      <w:pPr>
        <w:rPr>
          <w:rFonts w:cstheme="minorHAnsi"/>
        </w:rPr>
      </w:pPr>
    </w:p>
    <w:p w14:paraId="0AA8B97F" w14:textId="114B5022" w:rsidR="00525B47" w:rsidRDefault="00525B47" w:rsidP="00402E11">
      <w:pPr>
        <w:rPr>
          <w:rFonts w:cstheme="minorHAnsi"/>
        </w:rPr>
      </w:pPr>
      <w:r>
        <w:rPr>
          <w:rFonts w:cstheme="minorHAnsi"/>
        </w:rPr>
        <w:t xml:space="preserve">In the case where the registered name holder designates a third party as a contact and provides that person’s contact information: </w:t>
      </w:r>
    </w:p>
    <w:p w14:paraId="567726FC" w14:textId="56AB1108" w:rsidR="00525B47" w:rsidRDefault="00525B47" w:rsidP="006671C4">
      <w:pPr>
        <w:pStyle w:val="ListParagraph"/>
        <w:numPr>
          <w:ilvl w:val="0"/>
          <w:numId w:val="5"/>
        </w:numPr>
        <w:rPr>
          <w:rFonts w:cstheme="minorHAnsi"/>
        </w:rPr>
      </w:pPr>
      <w:r>
        <w:rPr>
          <w:rFonts w:cstheme="minorHAnsi"/>
        </w:rPr>
        <w:t xml:space="preserve">In accordance with the footnote, </w:t>
      </w:r>
      <w:r w:rsidR="00EE42F2">
        <w:rPr>
          <w:rFonts w:cstheme="minorHAnsi"/>
        </w:rPr>
        <w:t>i</w:t>
      </w:r>
      <w:r>
        <w:rPr>
          <w:rFonts w:cstheme="minorHAnsi"/>
        </w:rPr>
        <w:t>s it adequate that registrar informs the registered name holder of her/his duty to inform the third party of any such action?</w:t>
      </w:r>
    </w:p>
    <w:p w14:paraId="17A43E91" w14:textId="2852F27A" w:rsidR="00525B47" w:rsidRPr="00525B47" w:rsidRDefault="00525B47" w:rsidP="006671C4">
      <w:pPr>
        <w:pStyle w:val="ListParagraph"/>
        <w:numPr>
          <w:ilvl w:val="0"/>
          <w:numId w:val="5"/>
        </w:numPr>
        <w:rPr>
          <w:rFonts w:cstheme="minorHAnsi"/>
        </w:rPr>
      </w:pPr>
      <w:r>
        <w:rPr>
          <w:rFonts w:cstheme="minorHAnsi"/>
        </w:rPr>
        <w:t>If not, is consent, as defined by GDPR, required where the registered name holder designates a third party as a contact and provides that person’s contact information</w:t>
      </w:r>
      <w:r w:rsidR="00522149">
        <w:rPr>
          <w:rFonts w:cstheme="minorHAnsi"/>
        </w:rPr>
        <w:t>?</w:t>
      </w:r>
    </w:p>
    <w:p w14:paraId="65C9BF77" w14:textId="77777777" w:rsidR="00402E11" w:rsidRDefault="00402E11" w:rsidP="00402E11">
      <w:pPr>
        <w:rPr>
          <w:rFonts w:cstheme="minorHAnsi"/>
        </w:rPr>
      </w:pPr>
    </w:p>
    <w:p w14:paraId="07C329FA" w14:textId="69CADDF5" w:rsidR="00402E11" w:rsidRPr="006671C4" w:rsidRDefault="00402E11" w:rsidP="006671C4">
      <w:pPr>
        <w:pStyle w:val="ListParagraph"/>
        <w:numPr>
          <w:ilvl w:val="0"/>
          <w:numId w:val="4"/>
        </w:numPr>
        <w:rPr>
          <w:rFonts w:cstheme="minorHAnsi"/>
          <w:b/>
          <w:i/>
          <w:u w:val="single"/>
        </w:rPr>
      </w:pPr>
      <w:r w:rsidRPr="006671C4">
        <w:rPr>
          <w:rFonts w:cstheme="minorHAnsi"/>
          <w:b/>
          <w:i/>
          <w:u w:val="single"/>
        </w:rPr>
        <w:t xml:space="preserve">Processing of data that </w:t>
      </w:r>
      <w:r w:rsidR="00B916C1">
        <w:rPr>
          <w:rFonts w:cstheme="minorHAnsi"/>
          <w:b/>
          <w:i/>
          <w:u w:val="single"/>
        </w:rPr>
        <w:t>distinguishes between</w:t>
      </w:r>
      <w:r w:rsidR="00B916C1" w:rsidRPr="006671C4">
        <w:rPr>
          <w:rFonts w:cstheme="minorHAnsi"/>
          <w:b/>
          <w:i/>
          <w:u w:val="single"/>
        </w:rPr>
        <w:t xml:space="preserve"> </w:t>
      </w:r>
      <w:r w:rsidRPr="006671C4">
        <w:rPr>
          <w:rFonts w:cstheme="minorHAnsi"/>
          <w:b/>
          <w:i/>
          <w:u w:val="single"/>
        </w:rPr>
        <w:t xml:space="preserve">natural and legal person </w:t>
      </w:r>
    </w:p>
    <w:p w14:paraId="652E04F4" w14:textId="77777777" w:rsidR="00402E11" w:rsidRDefault="00402E11" w:rsidP="00402E11">
      <w:pPr>
        <w:rPr>
          <w:rFonts w:cstheme="minorHAnsi"/>
          <w:i/>
        </w:rPr>
      </w:pPr>
    </w:p>
    <w:p w14:paraId="536094E7" w14:textId="77777777" w:rsidR="00522149" w:rsidRPr="006671C4" w:rsidRDefault="00522149" w:rsidP="00402E11">
      <w:pPr>
        <w:textAlignment w:val="baseline"/>
        <w:rPr>
          <w:i/>
        </w:rPr>
      </w:pPr>
      <w:r w:rsidRPr="006671C4">
        <w:rPr>
          <w:i/>
        </w:rPr>
        <w:t xml:space="preserve">Background: </w:t>
      </w:r>
    </w:p>
    <w:p w14:paraId="3860C52F" w14:textId="77777777" w:rsidR="00522149" w:rsidRDefault="00522149" w:rsidP="00402E11">
      <w:pPr>
        <w:textAlignment w:val="baseline"/>
      </w:pPr>
    </w:p>
    <w:p w14:paraId="3180FA21" w14:textId="3B3D43DA" w:rsidR="00402E11" w:rsidRDefault="00402E11" w:rsidP="00402E11">
      <w:pPr>
        <w:textAlignment w:val="baseline"/>
      </w:pPr>
      <w:r>
        <w:t>The EPDP Team also considered the EDPB Advice in relation to this topic:</w:t>
      </w:r>
    </w:p>
    <w:p w14:paraId="3C0896A2" w14:textId="77777777" w:rsidR="00402E11" w:rsidRDefault="00402E11" w:rsidP="00402E11">
      <w:pPr>
        <w:textAlignment w:val="baseline"/>
      </w:pPr>
    </w:p>
    <w:p w14:paraId="3087AC1B" w14:textId="503ED709" w:rsidR="00402E11" w:rsidRDefault="004E2D03" w:rsidP="00402E11">
      <w:pPr>
        <w:ind w:left="720"/>
        <w:textAlignment w:val="baseline"/>
      </w:pPr>
      <w:r>
        <w:t>“</w:t>
      </w:r>
      <w:r w:rsidR="00402E11" w:rsidRPr="00BF5836">
        <w:t>The GDPR does not apply to the processing of personal data which concerns legal persons and in particular undertakings established as legal persons, including the name and the form of the legal person and the contact details of the legal person. While the contact details of a legal person are outside the scope of the GDPR, the contact details concerning natural persons are within the scope of the GDPR, as well as any other information relating to an identified or identifiable natural person.</w:t>
      </w:r>
      <w:r w:rsidR="00402E11">
        <w:rPr>
          <w:rStyle w:val="FootnoteReference"/>
        </w:rPr>
        <w:footnoteReference w:id="1"/>
      </w:r>
    </w:p>
    <w:p w14:paraId="5FE246D2" w14:textId="77777777" w:rsidR="00402E11" w:rsidRDefault="00402E11" w:rsidP="00402E11">
      <w:pPr>
        <w:ind w:left="720"/>
        <w:textAlignment w:val="baseline"/>
      </w:pPr>
    </w:p>
    <w:p w14:paraId="06C3DD47" w14:textId="77777777" w:rsidR="00402E11" w:rsidRDefault="00402E11" w:rsidP="00402E11">
      <w:pPr>
        <w:ind w:left="720"/>
        <w:textAlignment w:val="baseline"/>
      </w:pPr>
      <w:r w:rsidRPr="00BF5836">
        <w:t>The mere fact that a registrant is a legal person does not necessarily justify unlimited publication</w:t>
      </w:r>
      <w:r>
        <w:t xml:space="preserve"> </w:t>
      </w:r>
      <w:r w:rsidRPr="00BF5836">
        <w:t>of personal data relating to natural persons who work for or represent that organization, such as</w:t>
      </w:r>
      <w:r>
        <w:t xml:space="preserve"> </w:t>
      </w:r>
      <w:r w:rsidRPr="00BF5836">
        <w:t>natural persons who manage administrative or technical issues on behalf of the registrant.</w:t>
      </w:r>
      <w:r>
        <w:t xml:space="preserve"> </w:t>
      </w:r>
    </w:p>
    <w:p w14:paraId="230CB15B" w14:textId="77777777" w:rsidR="00402E11" w:rsidRDefault="00402E11" w:rsidP="00402E11">
      <w:pPr>
        <w:ind w:left="720"/>
        <w:textAlignment w:val="baseline"/>
      </w:pPr>
    </w:p>
    <w:p w14:paraId="38FCAB41" w14:textId="77777777" w:rsidR="00402E11" w:rsidRDefault="00402E11" w:rsidP="00402E11">
      <w:pPr>
        <w:ind w:left="720"/>
        <w:textAlignment w:val="baseline"/>
      </w:pPr>
      <w:r w:rsidRPr="00BF5836">
        <w:t>For example, the publication of the personal email address of a technical contact person consisting</w:t>
      </w:r>
      <w:r>
        <w:t xml:space="preserve"> </w:t>
      </w:r>
      <w:r w:rsidRPr="00BF5836">
        <w:t>of can reveal information regarding their current employer as</w:t>
      </w:r>
      <w:r>
        <w:t xml:space="preserve"> </w:t>
      </w:r>
      <w:r w:rsidRPr="00BF5836">
        <w:t>well as their role within the organization. Together with the address of the registrant, it may also</w:t>
      </w:r>
      <w:r>
        <w:t xml:space="preserve"> </w:t>
      </w:r>
      <w:r w:rsidRPr="00BF5836">
        <w:t>reveal information about his or her place of work.</w:t>
      </w:r>
    </w:p>
    <w:p w14:paraId="5042A31F" w14:textId="77777777" w:rsidR="00402E11" w:rsidRPr="00BF5836" w:rsidRDefault="00402E11" w:rsidP="00402E11">
      <w:pPr>
        <w:ind w:left="720"/>
        <w:textAlignment w:val="baseline"/>
      </w:pPr>
    </w:p>
    <w:p w14:paraId="2778B32E" w14:textId="0606F469" w:rsidR="00402E11" w:rsidRPr="00BF5836" w:rsidRDefault="00402E11" w:rsidP="00402E11">
      <w:pPr>
        <w:ind w:left="720"/>
        <w:textAlignment w:val="baseline"/>
      </w:pPr>
      <w:r w:rsidRPr="00BF5836">
        <w:t>In light of these considerations, the EDPB considers that personal data identifying individual</w:t>
      </w:r>
      <w:r>
        <w:t xml:space="preserve"> </w:t>
      </w:r>
      <w:r w:rsidRPr="00BF5836">
        <w:t>employees (or third parties) acting on behalf of the registrant should not be made publically,</w:t>
      </w:r>
      <w:r>
        <w:t xml:space="preserve"> </w:t>
      </w:r>
      <w:r w:rsidRPr="00BF5836">
        <w:t>available by default in the context of WHOIS. If the registrant provides (or the registrar ensures)</w:t>
      </w:r>
      <w:r>
        <w:t xml:space="preserve"> </w:t>
      </w:r>
      <w:r w:rsidRPr="00BF5836">
        <w:t>generic contact email information (e.g. admin@domain.com), the EDPB does not consider that the</w:t>
      </w:r>
      <w:r>
        <w:t xml:space="preserve"> </w:t>
      </w:r>
      <w:r w:rsidRPr="00BF5836">
        <w:t>publication of such data in the context of WHOIS would be unlawful as such.</w:t>
      </w:r>
      <w:r w:rsidR="004E2D03">
        <w:t>”</w:t>
      </w:r>
    </w:p>
    <w:p w14:paraId="5C7EBA29" w14:textId="2E303858" w:rsidR="00402E11" w:rsidRDefault="00243A08" w:rsidP="00402E11">
      <w:pPr>
        <w:rPr>
          <w:rFonts w:cstheme="minorHAnsi"/>
          <w:i/>
        </w:rPr>
      </w:pPr>
      <w:r>
        <w:rPr>
          <w:rFonts w:cstheme="minorHAnsi"/>
          <w:i/>
        </w:rPr>
        <w:br/>
        <w:t xml:space="preserve">Question: </w:t>
      </w:r>
    </w:p>
    <w:p w14:paraId="0AEE5094" w14:textId="77777777" w:rsidR="00243A08" w:rsidRDefault="00243A08" w:rsidP="006671C4">
      <w:pPr>
        <w:rPr>
          <w:rFonts w:cstheme="minorHAnsi"/>
        </w:rPr>
      </w:pPr>
    </w:p>
    <w:p w14:paraId="3BAA2B51" w14:textId="372948DA" w:rsidR="006F1CED" w:rsidRDefault="00402E11" w:rsidP="006671C4">
      <w:pPr>
        <w:rPr>
          <w:rFonts w:cstheme="minorHAnsi"/>
        </w:rPr>
      </w:pPr>
      <w:r>
        <w:rPr>
          <w:rFonts w:cstheme="minorHAnsi"/>
        </w:rPr>
        <w:t>T</w:t>
      </w:r>
      <w:r w:rsidRPr="00402E11">
        <w:rPr>
          <w:rFonts w:cstheme="minorHAnsi"/>
        </w:rPr>
        <w:t>he EPDP Team</w:t>
      </w:r>
      <w:r>
        <w:rPr>
          <w:rFonts w:cstheme="minorHAnsi"/>
        </w:rPr>
        <w:t xml:space="preserve"> is</w:t>
      </w:r>
      <w:r w:rsidRPr="00402E11">
        <w:rPr>
          <w:rFonts w:cstheme="minorHAnsi"/>
        </w:rPr>
        <w:t xml:space="preserve"> consider</w:t>
      </w:r>
      <w:r>
        <w:rPr>
          <w:rFonts w:cstheme="minorHAnsi"/>
        </w:rPr>
        <w:t xml:space="preserve">ing </w:t>
      </w:r>
      <w:r w:rsidRPr="00402E11">
        <w:rPr>
          <w:rFonts w:cstheme="minorHAnsi"/>
        </w:rPr>
        <w:t>whether it would be possible or desirable to distinguish between natural and legal persons in the context of domain name registrations</w:t>
      </w:r>
      <w:r w:rsidR="006F1CED">
        <w:rPr>
          <w:rFonts w:cstheme="minorHAnsi"/>
        </w:rPr>
        <w:t xml:space="preserve">. </w:t>
      </w:r>
    </w:p>
    <w:p w14:paraId="35257021" w14:textId="77777777" w:rsidR="006F1CED" w:rsidRDefault="006F1CED" w:rsidP="006671C4">
      <w:pPr>
        <w:rPr>
          <w:rFonts w:cstheme="minorHAnsi"/>
        </w:rPr>
      </w:pPr>
    </w:p>
    <w:p w14:paraId="04B8978E" w14:textId="46A9D5CE" w:rsidR="00402E11" w:rsidRPr="00402E11" w:rsidRDefault="006F1CED" w:rsidP="006671C4">
      <w:pPr>
        <w:rPr>
          <w:rFonts w:cstheme="minorHAnsi"/>
        </w:rPr>
      </w:pPr>
      <w:r>
        <w:rPr>
          <w:rFonts w:cstheme="minorHAnsi"/>
        </w:rPr>
        <w:t>I</w:t>
      </w:r>
      <w:r w:rsidR="00402E11" w:rsidRPr="00402E11">
        <w:rPr>
          <w:rFonts w:cstheme="minorHAnsi"/>
        </w:rPr>
        <w:t xml:space="preserve">f registrars </w:t>
      </w:r>
      <w:r>
        <w:rPr>
          <w:rFonts w:cstheme="minorHAnsi"/>
        </w:rPr>
        <w:t>enable</w:t>
      </w:r>
      <w:r w:rsidR="00F00434">
        <w:rPr>
          <w:rFonts w:cstheme="minorHAnsi"/>
        </w:rPr>
        <w:t xml:space="preserve"> Registered Name Holders</w:t>
      </w:r>
      <w:r w:rsidR="00402E11" w:rsidRPr="00402E11">
        <w:rPr>
          <w:rFonts w:cstheme="minorHAnsi"/>
        </w:rPr>
        <w:t xml:space="preserve"> to self-identify at the time </w:t>
      </w:r>
      <w:r>
        <w:rPr>
          <w:rFonts w:cstheme="minorHAnsi"/>
        </w:rPr>
        <w:t xml:space="preserve">of registration </w:t>
      </w:r>
      <w:r w:rsidR="00402E11" w:rsidRPr="00402E11">
        <w:rPr>
          <w:rFonts w:cstheme="minorHAnsi"/>
        </w:rPr>
        <w:t xml:space="preserve">as a natural or legal person, </w:t>
      </w:r>
      <w:r>
        <w:rPr>
          <w:rFonts w:cstheme="minorHAnsi"/>
        </w:rPr>
        <w:t>will the registrar be</w:t>
      </w:r>
      <w:r w:rsidR="00402E11" w:rsidRPr="00402E11">
        <w:rPr>
          <w:rFonts w:cstheme="minorHAnsi"/>
        </w:rPr>
        <w:t xml:space="preserve"> liable if the registrant incorrectly self-identifies and personal inf</w:t>
      </w:r>
      <w:r w:rsidR="00D04C30">
        <w:rPr>
          <w:rFonts w:cstheme="minorHAnsi"/>
        </w:rPr>
        <w:t xml:space="preserve">ormation is publicly displayed? </w:t>
      </w:r>
      <w:r w:rsidR="00402E11" w:rsidRPr="00402E11">
        <w:rPr>
          <w:rFonts w:cstheme="minorHAnsi"/>
        </w:rPr>
        <w:t xml:space="preserve">Apart from self-identification, and educational materials to inform the </w:t>
      </w:r>
      <w:r w:rsidR="00F00434">
        <w:rPr>
          <w:rFonts w:cstheme="minorHAnsi"/>
        </w:rPr>
        <w:t>Registered Name Holder</w:t>
      </w:r>
      <w:r w:rsidR="00402E11" w:rsidRPr="00402E11">
        <w:rPr>
          <w:rFonts w:cstheme="minorHAnsi"/>
        </w:rPr>
        <w:t xml:space="preserve">, are there any other ways in which risk of liability could be mitigated by registrars? </w:t>
      </w:r>
    </w:p>
    <w:p w14:paraId="389AE233" w14:textId="77777777" w:rsidR="00402E11" w:rsidRPr="00402E11" w:rsidRDefault="00402E11" w:rsidP="00402E11">
      <w:pPr>
        <w:rPr>
          <w:rFonts w:cstheme="minorHAnsi"/>
        </w:rPr>
      </w:pPr>
    </w:p>
    <w:p w14:paraId="28E4A089" w14:textId="63280052" w:rsidR="00402E11" w:rsidRPr="00FA04EF" w:rsidRDefault="00402E11" w:rsidP="00FA04EF">
      <w:pPr>
        <w:pStyle w:val="ListParagraph"/>
        <w:keepNext/>
        <w:numPr>
          <w:ilvl w:val="0"/>
          <w:numId w:val="4"/>
        </w:numPr>
        <w:rPr>
          <w:rFonts w:cstheme="minorHAnsi"/>
          <w:b/>
          <w:i/>
          <w:u w:val="single"/>
        </w:rPr>
      </w:pPr>
      <w:r w:rsidRPr="00FA04EF">
        <w:rPr>
          <w:rFonts w:cstheme="minorHAnsi"/>
          <w:b/>
          <w:i/>
          <w:u w:val="single"/>
        </w:rPr>
        <w:t>Lawful bas</w:t>
      </w:r>
      <w:r w:rsidR="00AB448E">
        <w:rPr>
          <w:rFonts w:cstheme="minorHAnsi"/>
          <w:b/>
          <w:i/>
          <w:u w:val="single"/>
        </w:rPr>
        <w:t>e</w:t>
      </w:r>
      <w:r w:rsidRPr="00FA04EF">
        <w:rPr>
          <w:rFonts w:cstheme="minorHAnsi"/>
          <w:b/>
          <w:i/>
          <w:u w:val="single"/>
        </w:rPr>
        <w:t>s</w:t>
      </w:r>
      <w:r w:rsidR="00AB448E">
        <w:rPr>
          <w:rFonts w:cstheme="minorHAnsi"/>
          <w:b/>
          <w:i/>
          <w:u w:val="single"/>
        </w:rPr>
        <w:t xml:space="preserve"> for processing data</w:t>
      </w:r>
      <w:r w:rsidRPr="00FA04EF">
        <w:rPr>
          <w:rFonts w:cstheme="minorHAnsi"/>
          <w:b/>
          <w:i/>
          <w:u w:val="single"/>
        </w:rPr>
        <w:t xml:space="preserve"> </w:t>
      </w:r>
      <w:r w:rsidR="00D04C30" w:rsidRPr="00FA04EF">
        <w:rPr>
          <w:rFonts w:cstheme="minorHAnsi"/>
          <w:b/>
          <w:i/>
          <w:u w:val="single"/>
        </w:rPr>
        <w:t>– application of Art. 6(</w:t>
      </w:r>
      <w:proofErr w:type="gramStart"/>
      <w:r w:rsidR="00D04C30" w:rsidRPr="00FA04EF">
        <w:rPr>
          <w:rFonts w:cstheme="minorHAnsi"/>
          <w:b/>
          <w:i/>
          <w:u w:val="single"/>
        </w:rPr>
        <w:t>1)b</w:t>
      </w:r>
      <w:proofErr w:type="gramEnd"/>
      <w:r w:rsidR="00D04C30" w:rsidRPr="00FA04EF">
        <w:rPr>
          <w:rFonts w:cstheme="minorHAnsi"/>
          <w:b/>
          <w:i/>
          <w:u w:val="single"/>
        </w:rPr>
        <w:t xml:space="preserve"> vs. 6(1)f</w:t>
      </w:r>
    </w:p>
    <w:p w14:paraId="31FB641E" w14:textId="77777777" w:rsidR="00AB448E" w:rsidRDefault="00B916C1" w:rsidP="00D04C30">
      <w:pPr>
        <w:keepNext/>
        <w:rPr>
          <w:rFonts w:cstheme="minorHAnsi"/>
        </w:rPr>
      </w:pPr>
      <w:r>
        <w:rPr>
          <w:rFonts w:cstheme="minorHAnsi"/>
        </w:rPr>
        <w:t xml:space="preserve"> </w:t>
      </w:r>
    </w:p>
    <w:p w14:paraId="3C6EFD42" w14:textId="06B5704E" w:rsidR="00426F6F" w:rsidRPr="00FA04EF" w:rsidRDefault="00426F6F" w:rsidP="00D04C30">
      <w:pPr>
        <w:keepNext/>
        <w:rPr>
          <w:rFonts w:cstheme="minorHAnsi"/>
          <w:i/>
        </w:rPr>
      </w:pPr>
      <w:r w:rsidRPr="00FA04EF">
        <w:rPr>
          <w:rFonts w:cstheme="minorHAnsi"/>
          <w:i/>
        </w:rPr>
        <w:t>Background</w:t>
      </w:r>
      <w:r w:rsidR="003030F3">
        <w:rPr>
          <w:rFonts w:cstheme="minorHAnsi"/>
          <w:i/>
        </w:rPr>
        <w:t>:</w:t>
      </w:r>
    </w:p>
    <w:p w14:paraId="48F74FB8" w14:textId="45FBF4E4" w:rsidR="00B62669" w:rsidRDefault="00B62669" w:rsidP="00B62669">
      <w:pPr>
        <w:keepNext/>
        <w:rPr>
          <w:rFonts w:cstheme="minorHAnsi"/>
        </w:rPr>
      </w:pPr>
    </w:p>
    <w:p w14:paraId="0791536F" w14:textId="1233D9E7" w:rsidR="00720424" w:rsidRDefault="004E2D03" w:rsidP="00B62669">
      <w:pPr>
        <w:keepNext/>
        <w:rPr>
          <w:rFonts w:cstheme="minorHAnsi"/>
        </w:rPr>
      </w:pPr>
      <w:r>
        <w:rPr>
          <w:rFonts w:cstheme="minorHAnsi"/>
        </w:rPr>
        <w:t xml:space="preserve">The EPDP Team considered </w:t>
      </w:r>
      <w:r w:rsidR="00720424">
        <w:rPr>
          <w:rFonts w:cstheme="minorHAnsi"/>
        </w:rPr>
        <w:t>Art.6(</w:t>
      </w:r>
      <w:proofErr w:type="gramStart"/>
      <w:r w:rsidR="00720424">
        <w:rPr>
          <w:rFonts w:cstheme="minorHAnsi"/>
        </w:rPr>
        <w:t>1)b</w:t>
      </w:r>
      <w:proofErr w:type="gramEnd"/>
      <w:r w:rsidR="00720424">
        <w:rPr>
          <w:rFonts w:cstheme="minorHAnsi"/>
        </w:rPr>
        <w:t xml:space="preserve"> and 6(1)f of the GDPR:</w:t>
      </w:r>
    </w:p>
    <w:p w14:paraId="7A8DDFBE" w14:textId="6710FEE3" w:rsidR="00720424" w:rsidRPr="00D04285" w:rsidRDefault="00720424" w:rsidP="00720424">
      <w:pPr>
        <w:pStyle w:val="ListParagraph"/>
        <w:numPr>
          <w:ilvl w:val="0"/>
          <w:numId w:val="9"/>
        </w:numPr>
        <w:spacing w:before="240" w:after="240"/>
        <w:textAlignment w:val="baseline"/>
        <w:rPr>
          <w:rFonts w:ascii="inherit" w:eastAsia="Times New Roman" w:hAnsi="inherit" w:cs="Times New Roman"/>
          <w:color w:val="000000" w:themeColor="text1"/>
        </w:rPr>
      </w:pPr>
      <w:r w:rsidRPr="00D04285">
        <w:rPr>
          <w:rFonts w:ascii="inherit" w:eastAsia="Times New Roman" w:hAnsi="inherit" w:cs="Times New Roman"/>
          <w:color w:val="000000" w:themeColor="text1"/>
        </w:rPr>
        <w:t>processing is necessary for the performance of a contract to which the data subject is party or in order to take steps at the request of the data subject prior to entering into a contract;</w:t>
      </w:r>
    </w:p>
    <w:p w14:paraId="120F2A14" w14:textId="693BB8DF" w:rsidR="00720424" w:rsidRPr="00D04285" w:rsidRDefault="00720424" w:rsidP="00720424">
      <w:pPr>
        <w:pStyle w:val="ListParagraph"/>
        <w:spacing w:before="240" w:after="240"/>
        <w:textAlignment w:val="baseline"/>
        <w:rPr>
          <w:rFonts w:ascii="inherit" w:eastAsia="Times New Roman" w:hAnsi="inherit" w:cs="Times New Roman"/>
          <w:color w:val="000000" w:themeColor="text1"/>
        </w:rPr>
      </w:pPr>
      <w:r w:rsidRPr="00D04285">
        <w:rPr>
          <w:rFonts w:ascii="inherit" w:eastAsia="Times New Roman" w:hAnsi="inherit" w:cs="Times New Roman"/>
          <w:color w:val="000000" w:themeColor="text1"/>
        </w:rPr>
        <w:t>(</w:t>
      </w:r>
      <w:r w:rsidRPr="00D04285">
        <w:rPr>
          <w:rFonts w:ascii="inherit" w:eastAsia="Times New Roman" w:hAnsi="inherit" w:cs="Times New Roman" w:hint="eastAsia"/>
          <w:color w:val="000000" w:themeColor="text1"/>
        </w:rPr>
        <w:t>…</w:t>
      </w:r>
      <w:r w:rsidRPr="00D04285">
        <w:rPr>
          <w:rFonts w:ascii="inherit" w:eastAsia="Times New Roman" w:hAnsi="inherit" w:cs="Times New Roman"/>
          <w:color w:val="000000" w:themeColor="text1"/>
        </w:rPr>
        <w:t>)</w:t>
      </w:r>
    </w:p>
    <w:p w14:paraId="7F58CDDC" w14:textId="6890C488" w:rsidR="00720424" w:rsidRPr="00D04285" w:rsidRDefault="00720424" w:rsidP="00FA04EF">
      <w:pPr>
        <w:pStyle w:val="ListParagraph"/>
        <w:numPr>
          <w:ilvl w:val="0"/>
          <w:numId w:val="11"/>
        </w:numPr>
        <w:spacing w:before="240" w:after="240"/>
        <w:textAlignment w:val="baseline"/>
        <w:rPr>
          <w:rFonts w:ascii="inherit" w:eastAsia="Times New Roman" w:hAnsi="inherit" w:cs="Times New Roman"/>
          <w:color w:val="000000" w:themeColor="text1"/>
        </w:rPr>
      </w:pPr>
      <w:r w:rsidRPr="00D04285">
        <w:rPr>
          <w:rFonts w:ascii="inherit" w:eastAsia="Times New Roman" w:hAnsi="inherit" w:cs="Times New Roman"/>
          <w:color w:val="000000" w:themeColor="text1"/>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6DEEBB06" w14:textId="407BB6B7" w:rsidR="004E2D03" w:rsidRDefault="00720424" w:rsidP="00B62669">
      <w:pPr>
        <w:keepNext/>
        <w:rPr>
          <w:rFonts w:cstheme="minorHAnsi"/>
        </w:rPr>
      </w:pPr>
      <w:r>
        <w:rPr>
          <w:rFonts w:cstheme="minorHAnsi"/>
        </w:rPr>
        <w:t>And t</w:t>
      </w:r>
      <w:r w:rsidR="004E2D03">
        <w:rPr>
          <w:rFonts w:cstheme="minorHAnsi"/>
        </w:rPr>
        <w:t>he Art 29 WP input in relation to this topic:</w:t>
      </w:r>
    </w:p>
    <w:p w14:paraId="2DD9B125" w14:textId="23DB3EDD" w:rsidR="004E2D03" w:rsidRPr="00FA04EF" w:rsidRDefault="004E2D03" w:rsidP="00FA04EF">
      <w:pPr>
        <w:pStyle w:val="NormalWeb"/>
        <w:ind w:left="720"/>
        <w:rPr>
          <w:rFonts w:asciiTheme="minorHAnsi" w:hAnsiTheme="minorHAnsi" w:cstheme="minorHAnsi"/>
        </w:rPr>
      </w:pPr>
      <w:r w:rsidRPr="00FA04EF">
        <w:rPr>
          <w:rFonts w:asciiTheme="minorHAnsi" w:hAnsiTheme="minorHAnsi" w:cstheme="minorHAnsi"/>
        </w:rPr>
        <w:t>“The WP29 wishes to stress that while a particular processing operation might serve several purposes (and therefore can be justified on more than one legal basis), each individual purpose can only be justified with reference to one legal basis.</w:t>
      </w:r>
      <w:r w:rsidRPr="00FA04EF">
        <w:rPr>
          <w:rFonts w:asciiTheme="minorHAnsi" w:hAnsiTheme="minorHAnsi" w:cstheme="minorHAnsi"/>
          <w:position w:val="10"/>
        </w:rPr>
        <w:t xml:space="preserve"> </w:t>
      </w:r>
      <w:r w:rsidRPr="00FA04EF">
        <w:rPr>
          <w:rFonts w:asciiTheme="minorHAnsi" w:hAnsiTheme="minorHAnsi" w:cstheme="minorHAnsi"/>
        </w:rPr>
        <w:t>The WP29 therefore encourages ICANN to specify more clearly the envisaged relationship between the legitimate purposes of the processing and the relevant legal bases.</w:t>
      </w:r>
      <w:r w:rsidR="00720424" w:rsidRPr="00FA04EF">
        <w:rPr>
          <w:rFonts w:asciiTheme="minorHAnsi" w:hAnsiTheme="minorHAnsi" w:cstheme="minorHAnsi"/>
        </w:rPr>
        <w:t>”</w:t>
      </w:r>
      <w:r w:rsidRPr="00FA04EF">
        <w:rPr>
          <w:rFonts w:asciiTheme="minorHAnsi" w:hAnsiTheme="minorHAnsi" w:cstheme="minorHAnsi"/>
        </w:rPr>
        <w:t xml:space="preserve"> </w:t>
      </w:r>
    </w:p>
    <w:p w14:paraId="1737D88A" w14:textId="4378016B" w:rsidR="004E2D03" w:rsidRDefault="00720424" w:rsidP="00B62669">
      <w:pPr>
        <w:keepNext/>
        <w:rPr>
          <w:b/>
        </w:rPr>
      </w:pPr>
      <w:r>
        <w:rPr>
          <w:rFonts w:cstheme="minorHAnsi"/>
        </w:rPr>
        <w:t xml:space="preserve">As well as the guidance from the </w:t>
      </w:r>
      <w:r w:rsidRPr="0067585C">
        <w:rPr>
          <w:b/>
        </w:rPr>
        <w:t>UK Information Commissioner’s Office</w:t>
      </w:r>
      <w:r>
        <w:rPr>
          <w:b/>
        </w:rPr>
        <w:t>:</w:t>
      </w:r>
    </w:p>
    <w:p w14:paraId="6DDB5151" w14:textId="11CB7C67" w:rsidR="00720424" w:rsidRDefault="00720424" w:rsidP="00B62669">
      <w:pPr>
        <w:keepNext/>
        <w:rPr>
          <w:rFonts w:cstheme="minorHAnsi"/>
        </w:rPr>
      </w:pPr>
    </w:p>
    <w:p w14:paraId="2B2DAD20" w14:textId="0A2C3781" w:rsidR="00720424" w:rsidRPr="0060056D" w:rsidRDefault="00720424" w:rsidP="00FA04EF">
      <w:pPr>
        <w:ind w:left="720"/>
        <w:rPr>
          <w:b/>
          <w:i/>
        </w:rPr>
      </w:pPr>
      <w:r>
        <w:rPr>
          <w:b/>
          <w:i/>
        </w:rPr>
        <w:t>“</w:t>
      </w:r>
      <w:r w:rsidRPr="0060056D">
        <w:rPr>
          <w:b/>
          <w:i/>
        </w:rPr>
        <w:t xml:space="preserve">When is processing ‘necessary’ for a contract?                                </w:t>
      </w:r>
    </w:p>
    <w:p w14:paraId="40F4B467" w14:textId="77777777" w:rsidR="00720424" w:rsidRPr="0060056D" w:rsidRDefault="00720424" w:rsidP="00FA04EF">
      <w:pPr>
        <w:ind w:left="720"/>
        <w:rPr>
          <w:i/>
        </w:rPr>
      </w:pPr>
      <w:r w:rsidRPr="0060056D">
        <w:rPr>
          <w:i/>
        </w:rPr>
        <w:t>‘Necessary’ does not mean that the processing must be essential for the purposes of performing a contract or taking relevant pre-contractual steps. However, it must be a targeted and proportionate way of achieving that purpose. This lawful basis does not apply if there are other reasonable and less intrusive ways to meet your contractual obligations or take the steps requested.</w:t>
      </w:r>
    </w:p>
    <w:p w14:paraId="06B9B5A7" w14:textId="77777777" w:rsidR="00720424" w:rsidRPr="0060056D" w:rsidRDefault="00720424" w:rsidP="00720424">
      <w:pPr>
        <w:rPr>
          <w:i/>
        </w:rPr>
      </w:pPr>
    </w:p>
    <w:p w14:paraId="1D7A802B" w14:textId="5B39DB4A" w:rsidR="00720424" w:rsidRPr="0060056D" w:rsidRDefault="00720424" w:rsidP="00FA04EF">
      <w:pPr>
        <w:ind w:left="720"/>
        <w:rPr>
          <w:i/>
        </w:rPr>
      </w:pPr>
      <w:r w:rsidRPr="0060056D">
        <w:rPr>
          <w:i/>
        </w:rPr>
        <w:t>The processing must be necessary to deliver your side of the contract with this particular person. If the processing is only necessary to maintain your business model more generally, this lawful basis will not apply and you should consider another lawful basis, such as legitimate interests.</w:t>
      </w:r>
      <w:r w:rsidR="00FA04EF">
        <w:rPr>
          <w:i/>
        </w:rPr>
        <w:t>”</w:t>
      </w:r>
    </w:p>
    <w:p w14:paraId="7F93A372" w14:textId="6383E96B" w:rsidR="00720424" w:rsidRDefault="00720424" w:rsidP="00720424">
      <w:pPr>
        <w:rPr>
          <w:b/>
          <w:i/>
        </w:rPr>
      </w:pPr>
    </w:p>
    <w:p w14:paraId="79247269" w14:textId="77777777" w:rsidR="001E739B" w:rsidRDefault="001E739B">
      <w:pPr>
        <w:rPr>
          <w:i/>
        </w:rPr>
      </w:pPr>
      <w:r>
        <w:rPr>
          <w:i/>
        </w:rPr>
        <w:br w:type="page"/>
      </w:r>
    </w:p>
    <w:p w14:paraId="569E86E3" w14:textId="3FF01A0E" w:rsidR="00720424" w:rsidRPr="001F0324" w:rsidRDefault="00720424" w:rsidP="00720424">
      <w:pPr>
        <w:rPr>
          <w:i/>
        </w:rPr>
      </w:pPr>
      <w:bookmarkStart w:id="0" w:name="_GoBack"/>
      <w:bookmarkEnd w:id="0"/>
      <w:r w:rsidRPr="001F0324">
        <w:rPr>
          <w:i/>
        </w:rPr>
        <w:t>Questions:</w:t>
      </w:r>
    </w:p>
    <w:p w14:paraId="15E6705F" w14:textId="77777777" w:rsidR="00C75B3B" w:rsidRDefault="00C75B3B" w:rsidP="00720424">
      <w:pPr>
        <w:keepNext/>
        <w:rPr>
          <w:rFonts w:cstheme="minorHAnsi"/>
        </w:rPr>
      </w:pPr>
    </w:p>
    <w:p w14:paraId="5875BDEC" w14:textId="3F8A582D" w:rsidR="00FD07CD" w:rsidRDefault="00720424" w:rsidP="00720424">
      <w:pPr>
        <w:keepNext/>
        <w:rPr>
          <w:rFonts w:cstheme="minorHAnsi"/>
        </w:rPr>
      </w:pPr>
      <w:r w:rsidRPr="00426F6F">
        <w:rPr>
          <w:rFonts w:cstheme="minorHAnsi"/>
        </w:rPr>
        <w:t xml:space="preserve">The EPDP Team </w:t>
      </w:r>
      <w:r w:rsidR="00FD07CD">
        <w:rPr>
          <w:rFonts w:cstheme="minorHAnsi"/>
        </w:rPr>
        <w:t>discussed the application of Art.6(</w:t>
      </w:r>
      <w:proofErr w:type="gramStart"/>
      <w:r w:rsidR="00FD07CD">
        <w:rPr>
          <w:rFonts w:cstheme="minorHAnsi"/>
        </w:rPr>
        <w:t>1)b</w:t>
      </w:r>
      <w:proofErr w:type="gramEnd"/>
      <w:r w:rsidR="00FD07CD">
        <w:rPr>
          <w:rFonts w:cstheme="minorHAnsi"/>
        </w:rPr>
        <w:t xml:space="preserve"> vs. Art.6(1)f to the “Purposes for Processing Registration Data” that are identified in the Initial Report. </w:t>
      </w:r>
      <w:r w:rsidR="00E90099">
        <w:rPr>
          <w:rFonts w:cstheme="minorHAnsi"/>
        </w:rPr>
        <w:t xml:space="preserve">Our questions in this area can best be asked using an illustrative example. </w:t>
      </w:r>
    </w:p>
    <w:p w14:paraId="4DDD7610" w14:textId="77777777" w:rsidR="00E90099" w:rsidRDefault="00E90099" w:rsidP="00720424">
      <w:pPr>
        <w:keepNext/>
        <w:rPr>
          <w:rFonts w:cstheme="minorHAnsi"/>
        </w:rPr>
      </w:pPr>
    </w:p>
    <w:p w14:paraId="36AD9FB6" w14:textId="1DAADD27" w:rsidR="009B249C" w:rsidRDefault="00E90099" w:rsidP="00720424">
      <w:pPr>
        <w:keepNext/>
        <w:rPr>
          <w:rFonts w:cstheme="minorHAnsi"/>
        </w:rPr>
      </w:pPr>
      <w:r>
        <w:rPr>
          <w:rFonts w:cstheme="minorHAnsi"/>
        </w:rPr>
        <w:t xml:space="preserve">Domain name registrars have contracts with </w:t>
      </w:r>
      <w:r w:rsidR="001F0324">
        <w:rPr>
          <w:rFonts w:cstheme="minorHAnsi"/>
        </w:rPr>
        <w:t>R</w:t>
      </w:r>
      <w:r>
        <w:rPr>
          <w:rFonts w:cstheme="minorHAnsi"/>
        </w:rPr>
        <w:t xml:space="preserve">egistered </w:t>
      </w:r>
      <w:r w:rsidR="001F0324">
        <w:rPr>
          <w:rFonts w:cstheme="minorHAnsi"/>
        </w:rPr>
        <w:t>N</w:t>
      </w:r>
      <w:r>
        <w:rPr>
          <w:rFonts w:cstheme="minorHAnsi"/>
        </w:rPr>
        <w:t xml:space="preserve">ame </w:t>
      </w:r>
      <w:r w:rsidR="001F0324">
        <w:rPr>
          <w:rFonts w:cstheme="minorHAnsi"/>
        </w:rPr>
        <w:t>H</w:t>
      </w:r>
      <w:r>
        <w:rPr>
          <w:rFonts w:cstheme="minorHAnsi"/>
        </w:rPr>
        <w:t>olders</w:t>
      </w:r>
      <w:r w:rsidR="008D3538">
        <w:rPr>
          <w:rFonts w:cstheme="minorHAnsi"/>
        </w:rPr>
        <w:t xml:space="preserve"> (the data subjects)</w:t>
      </w:r>
      <w:r>
        <w:rPr>
          <w:rFonts w:cstheme="minorHAnsi"/>
        </w:rPr>
        <w:t xml:space="preserve"> to grant them the use of</w:t>
      </w:r>
      <w:r w:rsidR="00143389">
        <w:rPr>
          <w:rFonts w:cstheme="minorHAnsi"/>
        </w:rPr>
        <w:t xml:space="preserve"> a domain name that provides a set</w:t>
      </w:r>
      <w:r>
        <w:rPr>
          <w:rFonts w:cstheme="minorHAnsi"/>
        </w:rPr>
        <w:t xml:space="preserve"> of functions in the Domain Name System</w:t>
      </w:r>
      <w:r w:rsidR="009B249C">
        <w:rPr>
          <w:rFonts w:cstheme="minorHAnsi"/>
        </w:rPr>
        <w:t xml:space="preserve"> (DNS)</w:t>
      </w:r>
      <w:r>
        <w:rPr>
          <w:rFonts w:cstheme="minorHAnsi"/>
        </w:rPr>
        <w:t xml:space="preserve">. </w:t>
      </w:r>
      <w:r w:rsidR="00143389">
        <w:rPr>
          <w:rFonts w:cstheme="minorHAnsi"/>
        </w:rPr>
        <w:t>With the purpose to</w:t>
      </w:r>
      <w:r w:rsidR="009B249C">
        <w:rPr>
          <w:rFonts w:cstheme="minorHAnsi"/>
        </w:rPr>
        <w:t xml:space="preserve"> ensure </w:t>
      </w:r>
      <w:r w:rsidR="00143389">
        <w:rPr>
          <w:rFonts w:cstheme="minorHAnsi"/>
        </w:rPr>
        <w:t xml:space="preserve">that </w:t>
      </w:r>
      <w:r w:rsidR="009B249C">
        <w:rPr>
          <w:rFonts w:cstheme="minorHAnsi"/>
        </w:rPr>
        <w:t>domain name</w:t>
      </w:r>
      <w:r w:rsidR="00143389">
        <w:rPr>
          <w:rFonts w:cstheme="minorHAnsi"/>
        </w:rPr>
        <w:t>s continue</w:t>
      </w:r>
      <w:r w:rsidR="009B249C">
        <w:rPr>
          <w:rFonts w:cstheme="minorHAnsi"/>
        </w:rPr>
        <w:t xml:space="preserve"> to function in the event of a registrar failure (i.e., in the interest of DNS stability), ICANN requires registrars to deposit the </w:t>
      </w:r>
      <w:r w:rsidR="00F00434">
        <w:rPr>
          <w:rFonts w:cstheme="minorHAnsi"/>
        </w:rPr>
        <w:t>R</w:t>
      </w:r>
      <w:r w:rsidR="009B249C">
        <w:rPr>
          <w:rFonts w:cstheme="minorHAnsi"/>
        </w:rPr>
        <w:t xml:space="preserve">egistered </w:t>
      </w:r>
      <w:r w:rsidR="00F00434">
        <w:rPr>
          <w:rFonts w:cstheme="minorHAnsi"/>
        </w:rPr>
        <w:t>N</w:t>
      </w:r>
      <w:r w:rsidR="009B249C">
        <w:rPr>
          <w:rFonts w:cstheme="minorHAnsi"/>
        </w:rPr>
        <w:t xml:space="preserve">ame </w:t>
      </w:r>
      <w:r w:rsidR="00F00434">
        <w:rPr>
          <w:rFonts w:cstheme="minorHAnsi"/>
        </w:rPr>
        <w:t>H</w:t>
      </w:r>
      <w:r w:rsidR="009B249C">
        <w:rPr>
          <w:rFonts w:cstheme="minorHAnsi"/>
        </w:rPr>
        <w:t xml:space="preserve">olders’ data with a data escrow agent approved by ICANN. </w:t>
      </w:r>
      <w:r w:rsidR="00D04285">
        <w:rPr>
          <w:rFonts w:cstheme="minorHAnsi"/>
        </w:rPr>
        <w:t>T</w:t>
      </w:r>
      <w:r w:rsidR="009B249C">
        <w:rPr>
          <w:rFonts w:cstheme="minorHAnsi"/>
        </w:rPr>
        <w:t>he data escrow requirement is n</w:t>
      </w:r>
      <w:r w:rsidR="00D04285">
        <w:rPr>
          <w:rFonts w:cstheme="minorHAnsi"/>
        </w:rPr>
        <w:t>ot included in the registrar – Registered Name H</w:t>
      </w:r>
      <w:r w:rsidR="009B249C">
        <w:rPr>
          <w:rFonts w:cstheme="minorHAnsi"/>
        </w:rPr>
        <w:t xml:space="preserve">older contract. </w:t>
      </w:r>
    </w:p>
    <w:p w14:paraId="2A9DC7FB" w14:textId="77777777" w:rsidR="009B249C" w:rsidRDefault="009B249C" w:rsidP="00720424">
      <w:pPr>
        <w:keepNext/>
        <w:rPr>
          <w:rFonts w:cstheme="minorHAnsi"/>
        </w:rPr>
      </w:pPr>
    </w:p>
    <w:p w14:paraId="0F6B7ECF" w14:textId="3BB4E7E3" w:rsidR="00E90099" w:rsidRDefault="009B249C" w:rsidP="00720424">
      <w:pPr>
        <w:keepNext/>
        <w:rPr>
          <w:rFonts w:cstheme="minorHAnsi"/>
        </w:rPr>
      </w:pPr>
      <w:r>
        <w:rPr>
          <w:rFonts w:cstheme="minorHAnsi"/>
        </w:rPr>
        <w:t xml:space="preserve">In selecting a legal basis for the data </w:t>
      </w:r>
      <w:r w:rsidR="00CC0B74">
        <w:rPr>
          <w:rFonts w:cstheme="minorHAnsi"/>
        </w:rPr>
        <w:t xml:space="preserve">transfer (deposit) </w:t>
      </w:r>
      <w:r>
        <w:rPr>
          <w:rFonts w:cstheme="minorHAnsi"/>
        </w:rPr>
        <w:t>to an escrow agent, the EPDP team discussed the following issues</w:t>
      </w:r>
      <w:r w:rsidR="00C75B3B">
        <w:rPr>
          <w:rFonts w:cstheme="minorHAnsi"/>
        </w:rPr>
        <w:t xml:space="preserve"> and seeks EDPB guidance on each</w:t>
      </w:r>
      <w:r>
        <w:rPr>
          <w:rFonts w:cstheme="minorHAnsi"/>
        </w:rPr>
        <w:t xml:space="preserve">:  </w:t>
      </w:r>
    </w:p>
    <w:p w14:paraId="0B2C7227" w14:textId="77777777" w:rsidR="00FD07CD" w:rsidRDefault="00FD07CD" w:rsidP="00720424">
      <w:pPr>
        <w:keepNext/>
        <w:rPr>
          <w:rFonts w:cstheme="minorHAnsi"/>
        </w:rPr>
      </w:pPr>
    </w:p>
    <w:p w14:paraId="40D6FE45" w14:textId="16CE1E75" w:rsidR="00720424" w:rsidRDefault="009B249C" w:rsidP="00CC0B74">
      <w:pPr>
        <w:pStyle w:val="ListParagraph"/>
        <w:keepNext/>
        <w:numPr>
          <w:ilvl w:val="0"/>
          <w:numId w:val="14"/>
        </w:numPr>
        <w:rPr>
          <w:rFonts w:cstheme="minorHAnsi"/>
        </w:rPr>
      </w:pPr>
      <w:r>
        <w:rPr>
          <w:rFonts w:cstheme="minorHAnsi"/>
        </w:rPr>
        <w:t xml:space="preserve">Can </w:t>
      </w:r>
      <w:r w:rsidR="00720424" w:rsidRPr="00552F40">
        <w:rPr>
          <w:rFonts w:cstheme="minorHAnsi"/>
        </w:rPr>
        <w:t>Art. 6(</w:t>
      </w:r>
      <w:proofErr w:type="gramStart"/>
      <w:r w:rsidR="00720424" w:rsidRPr="00552F40">
        <w:rPr>
          <w:rFonts w:cstheme="minorHAnsi"/>
        </w:rPr>
        <w:t>1)b</w:t>
      </w:r>
      <w:proofErr w:type="gramEnd"/>
      <w:r>
        <w:rPr>
          <w:rFonts w:cstheme="minorHAnsi"/>
        </w:rPr>
        <w:t xml:space="preserve"> provide a </w:t>
      </w:r>
      <w:r w:rsidR="00CC0B74">
        <w:rPr>
          <w:rFonts w:cstheme="minorHAnsi"/>
        </w:rPr>
        <w:t xml:space="preserve">lawful </w:t>
      </w:r>
      <w:r>
        <w:rPr>
          <w:rFonts w:cstheme="minorHAnsi"/>
        </w:rPr>
        <w:t>ba</w:t>
      </w:r>
      <w:r w:rsidR="0065393A">
        <w:rPr>
          <w:rFonts w:cstheme="minorHAnsi"/>
        </w:rPr>
        <w:t>s</w:t>
      </w:r>
      <w:r>
        <w:rPr>
          <w:rFonts w:cstheme="minorHAnsi"/>
        </w:rPr>
        <w:t xml:space="preserve">is for </w:t>
      </w:r>
      <w:r w:rsidR="00CC0B74">
        <w:rPr>
          <w:rFonts w:cstheme="minorHAnsi"/>
        </w:rPr>
        <w:t xml:space="preserve">this purpose (data escrow) </w:t>
      </w:r>
      <w:r>
        <w:rPr>
          <w:rFonts w:cstheme="minorHAnsi"/>
        </w:rPr>
        <w:t xml:space="preserve">even though ICANN does not have a direct contractual relationship with the </w:t>
      </w:r>
      <w:r w:rsidR="001F0324">
        <w:rPr>
          <w:rFonts w:cstheme="minorHAnsi"/>
        </w:rPr>
        <w:t>R</w:t>
      </w:r>
      <w:r>
        <w:rPr>
          <w:rFonts w:cstheme="minorHAnsi"/>
        </w:rPr>
        <w:t xml:space="preserve">egistered </w:t>
      </w:r>
      <w:r w:rsidR="001F0324">
        <w:rPr>
          <w:rFonts w:cstheme="minorHAnsi"/>
        </w:rPr>
        <w:t>N</w:t>
      </w:r>
      <w:r>
        <w:rPr>
          <w:rFonts w:cstheme="minorHAnsi"/>
        </w:rPr>
        <w:t xml:space="preserve">ame </w:t>
      </w:r>
      <w:r w:rsidR="001F0324">
        <w:rPr>
          <w:rFonts w:cstheme="minorHAnsi"/>
        </w:rPr>
        <w:t>H</w:t>
      </w:r>
      <w:r>
        <w:rPr>
          <w:rFonts w:cstheme="minorHAnsi"/>
        </w:rPr>
        <w:t>older</w:t>
      </w:r>
      <w:r w:rsidR="00720424">
        <w:rPr>
          <w:rFonts w:cstheme="minorHAnsi"/>
        </w:rPr>
        <w:t xml:space="preserve">, but </w:t>
      </w:r>
      <w:r w:rsidR="0065393A">
        <w:rPr>
          <w:rFonts w:cstheme="minorHAnsi"/>
        </w:rPr>
        <w:t>ICANN</w:t>
      </w:r>
      <w:r w:rsidR="00720424">
        <w:rPr>
          <w:rFonts w:cstheme="minorHAnsi"/>
        </w:rPr>
        <w:t xml:space="preserve"> does place certain </w:t>
      </w:r>
      <w:r w:rsidR="001F737B">
        <w:rPr>
          <w:rFonts w:cstheme="minorHAnsi"/>
        </w:rPr>
        <w:t xml:space="preserve">general </w:t>
      </w:r>
      <w:r w:rsidR="00720424">
        <w:rPr>
          <w:rFonts w:cstheme="minorHAnsi"/>
        </w:rPr>
        <w:t>requirements on registrars in relation to what needs to be included in the contract that the registrar has with the Registered Name Holder</w:t>
      </w:r>
      <w:r w:rsidR="00720424" w:rsidRPr="00426F6F">
        <w:rPr>
          <w:rFonts w:cstheme="minorHAnsi"/>
        </w:rPr>
        <w:t xml:space="preserve">? </w:t>
      </w:r>
      <w:r w:rsidR="00CC0B74">
        <w:rPr>
          <w:rFonts w:cstheme="minorHAnsi"/>
        </w:rPr>
        <w:t>(</w:t>
      </w:r>
      <w:r w:rsidR="0065393A">
        <w:rPr>
          <w:rFonts w:cstheme="minorHAnsi"/>
        </w:rPr>
        <w:t>The EPDP team agrees that Art.6(</w:t>
      </w:r>
      <w:proofErr w:type="gramStart"/>
      <w:r w:rsidR="0065393A">
        <w:rPr>
          <w:rFonts w:cstheme="minorHAnsi"/>
        </w:rPr>
        <w:t>1)f</w:t>
      </w:r>
      <w:proofErr w:type="gramEnd"/>
      <w:r w:rsidR="0065393A">
        <w:rPr>
          <w:rFonts w:cstheme="minorHAnsi"/>
        </w:rPr>
        <w:t xml:space="preserve"> applies in this instance but </w:t>
      </w:r>
      <w:r w:rsidR="00143389">
        <w:rPr>
          <w:rFonts w:cstheme="minorHAnsi"/>
        </w:rPr>
        <w:t xml:space="preserve">some </w:t>
      </w:r>
      <w:r w:rsidR="0065393A">
        <w:rPr>
          <w:rFonts w:cstheme="minorHAnsi"/>
        </w:rPr>
        <w:t>believe that Art.6(1)b might present a “</w:t>
      </w:r>
      <w:r w:rsidR="00C75B3B">
        <w:rPr>
          <w:rFonts w:cstheme="minorHAnsi"/>
        </w:rPr>
        <w:t>preferred</w:t>
      </w:r>
      <w:r w:rsidR="0065393A">
        <w:rPr>
          <w:rFonts w:cstheme="minorHAnsi"/>
        </w:rPr>
        <w:t>” legal basis if it applies.</w:t>
      </w:r>
      <w:r w:rsidR="00143389">
        <w:rPr>
          <w:rFonts w:cstheme="minorHAnsi"/>
        </w:rPr>
        <w:t>)</w:t>
      </w:r>
    </w:p>
    <w:p w14:paraId="68FACA72" w14:textId="0D6131E1" w:rsidR="00552F40" w:rsidRDefault="00552F40" w:rsidP="00720424">
      <w:pPr>
        <w:keepNext/>
        <w:rPr>
          <w:rFonts w:cstheme="minorHAnsi"/>
        </w:rPr>
      </w:pPr>
    </w:p>
    <w:p w14:paraId="4919AE63" w14:textId="7C733409" w:rsidR="00552F40" w:rsidRDefault="00143389" w:rsidP="00CC0B74">
      <w:pPr>
        <w:pStyle w:val="ListParagraph"/>
        <w:keepNext/>
        <w:numPr>
          <w:ilvl w:val="0"/>
          <w:numId w:val="14"/>
        </w:numPr>
        <w:rPr>
          <w:rFonts w:cstheme="minorHAnsi"/>
        </w:rPr>
      </w:pPr>
      <w:r w:rsidRPr="00143389">
        <w:rPr>
          <w:rFonts w:cstheme="minorHAnsi"/>
        </w:rPr>
        <w:t xml:space="preserve">While there are </w:t>
      </w:r>
      <w:r>
        <w:rPr>
          <w:rFonts w:cstheme="minorHAnsi"/>
        </w:rPr>
        <w:t xml:space="preserve">multiple ways </w:t>
      </w:r>
      <w:r w:rsidRPr="00552F40">
        <w:rPr>
          <w:rFonts w:cstheme="minorHAnsi"/>
        </w:rPr>
        <w:t xml:space="preserve">a registrar might ensure ongoing, reliable service to a </w:t>
      </w:r>
      <w:r w:rsidR="00F00434">
        <w:rPr>
          <w:rFonts w:cstheme="minorHAnsi"/>
        </w:rPr>
        <w:t>Registered Name Holder</w:t>
      </w:r>
      <w:r w:rsidRPr="00552F40">
        <w:rPr>
          <w:rFonts w:cstheme="minorHAnsi"/>
        </w:rPr>
        <w:t xml:space="preserve"> in the event of a registrar fail</w:t>
      </w:r>
      <w:r>
        <w:rPr>
          <w:rFonts w:cstheme="minorHAnsi"/>
        </w:rPr>
        <w:t>ure</w:t>
      </w:r>
      <w:r w:rsidRPr="00552F40">
        <w:rPr>
          <w:rFonts w:cstheme="minorHAnsi"/>
        </w:rPr>
        <w:t>, the ICANN contract between the registrar and ICANN requires that registered name holder data is stored with an outside e</w:t>
      </w:r>
      <w:r>
        <w:rPr>
          <w:rFonts w:cstheme="minorHAnsi"/>
        </w:rPr>
        <w:t>scrow agent of ICANN’s choosing</w:t>
      </w:r>
      <w:r w:rsidRPr="00143389">
        <w:rPr>
          <w:rFonts w:cstheme="minorHAnsi"/>
        </w:rPr>
        <w:t>.</w:t>
      </w:r>
      <w:r>
        <w:rPr>
          <w:rFonts w:cstheme="minorHAnsi"/>
        </w:rPr>
        <w:t xml:space="preserve"> </w:t>
      </w:r>
      <w:r w:rsidR="0065393A">
        <w:rPr>
          <w:rFonts w:cstheme="minorHAnsi"/>
        </w:rPr>
        <w:t xml:space="preserve">The guidance from the UK Commissioner’s Office </w:t>
      </w:r>
      <w:r>
        <w:rPr>
          <w:rFonts w:cstheme="minorHAnsi"/>
        </w:rPr>
        <w:t>seems to indicate that Art.6(</w:t>
      </w:r>
      <w:proofErr w:type="gramStart"/>
      <w:r>
        <w:rPr>
          <w:rFonts w:cstheme="minorHAnsi"/>
        </w:rPr>
        <w:t>1)b</w:t>
      </w:r>
      <w:proofErr w:type="gramEnd"/>
      <w:r>
        <w:rPr>
          <w:rFonts w:cstheme="minorHAnsi"/>
        </w:rPr>
        <w:t xml:space="preserve"> would not apply in this set of circumstances</w:t>
      </w:r>
      <w:r w:rsidR="00CC0B74">
        <w:rPr>
          <w:rFonts w:cstheme="minorHAnsi"/>
        </w:rPr>
        <w:t xml:space="preserve"> as there are other ways to meet this obligation</w:t>
      </w:r>
      <w:r>
        <w:rPr>
          <w:rFonts w:cstheme="minorHAnsi"/>
        </w:rPr>
        <w:t>. However, it can be argued that an industry-wide practice is preferable and perhaps “necessary.” While the EPDP team agrees that Art.6(</w:t>
      </w:r>
      <w:proofErr w:type="gramStart"/>
      <w:r>
        <w:rPr>
          <w:rFonts w:cstheme="minorHAnsi"/>
        </w:rPr>
        <w:t>1)f</w:t>
      </w:r>
      <w:proofErr w:type="gramEnd"/>
      <w:r>
        <w:rPr>
          <w:rFonts w:cstheme="minorHAnsi"/>
        </w:rPr>
        <w:t xml:space="preserve"> applies, some believe that Art.6(1)b also applies and might present a “</w:t>
      </w:r>
      <w:r w:rsidR="00C75B3B">
        <w:rPr>
          <w:rFonts w:cstheme="minorHAnsi"/>
        </w:rPr>
        <w:t>preferred</w:t>
      </w:r>
      <w:r>
        <w:rPr>
          <w:rFonts w:cstheme="minorHAnsi"/>
        </w:rPr>
        <w:t>” legal basis.</w:t>
      </w:r>
    </w:p>
    <w:p w14:paraId="464D9F92" w14:textId="77777777" w:rsidR="006B44B3" w:rsidRPr="006B44B3" w:rsidRDefault="006B44B3" w:rsidP="00D04285">
      <w:pPr>
        <w:pStyle w:val="ListParagraph"/>
        <w:rPr>
          <w:rFonts w:cstheme="minorHAnsi"/>
        </w:rPr>
      </w:pPr>
    </w:p>
    <w:p w14:paraId="6B08A923" w14:textId="3493340E" w:rsidR="006B44B3" w:rsidRPr="006B44B3" w:rsidRDefault="006B44B3" w:rsidP="006B44B3">
      <w:pPr>
        <w:pStyle w:val="ListParagraph"/>
        <w:keepNext/>
        <w:numPr>
          <w:ilvl w:val="0"/>
          <w:numId w:val="14"/>
        </w:numPr>
        <w:rPr>
          <w:rFonts w:cstheme="minorHAnsi"/>
        </w:rPr>
      </w:pPr>
      <w:r>
        <w:rPr>
          <w:rFonts w:cstheme="minorHAnsi"/>
        </w:rPr>
        <w:t>I</w:t>
      </w:r>
      <w:r w:rsidRPr="006B44B3">
        <w:rPr>
          <w:rFonts w:cstheme="minorHAnsi"/>
        </w:rPr>
        <w:t xml:space="preserve">n relation to Art. 6(1)(b), questions arose regarding how to apply “necessary for the performance of a contract”; specifically, does this clause solely relate to the registration and activation of a domain name registration, or, alternatively, could related activities such as </w:t>
      </w:r>
      <w:r>
        <w:rPr>
          <w:rFonts w:cstheme="minorHAnsi"/>
        </w:rPr>
        <w:t>data escrow</w:t>
      </w:r>
      <w:r w:rsidRPr="006B44B3">
        <w:rPr>
          <w:rFonts w:cstheme="minorHAnsi"/>
        </w:rPr>
        <w:t xml:space="preserve"> also be considered necessary for the performance of a contract as a Registered Name Holder should have a reasonable expectation </w:t>
      </w:r>
      <w:r>
        <w:rPr>
          <w:rFonts w:cstheme="minorHAnsi"/>
        </w:rPr>
        <w:t>that in case of business failure the domain name registration keeps functioning?</w:t>
      </w:r>
    </w:p>
    <w:p w14:paraId="12313F54" w14:textId="77777777" w:rsidR="001F737B" w:rsidRDefault="001F737B" w:rsidP="00CC0B74">
      <w:pPr>
        <w:pStyle w:val="ListParagraph"/>
        <w:keepNext/>
        <w:rPr>
          <w:rFonts w:cstheme="minorHAnsi"/>
        </w:rPr>
      </w:pPr>
    </w:p>
    <w:p w14:paraId="783571EB" w14:textId="7D90336E" w:rsidR="00552F40" w:rsidRPr="00C75B3B" w:rsidRDefault="00C75B3B" w:rsidP="00CC0B74">
      <w:pPr>
        <w:pStyle w:val="ListParagraph"/>
        <w:keepNext/>
        <w:numPr>
          <w:ilvl w:val="0"/>
          <w:numId w:val="14"/>
        </w:numPr>
        <w:rPr>
          <w:rFonts w:cstheme="minorHAnsi"/>
        </w:rPr>
      </w:pPr>
      <w:r>
        <w:rPr>
          <w:rFonts w:cstheme="minorHAnsi"/>
        </w:rPr>
        <w:t>As indicated above, the EPDP team is wrestling with whether to select Art.6(</w:t>
      </w:r>
      <w:proofErr w:type="gramStart"/>
      <w:r>
        <w:rPr>
          <w:rFonts w:cstheme="minorHAnsi"/>
        </w:rPr>
        <w:t>1)b</w:t>
      </w:r>
      <w:proofErr w:type="gramEnd"/>
      <w:r>
        <w:rPr>
          <w:rFonts w:cstheme="minorHAnsi"/>
        </w:rPr>
        <w:t xml:space="preserve"> or 6(1)f as the </w:t>
      </w:r>
      <w:r w:rsidR="00CC0B74">
        <w:rPr>
          <w:rFonts w:cstheme="minorHAnsi"/>
        </w:rPr>
        <w:t xml:space="preserve">lawful </w:t>
      </w:r>
      <w:r>
        <w:rPr>
          <w:rFonts w:cstheme="minorHAnsi"/>
        </w:rPr>
        <w:t xml:space="preserve">basis in the scenario above and in other purposes for processing registration data. Given the clear Art. WP 29 statement above that </w:t>
      </w:r>
      <w:r w:rsidRPr="00C75B3B">
        <w:rPr>
          <w:rFonts w:cstheme="minorHAnsi"/>
        </w:rPr>
        <w:t>each individual purpose can only be justified with reference to one legal basis</w:t>
      </w:r>
      <w:r>
        <w:rPr>
          <w:rFonts w:cstheme="minorHAnsi"/>
        </w:rPr>
        <w:t>, the EPDP is concerned with the prospect of choosing a l</w:t>
      </w:r>
      <w:r w:rsidR="00CC0B74">
        <w:rPr>
          <w:rFonts w:cstheme="minorHAnsi"/>
        </w:rPr>
        <w:t>awful</w:t>
      </w:r>
      <w:r>
        <w:rPr>
          <w:rFonts w:cstheme="minorHAnsi"/>
        </w:rPr>
        <w:t xml:space="preserve"> basis that is subsequently disallowed by the appropriate authority.</w:t>
      </w:r>
    </w:p>
    <w:p w14:paraId="356043E6" w14:textId="77777777" w:rsidR="00552F40" w:rsidRDefault="00552F40" w:rsidP="00720424">
      <w:pPr>
        <w:keepNext/>
        <w:rPr>
          <w:rFonts w:cstheme="minorHAnsi"/>
        </w:rPr>
      </w:pPr>
    </w:p>
    <w:p w14:paraId="5D79F53A" w14:textId="5E24CE97" w:rsidR="00720424" w:rsidRPr="00426F6F" w:rsidRDefault="00C75B3B" w:rsidP="00720424">
      <w:pPr>
        <w:keepNext/>
        <w:rPr>
          <w:rFonts w:cstheme="minorHAnsi"/>
        </w:rPr>
      </w:pPr>
      <w:r>
        <w:rPr>
          <w:rFonts w:cstheme="minorHAnsi"/>
        </w:rPr>
        <w:t xml:space="preserve">To the extent you are able, please comment on these issues and other guidance in </w:t>
      </w:r>
      <w:r w:rsidR="00720424" w:rsidRPr="00426F6F">
        <w:rPr>
          <w:rFonts w:cstheme="minorHAnsi"/>
        </w:rPr>
        <w:t>determin</w:t>
      </w:r>
      <w:r>
        <w:rPr>
          <w:rFonts w:cstheme="minorHAnsi"/>
        </w:rPr>
        <w:t>ing</w:t>
      </w:r>
      <w:r w:rsidR="00720424" w:rsidRPr="00426F6F">
        <w:rPr>
          <w:rFonts w:cstheme="minorHAnsi"/>
        </w:rPr>
        <w:t xml:space="preserve"> when to apply </w:t>
      </w:r>
      <w:r>
        <w:rPr>
          <w:rFonts w:cstheme="minorHAnsi"/>
        </w:rPr>
        <w:t>Art.</w:t>
      </w:r>
      <w:r w:rsidR="00720424" w:rsidRPr="00426F6F">
        <w:rPr>
          <w:rFonts w:cstheme="minorHAnsi"/>
        </w:rPr>
        <w:t>6(</w:t>
      </w:r>
      <w:proofErr w:type="gramStart"/>
      <w:r w:rsidR="00720424" w:rsidRPr="00426F6F">
        <w:rPr>
          <w:rFonts w:cstheme="minorHAnsi"/>
        </w:rPr>
        <w:t>1)b</w:t>
      </w:r>
      <w:proofErr w:type="gramEnd"/>
      <w:r w:rsidR="00720424" w:rsidRPr="00426F6F">
        <w:rPr>
          <w:rFonts w:cstheme="minorHAnsi"/>
        </w:rPr>
        <w:t xml:space="preserve"> vs.</w:t>
      </w:r>
      <w:r>
        <w:rPr>
          <w:rFonts w:cstheme="minorHAnsi"/>
        </w:rPr>
        <w:t xml:space="preserve"> Art.</w:t>
      </w:r>
      <w:r w:rsidR="00720424" w:rsidRPr="00426F6F">
        <w:rPr>
          <w:rFonts w:cstheme="minorHAnsi"/>
        </w:rPr>
        <w:t xml:space="preserve"> 6(1)f. </w:t>
      </w:r>
    </w:p>
    <w:p w14:paraId="63C37C07" w14:textId="77777777" w:rsidR="00720424" w:rsidRPr="00CC0B74" w:rsidRDefault="00720424" w:rsidP="00720424">
      <w:pPr>
        <w:rPr>
          <w:b/>
        </w:rPr>
      </w:pPr>
    </w:p>
    <w:p w14:paraId="597E38A9" w14:textId="20120B08" w:rsidR="00D04C30" w:rsidRDefault="00B62669" w:rsidP="00D04C30">
      <w:pPr>
        <w:rPr>
          <w:rFonts w:cstheme="minorHAnsi"/>
        </w:rPr>
      </w:pPr>
      <w:r>
        <w:rPr>
          <w:rFonts w:cstheme="minorHAnsi"/>
        </w:rPr>
        <w:t>Please accept our thanks for</w:t>
      </w:r>
      <w:r w:rsidR="00D04C30">
        <w:rPr>
          <w:rFonts w:cstheme="minorHAnsi"/>
        </w:rPr>
        <w:t xml:space="preserve"> your time and attention to these questions. Should you have any clarifying questions or would like to discuss</w:t>
      </w:r>
      <w:r>
        <w:rPr>
          <w:rFonts w:cstheme="minorHAnsi"/>
        </w:rPr>
        <w:t xml:space="preserve"> these matters or the EPDP Initial </w:t>
      </w:r>
      <w:r w:rsidR="004A522E">
        <w:rPr>
          <w:rFonts w:cstheme="minorHAnsi"/>
        </w:rPr>
        <w:t>R</w:t>
      </w:r>
      <w:r>
        <w:rPr>
          <w:rFonts w:cstheme="minorHAnsi"/>
        </w:rPr>
        <w:t>eport</w:t>
      </w:r>
      <w:r w:rsidR="00D04C30">
        <w:rPr>
          <w:rFonts w:cstheme="minorHAnsi"/>
        </w:rPr>
        <w:t xml:space="preserve">, please do not hesitate to reach out to me. </w:t>
      </w:r>
      <w:r>
        <w:rPr>
          <w:rFonts w:cstheme="minorHAnsi"/>
        </w:rPr>
        <w:t xml:space="preserve">My contact information is below. </w:t>
      </w:r>
    </w:p>
    <w:p w14:paraId="5A5088D4" w14:textId="77777777" w:rsidR="00D04C30" w:rsidRDefault="00D04C30" w:rsidP="00D04C30">
      <w:pPr>
        <w:rPr>
          <w:rFonts w:cstheme="minorHAnsi"/>
        </w:rPr>
      </w:pPr>
    </w:p>
    <w:p w14:paraId="5E9E1A42" w14:textId="65E270C1" w:rsidR="00D04C30" w:rsidRDefault="00D04C30" w:rsidP="00D04C30">
      <w:pPr>
        <w:rPr>
          <w:rFonts w:cstheme="minorHAnsi"/>
        </w:rPr>
      </w:pPr>
      <w:r>
        <w:rPr>
          <w:rFonts w:cstheme="minorHAnsi"/>
        </w:rPr>
        <w:t xml:space="preserve">As the Temporary Specification is only enforceable until 25 May 2019, the EPDP Team aims to finalize this report by the end of January 2019 so ideally any feedback you may have is </w:t>
      </w:r>
      <w:r w:rsidR="00161AE4">
        <w:rPr>
          <w:rFonts w:cstheme="minorHAnsi"/>
        </w:rPr>
        <w:t xml:space="preserve">received </w:t>
      </w:r>
      <w:r w:rsidR="008820ED">
        <w:rPr>
          <w:rFonts w:cstheme="minorHAnsi"/>
        </w:rPr>
        <w:t>prior to that</w:t>
      </w:r>
      <w:r>
        <w:rPr>
          <w:rFonts w:cstheme="minorHAnsi"/>
        </w:rPr>
        <w:t xml:space="preserve">. Again, we sincerely thank you for your time and attention to these questions. </w:t>
      </w:r>
    </w:p>
    <w:p w14:paraId="72624FBB" w14:textId="77777777" w:rsidR="00D04C30" w:rsidRDefault="00D04C30" w:rsidP="00D04C30">
      <w:pPr>
        <w:rPr>
          <w:rFonts w:cstheme="minorHAnsi"/>
        </w:rPr>
      </w:pPr>
    </w:p>
    <w:p w14:paraId="4099BF81" w14:textId="77777777" w:rsidR="00D04C30" w:rsidRDefault="00D04C30" w:rsidP="00D04C30">
      <w:pPr>
        <w:rPr>
          <w:rFonts w:cstheme="minorHAnsi"/>
        </w:rPr>
      </w:pPr>
      <w:r>
        <w:rPr>
          <w:rFonts w:cstheme="minorHAnsi"/>
        </w:rPr>
        <w:t>On behalf of the EPDP Team,</w:t>
      </w:r>
    </w:p>
    <w:p w14:paraId="65549A64" w14:textId="77777777" w:rsidR="00D04C30" w:rsidRDefault="00D04C30" w:rsidP="00D04C30">
      <w:pPr>
        <w:rPr>
          <w:rFonts w:cstheme="minorHAnsi"/>
        </w:rPr>
      </w:pPr>
    </w:p>
    <w:p w14:paraId="79B3E90F" w14:textId="77777777" w:rsidR="00D04C30" w:rsidRDefault="00D04C30" w:rsidP="00D04C30">
      <w:pPr>
        <w:rPr>
          <w:rFonts w:cstheme="minorHAnsi"/>
        </w:rPr>
      </w:pPr>
      <w:r>
        <w:rPr>
          <w:rFonts w:cstheme="minorHAnsi"/>
        </w:rPr>
        <w:t>Kurt Pritz</w:t>
      </w:r>
    </w:p>
    <w:p w14:paraId="0600D286" w14:textId="77777777" w:rsidR="00D04C30" w:rsidRDefault="00D04C30" w:rsidP="00D04C30">
      <w:pPr>
        <w:rPr>
          <w:rFonts w:cstheme="minorHAnsi"/>
        </w:rPr>
      </w:pPr>
      <w:r>
        <w:rPr>
          <w:rFonts w:cstheme="minorHAnsi"/>
        </w:rPr>
        <w:t>Chair</w:t>
      </w:r>
    </w:p>
    <w:p w14:paraId="68990BB6" w14:textId="77777777" w:rsidR="00D04C30" w:rsidRDefault="00D04C30" w:rsidP="00D04C30">
      <w:pPr>
        <w:rPr>
          <w:rFonts w:cstheme="minorHAnsi"/>
        </w:rPr>
      </w:pPr>
    </w:p>
    <w:p w14:paraId="52632553" w14:textId="77777777" w:rsidR="00D04C30" w:rsidRPr="00D04C30" w:rsidRDefault="00D04C30" w:rsidP="00D04C30">
      <w:pPr>
        <w:rPr>
          <w:rFonts w:cstheme="minorHAnsi"/>
        </w:rPr>
      </w:pPr>
    </w:p>
    <w:sectPr w:rsidR="00D04C30" w:rsidRPr="00D04C30" w:rsidSect="007F1FED">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01704E" w16cid:durableId="1FA68CB3"/>
  <w16cid:commentId w16cid:paraId="60CE7E01" w16cid:durableId="1FA68D0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51E50" w14:textId="77777777" w:rsidR="00C0755A" w:rsidRDefault="00C0755A" w:rsidP="00402E11">
      <w:r>
        <w:separator/>
      </w:r>
    </w:p>
  </w:endnote>
  <w:endnote w:type="continuationSeparator" w:id="0">
    <w:p w14:paraId="252D3F28" w14:textId="77777777" w:rsidR="00C0755A" w:rsidRDefault="00C0755A" w:rsidP="0040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Cambria Math"/>
    <w:charset w:val="00"/>
    <w:family w:val="swiss"/>
    <w:pitch w:val="variable"/>
    <w:sig w:usb0="600002F7" w:usb1="02000001" w:usb2="00000000" w:usb3="00000000" w:csb0="0000019F" w:csb1="00000000"/>
  </w:font>
  <w:font w:name="inherit">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3B3E5" w14:textId="77777777" w:rsidR="00C0755A" w:rsidRDefault="00C0755A" w:rsidP="00402E11">
      <w:r>
        <w:separator/>
      </w:r>
    </w:p>
  </w:footnote>
  <w:footnote w:type="continuationSeparator" w:id="0">
    <w:p w14:paraId="78B3BD94" w14:textId="77777777" w:rsidR="00C0755A" w:rsidRDefault="00C0755A" w:rsidP="00402E11">
      <w:r>
        <w:continuationSeparator/>
      </w:r>
    </w:p>
  </w:footnote>
  <w:footnote w:id="1">
    <w:p w14:paraId="7CD0843B" w14:textId="77777777" w:rsidR="00402E11" w:rsidRPr="00BF5836" w:rsidRDefault="00402E11" w:rsidP="00402E11">
      <w:pPr>
        <w:pStyle w:val="FootnoteText"/>
        <w:rPr>
          <w:rFonts w:cstheme="minorHAnsi"/>
          <w:sz w:val="18"/>
          <w:szCs w:val="18"/>
        </w:rPr>
      </w:pPr>
      <w:r w:rsidRPr="00EE42F2">
        <w:rPr>
          <w:rStyle w:val="FootnoteReference"/>
          <w:rFonts w:cstheme="minorHAnsi"/>
          <w:color w:val="000000" w:themeColor="text1"/>
          <w:sz w:val="18"/>
          <w:szCs w:val="18"/>
        </w:rPr>
        <w:footnoteRef/>
      </w:r>
      <w:r w:rsidRPr="00EE42F2">
        <w:rPr>
          <w:rFonts w:cstheme="minorHAnsi"/>
          <w:color w:val="000000" w:themeColor="text1"/>
          <w:sz w:val="18"/>
          <w:szCs w:val="18"/>
        </w:rPr>
        <w:t xml:space="preserve"> Article 4(1) GDPR.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574EE"/>
    <w:multiLevelType w:val="hybridMultilevel"/>
    <w:tmpl w:val="B0121C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8558D"/>
    <w:multiLevelType w:val="multilevel"/>
    <w:tmpl w:val="AFB2C31C"/>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A30C6C"/>
    <w:multiLevelType w:val="hybridMultilevel"/>
    <w:tmpl w:val="A0A683DE"/>
    <w:lvl w:ilvl="0" w:tplc="5ECE7E0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747CA"/>
    <w:multiLevelType w:val="hybridMultilevel"/>
    <w:tmpl w:val="27AC57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0404D"/>
    <w:multiLevelType w:val="hybridMultilevel"/>
    <w:tmpl w:val="1180BD8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nsid w:val="115406ED"/>
    <w:multiLevelType w:val="multilevel"/>
    <w:tmpl w:val="38D6D8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001CB1"/>
    <w:multiLevelType w:val="hybridMultilevel"/>
    <w:tmpl w:val="E68A0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34FD3"/>
    <w:multiLevelType w:val="hybridMultilevel"/>
    <w:tmpl w:val="38D6D8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BA7BB4"/>
    <w:multiLevelType w:val="multilevel"/>
    <w:tmpl w:val="E63C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1E335B"/>
    <w:multiLevelType w:val="hybridMultilevel"/>
    <w:tmpl w:val="7A8CAB54"/>
    <w:lvl w:ilvl="0" w:tplc="E236C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DB515C"/>
    <w:multiLevelType w:val="multilevel"/>
    <w:tmpl w:val="001EC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760323"/>
    <w:multiLevelType w:val="multilevel"/>
    <w:tmpl w:val="0B6ED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736358"/>
    <w:multiLevelType w:val="hybridMultilevel"/>
    <w:tmpl w:val="AFB2C31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3F1C55"/>
    <w:multiLevelType w:val="hybridMultilevel"/>
    <w:tmpl w:val="477A9C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5746C1"/>
    <w:multiLevelType w:val="hybridMultilevel"/>
    <w:tmpl w:val="4404C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006B46"/>
    <w:multiLevelType w:val="hybridMultilevel"/>
    <w:tmpl w:val="588EC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4"/>
  </w:num>
  <w:num w:numId="4">
    <w:abstractNumId w:val="3"/>
  </w:num>
  <w:num w:numId="5">
    <w:abstractNumId w:val="9"/>
  </w:num>
  <w:num w:numId="6">
    <w:abstractNumId w:val="13"/>
  </w:num>
  <w:num w:numId="7">
    <w:abstractNumId w:val="10"/>
  </w:num>
  <w:num w:numId="8">
    <w:abstractNumId w:val="8"/>
  </w:num>
  <w:num w:numId="9">
    <w:abstractNumId w:val="12"/>
  </w:num>
  <w:num w:numId="10">
    <w:abstractNumId w:val="11"/>
  </w:num>
  <w:num w:numId="11">
    <w:abstractNumId w:val="2"/>
  </w:num>
  <w:num w:numId="12">
    <w:abstractNumId w:val="1"/>
  </w:num>
  <w:num w:numId="13">
    <w:abstractNumId w:val="6"/>
  </w:num>
  <w:num w:numId="14">
    <w:abstractNumId w:val="0"/>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CA"/>
    <w:rsid w:val="00013336"/>
    <w:rsid w:val="0003795B"/>
    <w:rsid w:val="0004549F"/>
    <w:rsid w:val="000B7A30"/>
    <w:rsid w:val="001401CA"/>
    <w:rsid w:val="00143389"/>
    <w:rsid w:val="0015503F"/>
    <w:rsid w:val="00161AE4"/>
    <w:rsid w:val="001D6B9A"/>
    <w:rsid w:val="001E739B"/>
    <w:rsid w:val="001F0324"/>
    <w:rsid w:val="001F737B"/>
    <w:rsid w:val="00212F85"/>
    <w:rsid w:val="002414C9"/>
    <w:rsid w:val="00243A08"/>
    <w:rsid w:val="00254C72"/>
    <w:rsid w:val="002A02E6"/>
    <w:rsid w:val="002E6A52"/>
    <w:rsid w:val="003030F3"/>
    <w:rsid w:val="00327AA7"/>
    <w:rsid w:val="00330F5D"/>
    <w:rsid w:val="00360627"/>
    <w:rsid w:val="00402E11"/>
    <w:rsid w:val="00406B07"/>
    <w:rsid w:val="00426F6F"/>
    <w:rsid w:val="00462988"/>
    <w:rsid w:val="004A522E"/>
    <w:rsid w:val="004E2D03"/>
    <w:rsid w:val="00505F5B"/>
    <w:rsid w:val="00522149"/>
    <w:rsid w:val="00525B47"/>
    <w:rsid w:val="00551195"/>
    <w:rsid w:val="00552F40"/>
    <w:rsid w:val="005558C4"/>
    <w:rsid w:val="00556EE7"/>
    <w:rsid w:val="00564E7E"/>
    <w:rsid w:val="00565802"/>
    <w:rsid w:val="005B7571"/>
    <w:rsid w:val="006318A1"/>
    <w:rsid w:val="006466C2"/>
    <w:rsid w:val="0065393A"/>
    <w:rsid w:val="006671C4"/>
    <w:rsid w:val="00676BFA"/>
    <w:rsid w:val="00682B12"/>
    <w:rsid w:val="006843FA"/>
    <w:rsid w:val="006B44B3"/>
    <w:rsid w:val="006F1CED"/>
    <w:rsid w:val="00720424"/>
    <w:rsid w:val="0077283B"/>
    <w:rsid w:val="007904FC"/>
    <w:rsid w:val="007D652D"/>
    <w:rsid w:val="007F1FED"/>
    <w:rsid w:val="008239FC"/>
    <w:rsid w:val="0086695B"/>
    <w:rsid w:val="008820ED"/>
    <w:rsid w:val="008C352F"/>
    <w:rsid w:val="008D3538"/>
    <w:rsid w:val="009558B3"/>
    <w:rsid w:val="00961935"/>
    <w:rsid w:val="009A15A5"/>
    <w:rsid w:val="009B249C"/>
    <w:rsid w:val="009F6782"/>
    <w:rsid w:val="00A64164"/>
    <w:rsid w:val="00A94839"/>
    <w:rsid w:val="00AB448E"/>
    <w:rsid w:val="00AF3224"/>
    <w:rsid w:val="00B34569"/>
    <w:rsid w:val="00B62669"/>
    <w:rsid w:val="00B85A75"/>
    <w:rsid w:val="00B916C1"/>
    <w:rsid w:val="00B95BFB"/>
    <w:rsid w:val="00BC65E7"/>
    <w:rsid w:val="00BF2657"/>
    <w:rsid w:val="00C0755A"/>
    <w:rsid w:val="00C310B1"/>
    <w:rsid w:val="00C41A2C"/>
    <w:rsid w:val="00C615F6"/>
    <w:rsid w:val="00C751BA"/>
    <w:rsid w:val="00C75B3B"/>
    <w:rsid w:val="00C859FF"/>
    <w:rsid w:val="00CC0B74"/>
    <w:rsid w:val="00D04285"/>
    <w:rsid w:val="00D04C30"/>
    <w:rsid w:val="00D3650D"/>
    <w:rsid w:val="00D45A61"/>
    <w:rsid w:val="00D80F34"/>
    <w:rsid w:val="00DD7022"/>
    <w:rsid w:val="00E437AD"/>
    <w:rsid w:val="00E53B3D"/>
    <w:rsid w:val="00E90099"/>
    <w:rsid w:val="00E96B19"/>
    <w:rsid w:val="00EA3D6E"/>
    <w:rsid w:val="00EE42F2"/>
    <w:rsid w:val="00F00434"/>
    <w:rsid w:val="00F713C2"/>
    <w:rsid w:val="00FA04EF"/>
    <w:rsid w:val="00FB22CD"/>
    <w:rsid w:val="00FD07C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71EE"/>
  <w15:chartTrackingRefBased/>
  <w15:docId w15:val="{BBAB7FAB-8DC0-A24A-A857-13BCFC5F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1CA"/>
    <w:rPr>
      <w:color w:val="0563C1" w:themeColor="hyperlink"/>
      <w:u w:val="single"/>
    </w:rPr>
  </w:style>
  <w:style w:type="character" w:customStyle="1" w:styleId="UnresolvedMention1">
    <w:name w:val="Unresolved Mention1"/>
    <w:basedOn w:val="DefaultParagraphFont"/>
    <w:uiPriority w:val="99"/>
    <w:semiHidden/>
    <w:unhideWhenUsed/>
    <w:rsid w:val="001401CA"/>
    <w:rPr>
      <w:color w:val="605E5C"/>
      <w:shd w:val="clear" w:color="auto" w:fill="E1DFDD"/>
    </w:rPr>
  </w:style>
  <w:style w:type="paragraph" w:styleId="ListParagraph">
    <w:name w:val="List Paragraph"/>
    <w:basedOn w:val="Normal"/>
    <w:uiPriority w:val="34"/>
    <w:qFormat/>
    <w:rsid w:val="001401CA"/>
    <w:pPr>
      <w:ind w:left="720"/>
      <w:contextualSpacing/>
    </w:pPr>
  </w:style>
  <w:style w:type="paragraph" w:styleId="FootnoteText">
    <w:name w:val="footnote text"/>
    <w:aliases w:val="+ Footnote Text"/>
    <w:basedOn w:val="Normal"/>
    <w:link w:val="FootnoteTextChar"/>
    <w:uiPriority w:val="99"/>
    <w:unhideWhenUsed/>
    <w:rsid w:val="00402E11"/>
    <w:rPr>
      <w:rFonts w:ascii="Source Sans Pro" w:eastAsiaTheme="minorEastAsia"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402E11"/>
    <w:rPr>
      <w:rFonts w:ascii="Source Sans Pro" w:eastAsiaTheme="minorEastAsia" w:hAnsi="Source Sans Pro"/>
      <w:color w:val="595959" w:themeColor="text1" w:themeTint="A6"/>
      <w:sz w:val="20"/>
    </w:rPr>
  </w:style>
  <w:style w:type="character" w:styleId="FootnoteReference">
    <w:name w:val="footnote reference"/>
    <w:basedOn w:val="DefaultParagraphFont"/>
    <w:uiPriority w:val="99"/>
    <w:unhideWhenUsed/>
    <w:rsid w:val="00402E11"/>
    <w:rPr>
      <w:rFonts w:ascii="Calibri" w:hAnsi="Calibri"/>
      <w:vertAlign w:val="superscript"/>
    </w:rPr>
  </w:style>
  <w:style w:type="paragraph" w:styleId="BalloonText">
    <w:name w:val="Balloon Text"/>
    <w:basedOn w:val="Normal"/>
    <w:link w:val="BalloonTextChar"/>
    <w:uiPriority w:val="99"/>
    <w:semiHidden/>
    <w:unhideWhenUsed/>
    <w:rsid w:val="00161A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1AE4"/>
    <w:rPr>
      <w:rFonts w:ascii="Times New Roman" w:hAnsi="Times New Roman" w:cs="Times New Roman"/>
      <w:sz w:val="18"/>
      <w:szCs w:val="18"/>
    </w:rPr>
  </w:style>
  <w:style w:type="paragraph" w:styleId="Revision">
    <w:name w:val="Revision"/>
    <w:hidden/>
    <w:uiPriority w:val="99"/>
    <w:semiHidden/>
    <w:rsid w:val="006671C4"/>
  </w:style>
  <w:style w:type="paragraph" w:styleId="NormalWeb">
    <w:name w:val="Normal (Web)"/>
    <w:basedOn w:val="Normal"/>
    <w:uiPriority w:val="99"/>
    <w:semiHidden/>
    <w:unhideWhenUsed/>
    <w:rsid w:val="004E2D03"/>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12F85"/>
    <w:rPr>
      <w:sz w:val="18"/>
      <w:szCs w:val="18"/>
    </w:rPr>
  </w:style>
  <w:style w:type="paragraph" w:styleId="CommentText">
    <w:name w:val="annotation text"/>
    <w:basedOn w:val="Normal"/>
    <w:link w:val="CommentTextChar"/>
    <w:uiPriority w:val="99"/>
    <w:semiHidden/>
    <w:unhideWhenUsed/>
    <w:rsid w:val="00212F85"/>
  </w:style>
  <w:style w:type="character" w:customStyle="1" w:styleId="CommentTextChar">
    <w:name w:val="Comment Text Char"/>
    <w:basedOn w:val="DefaultParagraphFont"/>
    <w:link w:val="CommentText"/>
    <w:uiPriority w:val="99"/>
    <w:semiHidden/>
    <w:rsid w:val="00212F85"/>
  </w:style>
  <w:style w:type="paragraph" w:styleId="CommentSubject">
    <w:name w:val="annotation subject"/>
    <w:basedOn w:val="CommentText"/>
    <w:next w:val="CommentText"/>
    <w:link w:val="CommentSubjectChar"/>
    <w:uiPriority w:val="99"/>
    <w:semiHidden/>
    <w:unhideWhenUsed/>
    <w:rsid w:val="00212F85"/>
    <w:rPr>
      <w:b/>
      <w:bCs/>
      <w:sz w:val="20"/>
      <w:szCs w:val="20"/>
    </w:rPr>
  </w:style>
  <w:style w:type="character" w:customStyle="1" w:styleId="CommentSubjectChar">
    <w:name w:val="Comment Subject Char"/>
    <w:basedOn w:val="CommentTextChar"/>
    <w:link w:val="CommentSubject"/>
    <w:uiPriority w:val="99"/>
    <w:semiHidden/>
    <w:rsid w:val="00212F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568">
      <w:bodyDiv w:val="1"/>
      <w:marLeft w:val="0"/>
      <w:marRight w:val="0"/>
      <w:marTop w:val="0"/>
      <w:marBottom w:val="0"/>
      <w:divBdr>
        <w:top w:val="none" w:sz="0" w:space="0" w:color="auto"/>
        <w:left w:val="none" w:sz="0" w:space="0" w:color="auto"/>
        <w:bottom w:val="none" w:sz="0" w:space="0" w:color="auto"/>
        <w:right w:val="none" w:sz="0" w:space="0" w:color="auto"/>
      </w:divBdr>
    </w:div>
    <w:div w:id="116071918">
      <w:bodyDiv w:val="1"/>
      <w:marLeft w:val="0"/>
      <w:marRight w:val="0"/>
      <w:marTop w:val="0"/>
      <w:marBottom w:val="0"/>
      <w:divBdr>
        <w:top w:val="none" w:sz="0" w:space="0" w:color="auto"/>
        <w:left w:val="none" w:sz="0" w:space="0" w:color="auto"/>
        <w:bottom w:val="none" w:sz="0" w:space="0" w:color="auto"/>
        <w:right w:val="none" w:sz="0" w:space="0" w:color="auto"/>
      </w:divBdr>
      <w:divsChild>
        <w:div w:id="1588805283">
          <w:marLeft w:val="0"/>
          <w:marRight w:val="0"/>
          <w:marTop w:val="0"/>
          <w:marBottom w:val="0"/>
          <w:divBdr>
            <w:top w:val="none" w:sz="0" w:space="0" w:color="auto"/>
            <w:left w:val="none" w:sz="0" w:space="0" w:color="auto"/>
            <w:bottom w:val="none" w:sz="0" w:space="0" w:color="auto"/>
            <w:right w:val="none" w:sz="0" w:space="0" w:color="auto"/>
          </w:divBdr>
          <w:divsChild>
            <w:div w:id="981008680">
              <w:marLeft w:val="0"/>
              <w:marRight w:val="0"/>
              <w:marTop w:val="0"/>
              <w:marBottom w:val="0"/>
              <w:divBdr>
                <w:top w:val="none" w:sz="0" w:space="0" w:color="auto"/>
                <w:left w:val="none" w:sz="0" w:space="0" w:color="auto"/>
                <w:bottom w:val="none" w:sz="0" w:space="0" w:color="auto"/>
                <w:right w:val="none" w:sz="0" w:space="0" w:color="auto"/>
              </w:divBdr>
              <w:divsChild>
                <w:div w:id="1044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6464">
      <w:bodyDiv w:val="1"/>
      <w:marLeft w:val="0"/>
      <w:marRight w:val="0"/>
      <w:marTop w:val="0"/>
      <w:marBottom w:val="0"/>
      <w:divBdr>
        <w:top w:val="none" w:sz="0" w:space="0" w:color="auto"/>
        <w:left w:val="none" w:sz="0" w:space="0" w:color="auto"/>
        <w:bottom w:val="none" w:sz="0" w:space="0" w:color="auto"/>
        <w:right w:val="none" w:sz="0" w:space="0" w:color="auto"/>
      </w:divBdr>
    </w:div>
    <w:div w:id="440995844">
      <w:bodyDiv w:val="1"/>
      <w:marLeft w:val="0"/>
      <w:marRight w:val="0"/>
      <w:marTop w:val="0"/>
      <w:marBottom w:val="0"/>
      <w:divBdr>
        <w:top w:val="none" w:sz="0" w:space="0" w:color="auto"/>
        <w:left w:val="none" w:sz="0" w:space="0" w:color="auto"/>
        <w:bottom w:val="none" w:sz="0" w:space="0" w:color="auto"/>
        <w:right w:val="none" w:sz="0" w:space="0" w:color="auto"/>
      </w:divBdr>
    </w:div>
    <w:div w:id="836531345">
      <w:bodyDiv w:val="1"/>
      <w:marLeft w:val="0"/>
      <w:marRight w:val="0"/>
      <w:marTop w:val="0"/>
      <w:marBottom w:val="0"/>
      <w:divBdr>
        <w:top w:val="none" w:sz="0" w:space="0" w:color="auto"/>
        <w:left w:val="none" w:sz="0" w:space="0" w:color="auto"/>
        <w:bottom w:val="none" w:sz="0" w:space="0" w:color="auto"/>
        <w:right w:val="none" w:sz="0" w:space="0" w:color="auto"/>
      </w:divBdr>
    </w:div>
    <w:div w:id="1029768171">
      <w:bodyDiv w:val="1"/>
      <w:marLeft w:val="0"/>
      <w:marRight w:val="0"/>
      <w:marTop w:val="0"/>
      <w:marBottom w:val="0"/>
      <w:divBdr>
        <w:top w:val="none" w:sz="0" w:space="0" w:color="auto"/>
        <w:left w:val="none" w:sz="0" w:space="0" w:color="auto"/>
        <w:bottom w:val="none" w:sz="0" w:space="0" w:color="auto"/>
        <w:right w:val="none" w:sz="0" w:space="0" w:color="auto"/>
      </w:divBdr>
    </w:div>
    <w:div w:id="114716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cann.org/en/system/files/correspondence/jelinek-to-marby-05jul18-en.pdf"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2038</Words>
  <Characters>11622</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Kurt Pritz</cp:lastModifiedBy>
  <cp:revision>2</cp:revision>
  <cp:lastPrinted>2018-11-25T23:35:00Z</cp:lastPrinted>
  <dcterms:created xsi:type="dcterms:W3CDTF">2018-11-26T22:52:00Z</dcterms:created>
  <dcterms:modified xsi:type="dcterms:W3CDTF">2018-11-26T22:52:00Z</dcterms:modified>
</cp:coreProperties>
</file>