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829"/>
      </w:tblGrid>
      <w:tr w:rsidR="009A56E5" w:rsidRPr="009A56E5" w14:paraId="4BB272C0" w14:textId="388DDBDD" w:rsidTr="001E266A">
        <w:trPr>
          <w:trHeight w:val="502"/>
        </w:trPr>
        <w:tc>
          <w:tcPr>
            <w:tcW w:w="2013" w:type="dxa"/>
            <w:vAlign w:val="center"/>
          </w:tcPr>
          <w:p w14:paraId="2D0BDB9A" w14:textId="53FFEA19" w:rsidR="009A56E5" w:rsidRPr="009A56E5" w:rsidRDefault="00DB7AE7" w:rsidP="009A56E5">
            <w:pPr>
              <w:spacing w:after="200"/>
              <w:ind w:right="-132"/>
              <w:rPr>
                <w:rFonts w:ascii="Century Gothic" w:eastAsia="SimSun" w:hAnsi="Century Gothic" w:cs="Arial"/>
                <w:b/>
                <w:sz w:val="20"/>
                <w:szCs w:val="20"/>
                <w:lang w:val="en-GB" w:eastAsia="en-US"/>
              </w:rPr>
            </w:pPr>
            <w:r w:rsidRPr="00DB7AE7">
              <w:rPr>
                <w:rFonts w:ascii="Century Gothic" w:eastAsia="SimSun" w:hAnsi="Century Gothic" w:cs="Arial"/>
                <w:b/>
                <w:sz w:val="20"/>
                <w:szCs w:val="20"/>
                <w:lang w:val="en-GB" w:eastAsia="en-US"/>
              </w:rPr>
              <w:fldChar w:fldCharType="begin"/>
            </w:r>
            <w:r w:rsidRPr="00DB7AE7">
              <w:rPr>
                <w:rFonts w:ascii="Century Gothic" w:eastAsia="SimSun" w:hAnsi="Century Gothic" w:cs="Arial"/>
                <w:b/>
                <w:sz w:val="20"/>
                <w:szCs w:val="20"/>
                <w:lang w:val="en-GB" w:eastAsia="en-US"/>
              </w:rPr>
              <w:fldChar w:fldCharType="end"/>
            </w:r>
            <w:r w:rsidR="009A56E5" w:rsidRPr="009A56E5">
              <w:rPr>
                <w:rFonts w:ascii="Century Gothic" w:eastAsia="SimSun" w:hAnsi="Century Gothic" w:cs="Arial"/>
                <w:b/>
                <w:sz w:val="20"/>
                <w:szCs w:val="20"/>
                <w:lang w:val="en-GB" w:eastAsia="en-US"/>
              </w:rPr>
              <w:t>Distribution</w:t>
            </w:r>
          </w:p>
        </w:tc>
        <w:tc>
          <w:tcPr>
            <w:tcW w:w="2829" w:type="dxa"/>
            <w:vAlign w:val="center"/>
          </w:tcPr>
          <w:p w14:paraId="3AF45D77" w14:textId="61529793" w:rsidR="009A56E5" w:rsidRPr="009A56E5" w:rsidRDefault="009A56E5" w:rsidP="009A56E5">
            <w:pPr>
              <w:spacing w:after="200"/>
              <w:ind w:right="545"/>
              <w:rPr>
                <w:rFonts w:ascii="Century Gothic" w:eastAsia="SimSun" w:hAnsi="Century Gothic" w:cs="Arial"/>
                <w:sz w:val="20"/>
                <w:szCs w:val="20"/>
                <w:lang w:val="en-GB" w:eastAsia="en-US"/>
              </w:rPr>
            </w:pPr>
            <w:r>
              <w:rPr>
                <w:rFonts w:ascii="Century Gothic" w:eastAsia="SimSun" w:hAnsi="Century Gothic" w:cs="Arial"/>
                <w:sz w:val="20"/>
                <w:szCs w:val="20"/>
                <w:lang w:val="en-GB" w:eastAsia="en-US"/>
              </w:rPr>
              <w:t>Public</w:t>
            </w:r>
          </w:p>
        </w:tc>
      </w:tr>
      <w:tr w:rsidR="009A56E5" w:rsidRPr="009A56E5" w14:paraId="2323658F" w14:textId="037ECE0C" w:rsidTr="001E266A">
        <w:tc>
          <w:tcPr>
            <w:tcW w:w="2013" w:type="dxa"/>
            <w:vAlign w:val="center"/>
          </w:tcPr>
          <w:p w14:paraId="17E90565" w14:textId="516BAD6A" w:rsidR="009A56E5" w:rsidRPr="009A56E5" w:rsidRDefault="009A56E5" w:rsidP="009A56E5">
            <w:pPr>
              <w:spacing w:after="200"/>
              <w:ind w:right="-132"/>
              <w:rPr>
                <w:rFonts w:ascii="Century Gothic" w:eastAsia="SimSun" w:hAnsi="Century Gothic" w:cs="Arial"/>
                <w:b/>
                <w:sz w:val="20"/>
                <w:szCs w:val="20"/>
                <w:lang w:val="en-GB" w:eastAsia="en-US"/>
              </w:rPr>
            </w:pPr>
            <w:r w:rsidRPr="009A56E5">
              <w:rPr>
                <w:rFonts w:ascii="Century Gothic" w:eastAsia="SimSun" w:hAnsi="Century Gothic" w:cs="Arial"/>
                <w:b/>
                <w:sz w:val="20"/>
                <w:szCs w:val="20"/>
                <w:lang w:val="en-GB" w:eastAsia="en-US"/>
              </w:rPr>
              <w:t>Date</w:t>
            </w:r>
          </w:p>
        </w:tc>
        <w:tc>
          <w:tcPr>
            <w:tcW w:w="2829" w:type="dxa"/>
            <w:vAlign w:val="center"/>
          </w:tcPr>
          <w:p w14:paraId="6180BEC5" w14:textId="06FC787C" w:rsidR="009A56E5" w:rsidRPr="009A56E5" w:rsidRDefault="009235D8" w:rsidP="007B7526">
            <w:pPr>
              <w:spacing w:after="200"/>
              <w:ind w:right="545"/>
              <w:rPr>
                <w:rFonts w:ascii="Century Gothic" w:eastAsia="SimSun" w:hAnsi="Century Gothic" w:cs="Arial"/>
                <w:sz w:val="20"/>
                <w:szCs w:val="20"/>
                <w:lang w:val="en-GB" w:eastAsia="en-US"/>
              </w:rPr>
            </w:pPr>
            <w:r>
              <w:rPr>
                <w:rFonts w:ascii="Century Gothic" w:eastAsia="SimSun" w:hAnsi="Century Gothic" w:cs="Arial"/>
                <w:sz w:val="20"/>
                <w:szCs w:val="20"/>
                <w:lang w:val="en-GB" w:eastAsia="en-US"/>
              </w:rPr>
              <w:t xml:space="preserve">19 </w:t>
            </w:r>
            <w:r w:rsidR="007B7526">
              <w:rPr>
                <w:rFonts w:ascii="Century Gothic" w:eastAsia="SimSun" w:hAnsi="Century Gothic" w:cs="Arial"/>
                <w:sz w:val="20"/>
                <w:szCs w:val="20"/>
                <w:lang w:val="en-GB" w:eastAsia="en-US"/>
              </w:rPr>
              <w:t>February 2019</w:t>
            </w:r>
          </w:p>
        </w:tc>
      </w:tr>
    </w:tbl>
    <w:p w14:paraId="1FFBD832" w14:textId="32B34640" w:rsidR="009A56E5" w:rsidRPr="009A56E5" w:rsidRDefault="009A56E5" w:rsidP="009A56E5">
      <w:pPr>
        <w:spacing w:after="200"/>
        <w:rPr>
          <w:rFonts w:ascii="Century Gothic" w:hAnsi="Century Gothic" w:cs="Arial"/>
          <w:sz w:val="10"/>
          <w:szCs w:val="10"/>
          <w:lang w:val="en-GB" w:eastAsia="en-US"/>
        </w:rPr>
      </w:pPr>
    </w:p>
    <w:p w14:paraId="5091F8A0" w14:textId="443A9111" w:rsidR="009A56E5" w:rsidRPr="001E266A" w:rsidRDefault="009A56E5" w:rsidP="001E266A">
      <w:pPr>
        <w:keepNext/>
        <w:keepLines/>
        <w:pBdr>
          <w:top w:val="single" w:sz="4" w:space="1" w:color="00408E"/>
          <w:bottom w:val="single" w:sz="4" w:space="1" w:color="00408E"/>
        </w:pBdr>
        <w:spacing w:after="200"/>
        <w:ind w:right="-24"/>
        <w:outlineLvl w:val="0"/>
        <w:rPr>
          <w:rFonts w:ascii="Century Gothic" w:hAnsi="Century Gothic" w:cs="Times New Roman"/>
          <w:b/>
          <w:color w:val="244061"/>
          <w:sz w:val="28"/>
          <w:szCs w:val="28"/>
          <w:lang w:val="en-AU" w:eastAsia="en-US"/>
        </w:rPr>
      </w:pPr>
      <w:bookmarkStart w:id="0" w:name="_Toc533153222"/>
      <w:r w:rsidRPr="009A56E5">
        <w:rPr>
          <w:rFonts w:ascii="Century Gothic" w:hAnsi="Century Gothic" w:cs="Times New Roman"/>
          <w:b/>
          <w:color w:val="244061"/>
          <w:sz w:val="28"/>
          <w:szCs w:val="28"/>
          <w:lang w:val="en-US" w:eastAsia="en-US"/>
        </w:rPr>
        <w:t xml:space="preserve">Governmental </w:t>
      </w:r>
      <w:r w:rsidRPr="009A56E5">
        <w:rPr>
          <w:rFonts w:ascii="Century Gothic" w:hAnsi="Century Gothic" w:cs="Times New Roman"/>
          <w:b/>
          <w:color w:val="244060"/>
          <w:sz w:val="28"/>
          <w:szCs w:val="28"/>
          <w:lang w:val="en-US" w:eastAsia="en-US"/>
        </w:rPr>
        <w:t xml:space="preserve">Advisory </w:t>
      </w:r>
      <w:r>
        <w:rPr>
          <w:rFonts w:ascii="Century Gothic" w:hAnsi="Century Gothic" w:cs="Times New Roman"/>
          <w:b/>
          <w:color w:val="244060"/>
          <w:sz w:val="28"/>
          <w:szCs w:val="28"/>
          <w:lang w:val="en-US" w:eastAsia="en-US"/>
        </w:rPr>
        <w:t xml:space="preserve">Committee </w:t>
      </w:r>
      <w:r w:rsidRPr="009A56E5">
        <w:rPr>
          <w:rFonts w:ascii="Century Gothic" w:hAnsi="Century Gothic" w:cs="Times New Roman"/>
          <w:b/>
          <w:color w:val="244060"/>
          <w:sz w:val="28"/>
          <w:szCs w:val="28"/>
          <w:lang w:val="en-US" w:eastAsia="en-US"/>
        </w:rPr>
        <w:t>Input</w:t>
      </w:r>
      <w:r>
        <w:rPr>
          <w:rFonts w:ascii="Century Gothic" w:hAnsi="Century Gothic" w:cs="Times New Roman"/>
          <w:b/>
          <w:color w:val="244061"/>
          <w:sz w:val="28"/>
          <w:szCs w:val="28"/>
          <w:lang w:val="en-US" w:eastAsia="en-US"/>
        </w:rPr>
        <w:t xml:space="preserve"> on the </w:t>
      </w:r>
      <w:r w:rsidR="007B7526">
        <w:rPr>
          <w:rFonts w:ascii="Century Gothic" w:hAnsi="Century Gothic" w:cs="Times New Roman"/>
          <w:b/>
          <w:color w:val="244061"/>
          <w:sz w:val="28"/>
          <w:szCs w:val="28"/>
          <w:lang w:val="en-US" w:eastAsia="en-US"/>
        </w:rPr>
        <w:t xml:space="preserve">Draft Final </w:t>
      </w:r>
      <w:r>
        <w:rPr>
          <w:rFonts w:ascii="Century Gothic" w:hAnsi="Century Gothic" w:cs="Times New Roman"/>
          <w:b/>
          <w:color w:val="244061"/>
          <w:sz w:val="28"/>
          <w:szCs w:val="28"/>
          <w:lang w:val="en-US" w:eastAsia="en-US"/>
        </w:rPr>
        <w:t xml:space="preserve">Report of the Expedited Policy Development Process (EPDP) </w:t>
      </w:r>
      <w:r>
        <w:rPr>
          <w:rFonts w:ascii="Century Gothic" w:hAnsi="Century Gothic" w:cs="Times New Roman"/>
          <w:b/>
          <w:color w:val="244061"/>
          <w:sz w:val="28"/>
          <w:szCs w:val="28"/>
          <w:lang w:val="en-US" w:eastAsia="en-US"/>
        </w:rPr>
        <w:br/>
        <w:t>on gTLD Registration Data</w:t>
      </w:r>
      <w:bookmarkStart w:id="1" w:name="_cnb89zvgbwf0" w:colFirst="0" w:colLast="0"/>
      <w:bookmarkStart w:id="2" w:name="_5gcxalmr9v2g" w:colFirst="0" w:colLast="0"/>
      <w:bookmarkEnd w:id="0"/>
      <w:bookmarkEnd w:id="1"/>
      <w:bookmarkEnd w:id="2"/>
    </w:p>
    <w:p w14:paraId="0BFD026F" w14:textId="68A44219" w:rsidR="00635555" w:rsidRPr="001E266A" w:rsidRDefault="007B7526">
      <w:pPr>
        <w:pStyle w:val="Heading1"/>
        <w:numPr>
          <w:ilvl w:val="0"/>
          <w:numId w:val="7"/>
        </w:numPr>
        <w:ind w:left="360"/>
        <w:rPr>
          <w:rFonts w:cs="Arial"/>
          <w:color w:val="244060"/>
          <w:sz w:val="24"/>
          <w:szCs w:val="24"/>
        </w:rPr>
      </w:pPr>
      <w:bookmarkStart w:id="3" w:name="_4nh4ximdfg7z" w:colFirst="0" w:colLast="0"/>
      <w:bookmarkStart w:id="4" w:name="_Toc533153223"/>
      <w:bookmarkEnd w:id="3"/>
      <w:r w:rsidRPr="001E266A">
        <w:rPr>
          <w:rFonts w:cs="Arial"/>
          <w:color w:val="244060"/>
          <w:sz w:val="24"/>
          <w:szCs w:val="24"/>
        </w:rPr>
        <w:t xml:space="preserve">General Concern that Draft Final Report does not Sufficiently Recognize the Benefits of the </w:t>
      </w:r>
      <w:proofErr w:type="spellStart"/>
      <w:r w:rsidRPr="001E266A">
        <w:rPr>
          <w:rFonts w:cs="Arial"/>
          <w:color w:val="244060"/>
          <w:sz w:val="24"/>
          <w:szCs w:val="24"/>
        </w:rPr>
        <w:t>Whois</w:t>
      </w:r>
      <w:proofErr w:type="spellEnd"/>
      <w:r w:rsidRPr="001E266A">
        <w:rPr>
          <w:rFonts w:cs="Arial"/>
          <w:color w:val="244060"/>
          <w:sz w:val="24"/>
          <w:szCs w:val="24"/>
        </w:rPr>
        <w:t xml:space="preserve"> database</w:t>
      </w:r>
      <w:bookmarkEnd w:id="4"/>
    </w:p>
    <w:p w14:paraId="04531B45" w14:textId="77777777" w:rsidR="00635555" w:rsidRPr="001E266A" w:rsidRDefault="00635555">
      <w:pPr>
        <w:rPr>
          <w:rFonts w:cs="Arial"/>
          <w:b/>
          <w:sz w:val="10"/>
          <w:szCs w:val="10"/>
        </w:rPr>
      </w:pPr>
    </w:p>
    <w:p w14:paraId="3BA047C8" w14:textId="3AABA708" w:rsidR="00147E69" w:rsidRPr="001E266A" w:rsidRDefault="001C3E10">
      <w:pPr>
        <w:rPr>
          <w:rFonts w:cs="Arial"/>
        </w:rPr>
      </w:pPr>
      <w:r w:rsidRPr="001E266A">
        <w:rPr>
          <w:rFonts w:cs="Arial"/>
        </w:rPr>
        <w:t xml:space="preserve">The GAC commends </w:t>
      </w:r>
      <w:r w:rsidR="00127AB0" w:rsidRPr="001E266A">
        <w:rPr>
          <w:rFonts w:cs="Arial"/>
        </w:rPr>
        <w:t xml:space="preserve">the considerable efforts </w:t>
      </w:r>
      <w:r w:rsidR="00147E69" w:rsidRPr="001E266A">
        <w:rPr>
          <w:rFonts w:cs="Arial"/>
        </w:rPr>
        <w:t xml:space="preserve">put forth </w:t>
      </w:r>
      <w:r w:rsidR="00127AB0" w:rsidRPr="001E266A">
        <w:rPr>
          <w:rFonts w:cs="Arial"/>
        </w:rPr>
        <w:t>by the EPDP members, observers, leadership and support staff to pr</w:t>
      </w:r>
      <w:r w:rsidRPr="001E266A">
        <w:rPr>
          <w:rFonts w:cs="Arial"/>
        </w:rPr>
        <w:t xml:space="preserve">oduce this Draft Final report. </w:t>
      </w:r>
      <w:r w:rsidR="00127AB0" w:rsidRPr="001E266A">
        <w:rPr>
          <w:rFonts w:cs="Arial"/>
        </w:rPr>
        <w:t xml:space="preserve">The complex subject matter and swift timeframes challenged all those involved to </w:t>
      </w:r>
      <w:r w:rsidRPr="001E266A">
        <w:rPr>
          <w:rFonts w:cs="Arial"/>
        </w:rPr>
        <w:t xml:space="preserve">determine </w:t>
      </w:r>
      <w:r w:rsidR="00127AB0" w:rsidRPr="001E266A">
        <w:rPr>
          <w:rFonts w:cs="Arial"/>
        </w:rPr>
        <w:t xml:space="preserve">the best path forward to comply with the EU’s General Data Protection Regulation (GDPR) and </w:t>
      </w:r>
      <w:r w:rsidR="005E7B4B" w:rsidRPr="001E266A">
        <w:rPr>
          <w:rFonts w:cs="Arial"/>
        </w:rPr>
        <w:t xml:space="preserve">take into account </w:t>
      </w:r>
      <w:r w:rsidR="00127AB0" w:rsidRPr="001E266A">
        <w:rPr>
          <w:rFonts w:cs="Arial"/>
        </w:rPr>
        <w:t xml:space="preserve">the </w:t>
      </w:r>
      <w:proofErr w:type="gramStart"/>
      <w:r w:rsidR="00127AB0" w:rsidRPr="001E266A">
        <w:rPr>
          <w:rFonts w:cs="Arial"/>
        </w:rPr>
        <w:t>sometimes compet</w:t>
      </w:r>
      <w:bookmarkStart w:id="5" w:name="_GoBack"/>
      <w:bookmarkEnd w:id="5"/>
      <w:r w:rsidR="00127AB0" w:rsidRPr="001E266A">
        <w:rPr>
          <w:rFonts w:cs="Arial"/>
        </w:rPr>
        <w:t>ing</w:t>
      </w:r>
      <w:proofErr w:type="gramEnd"/>
      <w:r w:rsidR="00127AB0" w:rsidRPr="001E266A">
        <w:rPr>
          <w:rFonts w:cs="Arial"/>
        </w:rPr>
        <w:t xml:space="preserve"> interests of the public, </w:t>
      </w:r>
      <w:r w:rsidR="005E7B4B" w:rsidRPr="001E266A">
        <w:rPr>
          <w:rFonts w:cs="Arial"/>
        </w:rPr>
        <w:t xml:space="preserve">including intellectual property protection, cybersecurity, and </w:t>
      </w:r>
      <w:r w:rsidR="00127AB0" w:rsidRPr="001E266A">
        <w:rPr>
          <w:rFonts w:cs="Arial"/>
        </w:rPr>
        <w:t xml:space="preserve">those </w:t>
      </w:r>
      <w:r w:rsidR="009C6FCA" w:rsidRPr="001E266A">
        <w:rPr>
          <w:rFonts w:cs="Arial"/>
        </w:rPr>
        <w:t>pub</w:t>
      </w:r>
      <w:r w:rsidR="00147E69" w:rsidRPr="001E266A">
        <w:rPr>
          <w:rFonts w:cs="Arial"/>
        </w:rPr>
        <w:t xml:space="preserve">lic authorities </w:t>
      </w:r>
      <w:r w:rsidR="00127AB0" w:rsidRPr="001E266A">
        <w:rPr>
          <w:rFonts w:cs="Arial"/>
        </w:rPr>
        <w:t>charged with protecting against deceptive or malicious conduct involving the domain name system (DNS</w:t>
      </w:r>
      <w:r w:rsidRPr="001E266A">
        <w:rPr>
          <w:rFonts w:cs="Arial"/>
        </w:rPr>
        <w:t xml:space="preserve">). </w:t>
      </w:r>
      <w:r w:rsidR="005C112E" w:rsidRPr="001E266A">
        <w:rPr>
          <w:rFonts w:cs="Arial"/>
        </w:rPr>
        <w:t xml:space="preserve">Nevertheless, the draft final report does not sufficiently recognize or incorporate recommendations in the public interest.  </w:t>
      </w:r>
    </w:p>
    <w:p w14:paraId="40036FFE" w14:textId="77777777" w:rsidR="00147E69" w:rsidRPr="001E266A" w:rsidRDefault="00147E69">
      <w:pPr>
        <w:rPr>
          <w:rFonts w:cs="Arial"/>
        </w:rPr>
      </w:pPr>
    </w:p>
    <w:p w14:paraId="3D9BC46B" w14:textId="58DB0D49" w:rsidR="003279AC" w:rsidRPr="001E266A" w:rsidRDefault="005C112E">
      <w:pPr>
        <w:rPr>
          <w:rFonts w:cs="Arial"/>
        </w:rPr>
      </w:pPr>
      <w:r w:rsidRPr="001E266A">
        <w:rPr>
          <w:rFonts w:cs="Arial"/>
        </w:rPr>
        <w:t xml:space="preserve">As </w:t>
      </w:r>
      <w:r w:rsidR="001C3E10" w:rsidRPr="001E266A">
        <w:rPr>
          <w:rFonts w:cs="Arial"/>
        </w:rPr>
        <w:t xml:space="preserve">set forth </w:t>
      </w:r>
      <w:r w:rsidRPr="001E266A">
        <w:rPr>
          <w:rFonts w:cs="Arial"/>
        </w:rPr>
        <w:t xml:space="preserve"> by the GAC in its 2007 Principles</w:t>
      </w:r>
      <w:r w:rsidR="00B45F10" w:rsidRPr="001E266A">
        <w:rPr>
          <w:rFonts w:cs="Arial"/>
        </w:rPr>
        <w:t xml:space="preserve"> regarding gTLD WHOIS Services</w:t>
      </w:r>
      <w:r w:rsidRPr="001E266A">
        <w:rPr>
          <w:rFonts w:cs="Arial"/>
        </w:rPr>
        <w:t xml:space="preserve">, </w:t>
      </w:r>
      <w:r w:rsidR="002A30F8" w:rsidRPr="001E266A">
        <w:rPr>
          <w:rFonts w:cs="Arial"/>
        </w:rPr>
        <w:t>as the Internet  evolved, the WHOIS bec</w:t>
      </w:r>
      <w:r w:rsidR="009377FB" w:rsidRPr="001E266A">
        <w:rPr>
          <w:rFonts w:cs="Arial"/>
        </w:rPr>
        <w:t>a</w:t>
      </w:r>
      <w:r w:rsidR="002A30F8" w:rsidRPr="001E266A">
        <w:rPr>
          <w:rFonts w:cs="Arial"/>
        </w:rPr>
        <w:t xml:space="preserve">me a tool relied upon by various stakeholders </w:t>
      </w:r>
      <w:r w:rsidR="009377FB" w:rsidRPr="001E266A">
        <w:rPr>
          <w:rFonts w:cs="Arial"/>
        </w:rPr>
        <w:t>for a number of legitimate activities, including</w:t>
      </w:r>
      <w:r w:rsidR="00FD02F9" w:rsidRPr="001E266A">
        <w:rPr>
          <w:rFonts w:cs="Arial"/>
        </w:rPr>
        <w:t xml:space="preserve"> </w:t>
      </w:r>
      <w:r w:rsidR="00FD02F9" w:rsidRPr="001E266A">
        <w:rPr>
          <w:rFonts w:cs="Arial"/>
          <w:i/>
        </w:rPr>
        <w:t>inter alia</w:t>
      </w:r>
      <w:r w:rsidR="00FD02F9" w:rsidRPr="001E266A">
        <w:rPr>
          <w:rFonts w:cs="Arial"/>
        </w:rPr>
        <w:t xml:space="preserve">, </w:t>
      </w:r>
      <w:r w:rsidR="009377FB" w:rsidRPr="001E266A">
        <w:rPr>
          <w:rFonts w:cs="Arial"/>
        </w:rPr>
        <w:t>1) supporting the security and stability of the Internet; 2) assisting law enforcement authorities in their national and international</w:t>
      </w:r>
      <w:r w:rsidR="00FD02F9" w:rsidRPr="001E266A">
        <w:rPr>
          <w:rFonts w:cs="Arial"/>
        </w:rPr>
        <w:t xml:space="preserve"> investigations; 3) assisting businesses, organizations and users in combatting fraud</w:t>
      </w:r>
      <w:r w:rsidR="003B027C" w:rsidRPr="001E266A">
        <w:rPr>
          <w:rFonts w:cs="Arial"/>
        </w:rPr>
        <w:t xml:space="preserve"> and 4) contributing to user confidence in the Internet.</w:t>
      </w:r>
      <w:r w:rsidR="009C6FCA" w:rsidRPr="001E266A">
        <w:rPr>
          <w:rStyle w:val="FootnoteReference"/>
          <w:rFonts w:cs="Arial"/>
        </w:rPr>
        <w:footnoteReference w:id="1"/>
      </w:r>
      <w:r w:rsidR="00FD02F9" w:rsidRPr="001E266A">
        <w:rPr>
          <w:rFonts w:cs="Arial"/>
        </w:rPr>
        <w:t xml:space="preserve"> </w:t>
      </w:r>
      <w:r w:rsidR="00186247" w:rsidRPr="001E266A">
        <w:rPr>
          <w:rFonts w:cs="Arial"/>
        </w:rPr>
        <w:t xml:space="preserve">The GAC also highlighted the importance of “sufficient and accurate data” about domain name registrations and registrants, subject to privacy safeguards. </w:t>
      </w:r>
      <w:r w:rsidR="000F295F" w:rsidRPr="001E266A">
        <w:rPr>
          <w:rFonts w:cs="Arial"/>
        </w:rPr>
        <w:t>T</w:t>
      </w:r>
      <w:r w:rsidR="00FD02F9" w:rsidRPr="001E266A">
        <w:rPr>
          <w:rFonts w:cs="Arial"/>
        </w:rPr>
        <w:t xml:space="preserve">he GAC also recognized the legitimate concerns about misuse of WHOIS data and conflicts with applicable privacy and data protection laws. Hence the GAC </w:t>
      </w:r>
      <w:r w:rsidR="003B027C" w:rsidRPr="001E266A">
        <w:rPr>
          <w:rFonts w:cs="Arial"/>
        </w:rPr>
        <w:t xml:space="preserve">concluded that operation of gTLD WHOIS services should </w:t>
      </w:r>
      <w:r w:rsidR="005E7B4B" w:rsidRPr="001E266A">
        <w:rPr>
          <w:rFonts w:cs="Arial"/>
        </w:rPr>
        <w:t xml:space="preserve">take into </w:t>
      </w:r>
      <w:r w:rsidR="000F295F" w:rsidRPr="001E266A">
        <w:rPr>
          <w:rFonts w:cs="Arial"/>
        </w:rPr>
        <w:t xml:space="preserve">account </w:t>
      </w:r>
      <w:r w:rsidR="00186247" w:rsidRPr="001E266A">
        <w:rPr>
          <w:rFonts w:cs="Arial"/>
        </w:rPr>
        <w:t xml:space="preserve">and </w:t>
      </w:r>
      <w:r w:rsidR="005F7B1C" w:rsidRPr="001E266A">
        <w:rPr>
          <w:rFonts w:cs="Arial"/>
        </w:rPr>
        <w:t>respect these different interests</w:t>
      </w:r>
      <w:r w:rsidR="003B027C" w:rsidRPr="001E266A">
        <w:rPr>
          <w:rFonts w:cs="Arial"/>
        </w:rPr>
        <w:t xml:space="preserve">. </w:t>
      </w:r>
      <w:r w:rsidR="00D40818" w:rsidRPr="001E266A">
        <w:rPr>
          <w:rFonts w:cs="Arial"/>
        </w:rPr>
        <w:t xml:space="preserve">The 2007 GAC Principles therefore urge not only compliance with applicable laws but also WHOIS services that support “the stability, reliability, security, and global interoperability of the Internet from both a technical and public trust perspective.” </w:t>
      </w:r>
      <w:r w:rsidR="00186247" w:rsidRPr="001E266A">
        <w:rPr>
          <w:rFonts w:cs="Arial"/>
        </w:rPr>
        <w:t xml:space="preserve"> The current draft Final Report lacks this</w:t>
      </w:r>
      <w:r w:rsidR="005E7B4B" w:rsidRPr="001E266A">
        <w:rPr>
          <w:rFonts w:cs="Arial"/>
        </w:rPr>
        <w:t xml:space="preserve"> recognition </w:t>
      </w:r>
      <w:r w:rsidR="00186247" w:rsidRPr="001E266A">
        <w:rPr>
          <w:rFonts w:cs="Arial"/>
        </w:rPr>
        <w:t xml:space="preserve">and hence risks creating a new </w:t>
      </w:r>
      <w:r w:rsidR="003279AC" w:rsidRPr="001E266A">
        <w:rPr>
          <w:rFonts w:cs="Arial"/>
        </w:rPr>
        <w:t>registration directory service that does not collect</w:t>
      </w:r>
      <w:r w:rsidR="005E7B4B" w:rsidRPr="001E266A">
        <w:rPr>
          <w:rFonts w:cs="Arial"/>
        </w:rPr>
        <w:t xml:space="preserve">, publish, </w:t>
      </w:r>
      <w:r w:rsidR="000F295F" w:rsidRPr="001E266A">
        <w:rPr>
          <w:rFonts w:cs="Arial"/>
        </w:rPr>
        <w:t xml:space="preserve">nor </w:t>
      </w:r>
      <w:r w:rsidR="005E7B4B" w:rsidRPr="001E266A">
        <w:rPr>
          <w:rFonts w:cs="Arial"/>
        </w:rPr>
        <w:t xml:space="preserve">allow for lawful disclosure of </w:t>
      </w:r>
      <w:r w:rsidR="003E0549" w:rsidRPr="001E266A">
        <w:rPr>
          <w:rFonts w:cs="Arial"/>
        </w:rPr>
        <w:t xml:space="preserve">sufficient </w:t>
      </w:r>
      <w:r w:rsidR="003279AC" w:rsidRPr="001E266A">
        <w:rPr>
          <w:rFonts w:cs="Arial"/>
        </w:rPr>
        <w:t xml:space="preserve">information </w:t>
      </w:r>
      <w:r w:rsidR="003E0549" w:rsidRPr="001E266A">
        <w:rPr>
          <w:rFonts w:cs="Arial"/>
        </w:rPr>
        <w:t xml:space="preserve">and provide adequate procedures </w:t>
      </w:r>
      <w:r w:rsidR="003279AC" w:rsidRPr="001E266A">
        <w:rPr>
          <w:rFonts w:cs="Arial"/>
        </w:rPr>
        <w:t xml:space="preserve">necessary for </w:t>
      </w:r>
      <w:r w:rsidR="003E0549" w:rsidRPr="001E266A">
        <w:rPr>
          <w:rFonts w:cs="Arial"/>
        </w:rPr>
        <w:t xml:space="preserve">promoting 1) </w:t>
      </w:r>
      <w:r w:rsidR="003279AC" w:rsidRPr="001E266A">
        <w:rPr>
          <w:rFonts w:cs="Arial"/>
        </w:rPr>
        <w:t xml:space="preserve">the security and stability of the DNS, </w:t>
      </w:r>
      <w:r w:rsidR="003E0549" w:rsidRPr="001E266A">
        <w:rPr>
          <w:rFonts w:cs="Arial"/>
        </w:rPr>
        <w:t xml:space="preserve">2) </w:t>
      </w:r>
      <w:r w:rsidR="00F20B09" w:rsidRPr="001E266A">
        <w:rPr>
          <w:rFonts w:cs="Arial"/>
        </w:rPr>
        <w:t xml:space="preserve">user confidence in the Internet, and 3) </w:t>
      </w:r>
      <w:r w:rsidR="003E0549" w:rsidRPr="001E266A">
        <w:rPr>
          <w:rFonts w:cs="Arial"/>
        </w:rPr>
        <w:t>quick and efficient mitigation of</w:t>
      </w:r>
      <w:r w:rsidR="003279AC" w:rsidRPr="001E266A">
        <w:rPr>
          <w:rFonts w:cs="Arial"/>
        </w:rPr>
        <w:t xml:space="preserve"> malicious c</w:t>
      </w:r>
      <w:r w:rsidR="00F20B09" w:rsidRPr="001E266A">
        <w:rPr>
          <w:rFonts w:cs="Arial"/>
        </w:rPr>
        <w:t>onduct</w:t>
      </w:r>
      <w:r w:rsidR="003279AC" w:rsidRPr="001E266A">
        <w:rPr>
          <w:rFonts w:cs="Arial"/>
        </w:rPr>
        <w:t xml:space="preserve">. </w:t>
      </w:r>
      <w:r w:rsidR="000F295F" w:rsidRPr="001E266A">
        <w:rPr>
          <w:rFonts w:cs="Arial"/>
        </w:rPr>
        <w:t xml:space="preserve">The GAC </w:t>
      </w:r>
      <w:r w:rsidR="003279AC" w:rsidRPr="001E266A">
        <w:rPr>
          <w:rFonts w:cs="Arial"/>
        </w:rPr>
        <w:t>concerns regarding specific recommendations</w:t>
      </w:r>
      <w:r w:rsidR="00517C09" w:rsidRPr="001E266A">
        <w:rPr>
          <w:rFonts w:cs="Arial"/>
        </w:rPr>
        <w:t xml:space="preserve">, the importance of starting and concluding Phase 2 discussions as soon as possible, </w:t>
      </w:r>
      <w:r w:rsidR="003E46BB" w:rsidRPr="001E266A">
        <w:rPr>
          <w:rFonts w:cs="Arial"/>
        </w:rPr>
        <w:t xml:space="preserve">and suggestions to improve procedures for the next phase of the EPDP </w:t>
      </w:r>
      <w:r w:rsidR="003279AC" w:rsidRPr="001E266A">
        <w:rPr>
          <w:rFonts w:cs="Arial"/>
        </w:rPr>
        <w:t xml:space="preserve">are set forth below.  </w:t>
      </w:r>
    </w:p>
    <w:p w14:paraId="764A749A" w14:textId="5269BD9B" w:rsidR="00FD02F9" w:rsidRPr="001E266A" w:rsidRDefault="003279AC">
      <w:pPr>
        <w:rPr>
          <w:rFonts w:cs="Arial"/>
        </w:rPr>
      </w:pPr>
      <w:r w:rsidRPr="001E266A">
        <w:rPr>
          <w:rFonts w:cs="Arial"/>
        </w:rPr>
        <w:t xml:space="preserve">  </w:t>
      </w:r>
    </w:p>
    <w:p w14:paraId="66998801" w14:textId="77777777" w:rsidR="001E266A" w:rsidRDefault="001E266A" w:rsidP="001E266A">
      <w:pPr>
        <w:rPr>
          <w:rFonts w:cs="Arial"/>
        </w:rPr>
        <w:sectPr w:rsidR="001E266A" w:rsidSect="009A56E5">
          <w:headerReference w:type="default" r:id="rId8"/>
          <w:footerReference w:type="default" r:id="rId9"/>
          <w:pgSz w:w="11906" w:h="16838"/>
          <w:pgMar w:top="720" w:right="1134" w:bottom="720" w:left="1134" w:header="0" w:footer="720" w:gutter="0"/>
          <w:pgNumType w:start="1"/>
          <w:cols w:space="720"/>
          <w:docGrid w:linePitch="299"/>
        </w:sectPr>
      </w:pPr>
    </w:p>
    <w:p w14:paraId="7ADA080B" w14:textId="77777777" w:rsidR="0045207F" w:rsidRPr="001E266A" w:rsidRDefault="0045207F" w:rsidP="0045207F">
      <w:pPr>
        <w:pStyle w:val="Heading7"/>
        <w:rPr>
          <w:rFonts w:ascii="Calibri" w:hAnsi="Calibri"/>
          <w:sz w:val="22"/>
          <w:szCs w:val="22"/>
        </w:rPr>
      </w:pPr>
      <w:r w:rsidRPr="001E266A">
        <w:rPr>
          <w:rFonts w:ascii="Calibri" w:hAnsi="Calibri"/>
          <w:sz w:val="22"/>
          <w:szCs w:val="22"/>
        </w:rPr>
        <w:lastRenderedPageBreak/>
        <w:t xml:space="preserve">Input on Specific Recommendations </w:t>
      </w:r>
    </w:p>
    <w:p w14:paraId="52458A04" w14:textId="77777777" w:rsidR="0045207F" w:rsidRPr="001E266A" w:rsidRDefault="0045207F">
      <w:pPr>
        <w:rPr>
          <w:rFonts w:cs="Arial"/>
        </w:rPr>
      </w:pPr>
    </w:p>
    <w:p w14:paraId="0349C95D" w14:textId="3AB09B3B" w:rsidR="00635555" w:rsidRPr="001E266A" w:rsidRDefault="001231DB">
      <w:pPr>
        <w:rPr>
          <w:rFonts w:cs="Arial"/>
        </w:rPr>
      </w:pPr>
      <w:r w:rsidRPr="001E266A">
        <w:rPr>
          <w:rFonts w:cs="Arial"/>
          <w:b/>
        </w:rPr>
        <w:t xml:space="preserve">Recommendation </w:t>
      </w:r>
      <w:r w:rsidR="0045207F" w:rsidRPr="001E266A">
        <w:rPr>
          <w:rFonts w:cs="Arial"/>
          <w:b/>
        </w:rPr>
        <w:t>1, paragraph 2</w:t>
      </w:r>
      <w:r w:rsidR="00FC320A" w:rsidRPr="001E266A">
        <w:rPr>
          <w:rFonts w:cs="Arial"/>
        </w:rPr>
        <w:t xml:space="preserve"> in the EPDP Initial Report, which states:</w:t>
      </w:r>
    </w:p>
    <w:p w14:paraId="40BE971A" w14:textId="77777777" w:rsidR="00635555" w:rsidRPr="001E266A" w:rsidRDefault="00635555">
      <w:pPr>
        <w:rPr>
          <w:rFonts w:cs="Arial"/>
        </w:rPr>
      </w:pPr>
    </w:p>
    <w:p w14:paraId="507358CB" w14:textId="08DAB46B" w:rsidR="00635555" w:rsidRPr="001E266A" w:rsidRDefault="0045207F" w:rsidP="00645930">
      <w:pPr>
        <w:ind w:left="720"/>
        <w:rPr>
          <w:rFonts w:cs="Arial"/>
        </w:rPr>
      </w:pPr>
      <w:r w:rsidRPr="001E266A">
        <w:rPr>
          <w:rFonts w:cs="Arial"/>
          <w:i/>
        </w:rPr>
        <w:t>2. Contributing to the maintenance of the security, stability, and resiliency of the Domain Name System in accordance with ICANN’s mission through enabling responses to lawful data disclosure requests.</w:t>
      </w:r>
    </w:p>
    <w:p w14:paraId="74223BDC" w14:textId="77777777" w:rsidR="00635555" w:rsidRPr="001E266A" w:rsidRDefault="00635555">
      <w:pPr>
        <w:rPr>
          <w:rFonts w:cs="Arial"/>
        </w:rPr>
      </w:pPr>
    </w:p>
    <w:p w14:paraId="605F5823" w14:textId="45EA4E5E" w:rsidR="00635555" w:rsidRPr="001E266A" w:rsidRDefault="00FC320A">
      <w:pPr>
        <w:rPr>
          <w:rFonts w:cs="Arial"/>
        </w:rPr>
      </w:pPr>
      <w:r w:rsidRPr="001E266A">
        <w:rPr>
          <w:rFonts w:cs="Arial"/>
        </w:rPr>
        <w:t xml:space="preserve">The GAC </w:t>
      </w:r>
      <w:r w:rsidR="00645930" w:rsidRPr="001E266A">
        <w:rPr>
          <w:rFonts w:cs="Arial"/>
        </w:rPr>
        <w:t xml:space="preserve">believes that this purpose would be strengthened by referencing ICANN’s </w:t>
      </w:r>
      <w:r w:rsidR="00645930" w:rsidRPr="001E266A">
        <w:rPr>
          <w:rFonts w:cs="Arial"/>
          <w:i/>
        </w:rPr>
        <w:t>Commitments</w:t>
      </w:r>
      <w:r w:rsidR="00645930" w:rsidRPr="001E266A">
        <w:rPr>
          <w:rFonts w:cs="Arial"/>
        </w:rPr>
        <w:t xml:space="preserve"> and </w:t>
      </w:r>
      <w:r w:rsidR="00645930" w:rsidRPr="001E266A">
        <w:rPr>
          <w:rFonts w:cs="Arial"/>
          <w:i/>
        </w:rPr>
        <w:t>Core Values</w:t>
      </w:r>
      <w:r w:rsidR="00645930" w:rsidRPr="001E266A">
        <w:rPr>
          <w:rFonts w:cs="Arial"/>
        </w:rPr>
        <w:t xml:space="preserve"> which are also integral to ICANN’s Bylaws.</w:t>
      </w:r>
      <w:r w:rsidR="00AD362B" w:rsidRPr="001E266A">
        <w:rPr>
          <w:rFonts w:cs="Arial"/>
        </w:rPr>
        <w:t xml:space="preserve"> </w:t>
      </w:r>
      <w:r w:rsidR="00645930" w:rsidRPr="001E266A">
        <w:rPr>
          <w:rFonts w:cs="Arial"/>
        </w:rPr>
        <w:t xml:space="preserve">  </w:t>
      </w:r>
    </w:p>
    <w:p w14:paraId="44C5223D" w14:textId="77777777" w:rsidR="00635555" w:rsidRPr="001E266A" w:rsidRDefault="00635555">
      <w:pPr>
        <w:rPr>
          <w:rFonts w:cs="Arial"/>
        </w:rPr>
      </w:pPr>
    </w:p>
    <w:p w14:paraId="15047538" w14:textId="6D2ED916" w:rsidR="00635555" w:rsidRPr="001E266A" w:rsidRDefault="0095697C" w:rsidP="001231DB">
      <w:pPr>
        <w:pStyle w:val="Heading2"/>
        <w:ind w:left="0" w:firstLine="0"/>
        <w:rPr>
          <w:rFonts w:cs="Arial"/>
          <w:b w:val="0"/>
        </w:rPr>
      </w:pPr>
      <w:bookmarkStart w:id="6" w:name="_g9dskh90am0x" w:colFirst="0" w:colLast="0"/>
      <w:bookmarkEnd w:id="6"/>
      <w:r w:rsidRPr="001E266A">
        <w:rPr>
          <w:rFonts w:cs="Arial"/>
        </w:rPr>
        <w:t xml:space="preserve">Recommendation 2 </w:t>
      </w:r>
      <w:r w:rsidRPr="001E266A">
        <w:rPr>
          <w:rFonts w:cs="Arial"/>
          <w:b w:val="0"/>
        </w:rPr>
        <w:t xml:space="preserve">which states </w:t>
      </w:r>
      <w:r w:rsidRPr="001E266A">
        <w:rPr>
          <w:rFonts w:cs="Arial"/>
        </w:rPr>
        <w:t>[confirm final text]</w:t>
      </w:r>
      <w:r w:rsidRPr="001E266A">
        <w:rPr>
          <w:rFonts w:cs="Arial"/>
          <w:b w:val="0"/>
        </w:rPr>
        <w:t>:</w:t>
      </w:r>
    </w:p>
    <w:p w14:paraId="367B78F3" w14:textId="5580228F" w:rsidR="0095697C" w:rsidRPr="001E266A" w:rsidRDefault="0095697C" w:rsidP="0095697C"/>
    <w:p w14:paraId="2FBAB412" w14:textId="312DA786" w:rsidR="0095697C" w:rsidRPr="001E266A" w:rsidRDefault="0095697C" w:rsidP="0095697C">
      <w:pPr>
        <w:pStyle w:val="BodyTextIndent"/>
        <w:rPr>
          <w:rFonts w:ascii="Calibri" w:hAnsi="Calibri"/>
          <w:sz w:val="22"/>
          <w:szCs w:val="22"/>
        </w:rPr>
      </w:pPr>
      <w:r w:rsidRPr="001E266A">
        <w:rPr>
          <w:rFonts w:ascii="Calibri" w:hAnsi="Calibri"/>
          <w:sz w:val="22"/>
          <w:szCs w:val="22"/>
        </w:rPr>
        <w:t>The EPDP Team commits to considering in Phase 2 of its work whether additional purposes should be considered to facilitate ICANN’s Office of the Chief Technology Officer (OCTO) to carry out its mission (see https://www.icann.org/octo). This consideration should be informed by legal guidance on if/how provisions in the GDPR concerning research apply to ICANN Org and the expression for the need of such pseudonymized data by ICANN</w:t>
      </w:r>
    </w:p>
    <w:p w14:paraId="6711A674" w14:textId="77777777" w:rsidR="00635555" w:rsidRPr="001E266A" w:rsidRDefault="00635555">
      <w:pPr>
        <w:rPr>
          <w:rFonts w:cs="Arial"/>
          <w:b/>
        </w:rPr>
      </w:pPr>
    </w:p>
    <w:p w14:paraId="633C01BD" w14:textId="27D69067" w:rsidR="00635555" w:rsidRPr="001E266A" w:rsidRDefault="00FC320A">
      <w:pPr>
        <w:rPr>
          <w:rFonts w:cs="Arial"/>
        </w:rPr>
      </w:pPr>
      <w:r w:rsidRPr="001E266A">
        <w:rPr>
          <w:rFonts w:cs="Arial"/>
        </w:rPr>
        <w:t xml:space="preserve">The GAC supports the intent of </w:t>
      </w:r>
      <w:r w:rsidR="0095697C" w:rsidRPr="001E266A">
        <w:rPr>
          <w:rFonts w:cs="Arial"/>
        </w:rPr>
        <w:t>this Recommendation</w:t>
      </w:r>
      <w:r w:rsidR="00A641B6" w:rsidRPr="001E266A">
        <w:rPr>
          <w:rFonts w:cs="Arial"/>
        </w:rPr>
        <w:t xml:space="preserve"> </w:t>
      </w:r>
      <w:r w:rsidR="0095697C" w:rsidRPr="001E266A">
        <w:rPr>
          <w:rFonts w:cs="Arial"/>
        </w:rPr>
        <w:t xml:space="preserve">and urges </w:t>
      </w:r>
      <w:r w:rsidR="00CF7FFC" w:rsidRPr="001E266A">
        <w:rPr>
          <w:rFonts w:cs="Arial"/>
        </w:rPr>
        <w:t xml:space="preserve">its </w:t>
      </w:r>
      <w:r w:rsidR="0095697C" w:rsidRPr="001E266A">
        <w:rPr>
          <w:rFonts w:cs="Arial"/>
        </w:rPr>
        <w:t>continued consideration</w:t>
      </w:r>
      <w:r w:rsidR="00CF7FFC" w:rsidRPr="001E266A">
        <w:rPr>
          <w:rFonts w:cs="Arial"/>
        </w:rPr>
        <w:t xml:space="preserve"> in Phase 2.</w:t>
      </w:r>
      <w:r w:rsidR="0095697C" w:rsidRPr="001E266A">
        <w:rPr>
          <w:rFonts w:cs="Arial"/>
        </w:rPr>
        <w:t xml:space="preserve"> </w:t>
      </w:r>
      <w:r w:rsidR="000F295F" w:rsidRPr="001E266A">
        <w:rPr>
          <w:rFonts w:cs="Arial"/>
        </w:rPr>
        <w:t>The GAC</w:t>
      </w:r>
      <w:r w:rsidR="00CF7FFC" w:rsidRPr="001E266A">
        <w:rPr>
          <w:rFonts w:cs="Arial"/>
        </w:rPr>
        <w:t xml:space="preserve"> believe</w:t>
      </w:r>
      <w:r w:rsidR="000F295F" w:rsidRPr="001E266A">
        <w:rPr>
          <w:rFonts w:cs="Arial"/>
        </w:rPr>
        <w:t>s</w:t>
      </w:r>
      <w:r w:rsidR="00CF7FFC" w:rsidRPr="001E266A">
        <w:rPr>
          <w:rFonts w:cs="Arial"/>
        </w:rPr>
        <w:t xml:space="preserve"> that the final version of this purpose </w:t>
      </w:r>
      <w:r w:rsidRPr="001E266A">
        <w:rPr>
          <w:rFonts w:cs="Arial"/>
        </w:rPr>
        <w:t xml:space="preserve">should </w:t>
      </w:r>
      <w:r w:rsidR="00CF7FFC" w:rsidRPr="001E266A">
        <w:rPr>
          <w:rFonts w:cs="Arial"/>
        </w:rPr>
        <w:t xml:space="preserve">include </w:t>
      </w:r>
      <w:r w:rsidRPr="001E266A">
        <w:rPr>
          <w:rFonts w:cs="Arial"/>
        </w:rPr>
        <w:t>ICANN</w:t>
      </w:r>
      <w:r w:rsidR="00CF7FFC" w:rsidRPr="001E266A">
        <w:rPr>
          <w:rFonts w:cs="Arial"/>
        </w:rPr>
        <w:t>’s purpose</w:t>
      </w:r>
      <w:r w:rsidRPr="001E266A">
        <w:rPr>
          <w:rFonts w:cs="Arial"/>
        </w:rPr>
        <w:t xml:space="preserve"> to process information associated with its registration data Accuracy Reporting System. </w:t>
      </w:r>
    </w:p>
    <w:p w14:paraId="539B363A" w14:textId="26FA2A5E" w:rsidR="00AA4F5D" w:rsidRPr="001E266A" w:rsidRDefault="00AA4F5D">
      <w:pPr>
        <w:rPr>
          <w:rFonts w:cs="Arial"/>
        </w:rPr>
      </w:pPr>
    </w:p>
    <w:p w14:paraId="66382B9E" w14:textId="0950D20A" w:rsidR="00AA4F5D" w:rsidRPr="001E266A" w:rsidRDefault="00AA4F5D">
      <w:pPr>
        <w:rPr>
          <w:rFonts w:cs="Arial"/>
        </w:rPr>
      </w:pPr>
      <w:r w:rsidRPr="001E266A">
        <w:rPr>
          <w:rFonts w:cs="Arial"/>
          <w:b/>
        </w:rPr>
        <w:t xml:space="preserve">Recommendation 4 </w:t>
      </w:r>
      <w:r w:rsidRPr="001E266A">
        <w:rPr>
          <w:rFonts w:cs="Arial"/>
        </w:rPr>
        <w:t>which states:</w:t>
      </w:r>
    </w:p>
    <w:p w14:paraId="7C967BD5" w14:textId="44C4DC44" w:rsidR="00AA4F5D" w:rsidRPr="001E266A" w:rsidRDefault="00AA4F5D">
      <w:pPr>
        <w:rPr>
          <w:rFonts w:cs="Arial"/>
        </w:rPr>
      </w:pPr>
    </w:p>
    <w:p w14:paraId="76887CCC" w14:textId="6C840F68" w:rsidR="00AA4F5D" w:rsidRPr="001E266A" w:rsidRDefault="0054576D" w:rsidP="006C574D">
      <w:pPr>
        <w:pStyle w:val="BodyTextIndent"/>
        <w:rPr>
          <w:rFonts w:ascii="Calibri" w:hAnsi="Calibri"/>
          <w:sz w:val="22"/>
          <w:szCs w:val="22"/>
        </w:rPr>
      </w:pPr>
      <w:r w:rsidRPr="001E266A">
        <w:rPr>
          <w:rFonts w:ascii="Calibri" w:hAnsi="Calibri"/>
          <w:sz w:val="22"/>
          <w:szCs w:val="22"/>
        </w:rPr>
        <w:t>The EPDP Team recommends that requirements related to the accuracy of registration data under the current ICANN contracts and consensus policies shall not be affected by this policy.</w:t>
      </w:r>
    </w:p>
    <w:p w14:paraId="2AE8B33E" w14:textId="77777777" w:rsidR="00AA4F5D" w:rsidRPr="001E266A" w:rsidRDefault="00AA4F5D">
      <w:pPr>
        <w:rPr>
          <w:rFonts w:cs="Arial"/>
        </w:rPr>
      </w:pPr>
    </w:p>
    <w:p w14:paraId="405C18C1" w14:textId="27CFBC9F" w:rsidR="00AA4F5D" w:rsidRPr="001E266A" w:rsidRDefault="00AA4F5D" w:rsidP="00AA4F5D">
      <w:pPr>
        <w:rPr>
          <w:rFonts w:cs="Arial"/>
        </w:rPr>
      </w:pPr>
      <w:r w:rsidRPr="001E266A">
        <w:rPr>
          <w:rFonts w:cs="Arial"/>
        </w:rPr>
        <w:t xml:space="preserve">Consistent with Article 5.1.d of the GDPR, every reasonable step must be taken to ensure the accuracy of personal data, in this case, including data provided by registrants. Article 5 of the GDPR also extends beyond the right of a data subject, “having regard to the purposes for which [the data] are processed”. </w:t>
      </w:r>
      <w:r w:rsidR="0054576D" w:rsidRPr="001E266A">
        <w:rPr>
          <w:rFonts w:cs="Arial"/>
        </w:rPr>
        <w:t xml:space="preserve"> Current ICANN contracts (in particular in the 2013 </w:t>
      </w:r>
      <w:hyperlink r:id="rId10" w:anchor="whois">
        <w:r w:rsidR="0054576D" w:rsidRPr="001E266A">
          <w:rPr>
            <w:rFonts w:cs="Arial"/>
            <w:color w:val="1155CC"/>
            <w:u w:val="single"/>
          </w:rPr>
          <w:t>Registrar Accreditation Agreement</w:t>
        </w:r>
      </w:hyperlink>
      <w:r w:rsidR="0054576D" w:rsidRPr="001E266A">
        <w:rPr>
          <w:rFonts w:cs="Arial"/>
        </w:rPr>
        <w:t xml:space="preserve">, Sections 3.2.2, 3.7.7.2 and 3.7.8) are consistent with this aspect of the GDPR and obligate registrars to take steps to respond to and correct reports of inaccurate WHOIS data.   </w:t>
      </w:r>
    </w:p>
    <w:p w14:paraId="282E8226" w14:textId="77777777" w:rsidR="00AA4F5D" w:rsidRPr="001E266A" w:rsidRDefault="00AA4F5D" w:rsidP="00AA4F5D">
      <w:pPr>
        <w:rPr>
          <w:rFonts w:cs="Arial"/>
        </w:rPr>
      </w:pPr>
    </w:p>
    <w:p w14:paraId="1B43C413" w14:textId="051F1319" w:rsidR="00AA4F5D" w:rsidRPr="001E266A" w:rsidRDefault="00AA4F5D" w:rsidP="00AA4F5D">
      <w:pPr>
        <w:rPr>
          <w:rFonts w:cs="Arial"/>
        </w:rPr>
      </w:pPr>
      <w:r w:rsidRPr="001E266A">
        <w:rPr>
          <w:rFonts w:cs="Arial"/>
        </w:rPr>
        <w:t xml:space="preserve">Therefore, the GAC believes that Recommendation </w:t>
      </w:r>
      <w:r w:rsidR="0054576D" w:rsidRPr="001E266A">
        <w:rPr>
          <w:rFonts w:cs="Arial"/>
        </w:rPr>
        <w:t>4</w:t>
      </w:r>
      <w:r w:rsidRPr="001E266A">
        <w:rPr>
          <w:rFonts w:cs="Arial"/>
        </w:rPr>
        <w:t xml:space="preserve"> should more explicitly recognize the importance of ensuring information accuracy consistent with GDPR article 5.1(d).  This recognition would underscore the data subjects (registrants) rights to the accuracy of their data while also addressing concerns of those who rely on WHOIS information for legitimate purposes (such as maintaining the security and stability of the DNS).  </w:t>
      </w:r>
    </w:p>
    <w:p w14:paraId="73F45E78" w14:textId="77777777" w:rsidR="001E266A" w:rsidRPr="001E266A" w:rsidRDefault="001E266A" w:rsidP="00CF7FFC">
      <w:pPr>
        <w:pStyle w:val="BodyText"/>
        <w:rPr>
          <w:rFonts w:ascii="Calibri" w:hAnsi="Calibri"/>
          <w:sz w:val="22"/>
          <w:szCs w:val="22"/>
        </w:rPr>
      </w:pPr>
    </w:p>
    <w:p w14:paraId="0AEBF46C" w14:textId="5A185EA9" w:rsidR="00CF7FFC" w:rsidRPr="001E266A" w:rsidRDefault="00CF7FFC" w:rsidP="00CF7FFC">
      <w:pPr>
        <w:pStyle w:val="BodyText"/>
        <w:rPr>
          <w:rFonts w:ascii="Calibri" w:hAnsi="Calibri"/>
          <w:sz w:val="22"/>
          <w:szCs w:val="22"/>
        </w:rPr>
      </w:pPr>
      <w:r w:rsidRPr="001E266A">
        <w:rPr>
          <w:rFonts w:ascii="Calibri" w:hAnsi="Calibri"/>
          <w:sz w:val="22"/>
          <w:szCs w:val="22"/>
        </w:rPr>
        <w:t>Recommendation</w:t>
      </w:r>
      <w:r w:rsidR="002A132A" w:rsidRPr="001E266A">
        <w:rPr>
          <w:rFonts w:ascii="Calibri" w:hAnsi="Calibri"/>
          <w:sz w:val="22"/>
          <w:szCs w:val="22"/>
        </w:rPr>
        <w:t>s</w:t>
      </w:r>
      <w:r w:rsidRPr="001E266A">
        <w:rPr>
          <w:rFonts w:ascii="Calibri" w:hAnsi="Calibri"/>
          <w:sz w:val="22"/>
          <w:szCs w:val="22"/>
        </w:rPr>
        <w:t xml:space="preserve"> 5</w:t>
      </w:r>
      <w:r w:rsidR="002A132A" w:rsidRPr="001E266A">
        <w:rPr>
          <w:rFonts w:ascii="Calibri" w:hAnsi="Calibri"/>
          <w:sz w:val="22"/>
          <w:szCs w:val="22"/>
        </w:rPr>
        <w:t xml:space="preserve"> and 7</w:t>
      </w:r>
      <w:r w:rsidRPr="001E266A">
        <w:rPr>
          <w:rFonts w:ascii="Calibri" w:hAnsi="Calibri"/>
          <w:sz w:val="22"/>
          <w:szCs w:val="22"/>
        </w:rPr>
        <w:t xml:space="preserve"> (data elements required to be collected</w:t>
      </w:r>
      <w:r w:rsidR="00A557DA" w:rsidRPr="001E266A">
        <w:rPr>
          <w:rFonts w:ascii="Calibri" w:hAnsi="Calibri"/>
          <w:sz w:val="22"/>
          <w:szCs w:val="22"/>
        </w:rPr>
        <w:t>)</w:t>
      </w:r>
    </w:p>
    <w:p w14:paraId="281562C7" w14:textId="516FC3FF" w:rsidR="00CF7FFC" w:rsidRPr="001E266A" w:rsidRDefault="00CF7FFC">
      <w:pPr>
        <w:rPr>
          <w:rFonts w:cs="Arial"/>
          <w:b/>
        </w:rPr>
      </w:pPr>
    </w:p>
    <w:p w14:paraId="278FC3FF" w14:textId="4A08A317" w:rsidR="00E972D9" w:rsidRPr="001E266A" w:rsidRDefault="00CF7FFC" w:rsidP="00F309A9">
      <w:pPr>
        <w:pStyle w:val="Default"/>
        <w:spacing w:line="276" w:lineRule="auto"/>
        <w:rPr>
          <w:rFonts w:ascii="Calibri" w:hAnsi="Calibri"/>
          <w:sz w:val="22"/>
          <w:szCs w:val="22"/>
        </w:rPr>
      </w:pPr>
      <w:r w:rsidRPr="001E266A">
        <w:rPr>
          <w:rFonts w:ascii="Calibri" w:hAnsi="Calibri" w:cs="Arial"/>
          <w:sz w:val="22"/>
          <w:szCs w:val="22"/>
        </w:rPr>
        <w:t xml:space="preserve">The GAC </w:t>
      </w:r>
      <w:r w:rsidR="00A20830" w:rsidRPr="001E266A">
        <w:rPr>
          <w:rFonts w:ascii="Calibri" w:hAnsi="Calibri" w:cs="Arial"/>
          <w:sz w:val="22"/>
          <w:szCs w:val="22"/>
        </w:rPr>
        <w:t>remains concerned that the “organization” and “technical contact” fields are</w:t>
      </w:r>
      <w:r w:rsidR="00B92D92" w:rsidRPr="001E266A">
        <w:rPr>
          <w:rFonts w:ascii="Calibri" w:hAnsi="Calibri" w:cs="Arial"/>
          <w:sz w:val="22"/>
          <w:szCs w:val="22"/>
        </w:rPr>
        <w:t xml:space="preserve"> </w:t>
      </w:r>
      <w:r w:rsidR="00A20830" w:rsidRPr="001E266A">
        <w:rPr>
          <w:rFonts w:ascii="Calibri" w:hAnsi="Calibri" w:cs="Arial"/>
          <w:sz w:val="22"/>
          <w:szCs w:val="22"/>
        </w:rPr>
        <w:t xml:space="preserve"> </w:t>
      </w:r>
      <w:r w:rsidR="000F295F" w:rsidRPr="001E266A">
        <w:rPr>
          <w:rFonts w:ascii="Calibri" w:hAnsi="Calibri" w:cs="Arial"/>
          <w:sz w:val="22"/>
          <w:szCs w:val="22"/>
        </w:rPr>
        <w:t xml:space="preserve"> currently considered </w:t>
      </w:r>
      <w:r w:rsidR="00A20830" w:rsidRPr="001E266A">
        <w:rPr>
          <w:rFonts w:ascii="Calibri" w:hAnsi="Calibri" w:cs="Arial"/>
          <w:sz w:val="22"/>
          <w:szCs w:val="22"/>
        </w:rPr>
        <w:t>optional to</w:t>
      </w:r>
      <w:r w:rsidR="000F295F" w:rsidRPr="001E266A">
        <w:rPr>
          <w:rFonts w:ascii="Calibri" w:hAnsi="Calibri" w:cs="Arial"/>
          <w:sz w:val="22"/>
          <w:szCs w:val="22"/>
        </w:rPr>
        <w:t xml:space="preserve"> be</w:t>
      </w:r>
      <w:r w:rsidR="00A20830" w:rsidRPr="001E266A">
        <w:rPr>
          <w:rFonts w:ascii="Calibri" w:hAnsi="Calibri" w:cs="Arial"/>
          <w:sz w:val="22"/>
          <w:szCs w:val="22"/>
        </w:rPr>
        <w:t xml:space="preserve"> collect</w:t>
      </w:r>
      <w:r w:rsidR="000F295F" w:rsidRPr="001E266A">
        <w:rPr>
          <w:rFonts w:ascii="Calibri" w:hAnsi="Calibri" w:cs="Arial"/>
          <w:sz w:val="22"/>
          <w:szCs w:val="22"/>
        </w:rPr>
        <w:t>ed</w:t>
      </w:r>
      <w:r w:rsidR="00A20830" w:rsidRPr="001E266A">
        <w:rPr>
          <w:rFonts w:ascii="Calibri" w:hAnsi="Calibri" w:cs="Arial"/>
          <w:sz w:val="22"/>
          <w:szCs w:val="22"/>
        </w:rPr>
        <w:t>.  As to the technical contact, a primary purpose for WHOIS is to provide contact points for network operators, computer incident response teams</w:t>
      </w:r>
      <w:r w:rsidR="00E972D9" w:rsidRPr="001E266A">
        <w:rPr>
          <w:rFonts w:ascii="Calibri" w:hAnsi="Calibri" w:cs="Arial"/>
          <w:sz w:val="22"/>
          <w:szCs w:val="22"/>
        </w:rPr>
        <w:t xml:space="preserve">, and others who need to contact those responsible for a domain and its associated web sites in the event of a problem.  </w:t>
      </w:r>
      <w:r w:rsidR="00F309A9" w:rsidRPr="001E266A">
        <w:rPr>
          <w:rFonts w:ascii="Calibri" w:hAnsi="Calibri" w:cs="Arial"/>
          <w:sz w:val="22"/>
          <w:szCs w:val="22"/>
        </w:rPr>
        <w:t xml:space="preserve">Often a registrant has specific/distinct contacts responsible for acquiring/maintaining registration and other contacts </w:t>
      </w:r>
      <w:r w:rsidR="00F309A9" w:rsidRPr="001E266A">
        <w:rPr>
          <w:rFonts w:ascii="Calibri" w:hAnsi="Calibri" w:cs="Arial"/>
          <w:sz w:val="22"/>
          <w:szCs w:val="22"/>
        </w:rPr>
        <w:lastRenderedPageBreak/>
        <w:t xml:space="preserve">responsible for ensuring the security of the domain. Being able to reach the informed technical contact responsible for security issues directly and quickly to respond to issues such as the domain being under control of a botnet, may be a matter of urgency. </w:t>
      </w:r>
      <w:r w:rsidR="005E59D4" w:rsidRPr="001E266A">
        <w:rPr>
          <w:rFonts w:ascii="Calibri" w:hAnsi="Calibri" w:cs="Arial"/>
          <w:sz w:val="22"/>
          <w:szCs w:val="22"/>
        </w:rPr>
        <w:t>M</w:t>
      </w:r>
      <w:r w:rsidR="00E972D9" w:rsidRPr="001E266A">
        <w:rPr>
          <w:rFonts w:ascii="Calibri" w:hAnsi="Calibri" w:cs="Arial"/>
          <w:sz w:val="22"/>
          <w:szCs w:val="22"/>
        </w:rPr>
        <w:t xml:space="preserve">aking collection of this information optional </w:t>
      </w:r>
      <w:r w:rsidR="002D4F00" w:rsidRPr="001E266A">
        <w:rPr>
          <w:rFonts w:ascii="Calibri" w:hAnsi="Calibri" w:cs="Arial"/>
          <w:sz w:val="22"/>
          <w:szCs w:val="22"/>
        </w:rPr>
        <w:t xml:space="preserve">for registrars </w:t>
      </w:r>
      <w:r w:rsidR="00E972D9" w:rsidRPr="001E266A">
        <w:rPr>
          <w:rFonts w:ascii="Calibri" w:hAnsi="Calibri" w:cs="Arial"/>
          <w:sz w:val="22"/>
          <w:szCs w:val="22"/>
        </w:rPr>
        <w:t xml:space="preserve">eliminates this </w:t>
      </w:r>
      <w:r w:rsidR="005E59D4" w:rsidRPr="001E266A">
        <w:rPr>
          <w:rFonts w:ascii="Calibri" w:hAnsi="Calibri" w:cs="Arial"/>
          <w:sz w:val="22"/>
          <w:szCs w:val="22"/>
        </w:rPr>
        <w:t xml:space="preserve">important </w:t>
      </w:r>
      <w:r w:rsidR="00E972D9" w:rsidRPr="001E266A">
        <w:rPr>
          <w:rFonts w:ascii="Calibri" w:hAnsi="Calibri" w:cs="Arial"/>
          <w:sz w:val="22"/>
          <w:szCs w:val="22"/>
        </w:rPr>
        <w:t xml:space="preserve">safety net.  </w:t>
      </w:r>
      <w:r w:rsidR="003B6041" w:rsidRPr="001E266A">
        <w:rPr>
          <w:rFonts w:ascii="Calibri" w:hAnsi="Calibri" w:cs="Arial"/>
          <w:sz w:val="22"/>
          <w:szCs w:val="22"/>
        </w:rPr>
        <w:t>Moreover, the GAC does not think it is appropriate for registrars to unilaterally decide for registrants that they do not need to identify a technical contact. Registrants may see value in providing a technical contact to resolve issues with their domain in a timely and most direct manner, among other reasons. The provision (and therefore collection) of a technical contact should remain an option for the registrant</w:t>
      </w:r>
      <w:r w:rsidR="002D4F00" w:rsidRPr="001E266A">
        <w:rPr>
          <w:rFonts w:ascii="Calibri" w:hAnsi="Calibri" w:cs="Arial"/>
          <w:sz w:val="22"/>
          <w:szCs w:val="22"/>
        </w:rPr>
        <w:t>.</w:t>
      </w:r>
    </w:p>
    <w:p w14:paraId="76948E29" w14:textId="77777777" w:rsidR="00E972D9" w:rsidRPr="001E266A" w:rsidRDefault="00E972D9" w:rsidP="00F309A9">
      <w:pPr>
        <w:pStyle w:val="BodyText2"/>
        <w:rPr>
          <w:rFonts w:ascii="Calibri" w:hAnsi="Calibri"/>
          <w:sz w:val="22"/>
          <w:szCs w:val="22"/>
        </w:rPr>
      </w:pPr>
    </w:p>
    <w:p w14:paraId="4FFA4311" w14:textId="7B3B8804" w:rsidR="002A132A" w:rsidRPr="001E266A" w:rsidRDefault="00E972D9" w:rsidP="00E972D9">
      <w:pPr>
        <w:pStyle w:val="BodyText2"/>
        <w:rPr>
          <w:rFonts w:ascii="Calibri" w:hAnsi="Calibri"/>
          <w:sz w:val="22"/>
          <w:szCs w:val="22"/>
        </w:rPr>
      </w:pPr>
      <w:r w:rsidRPr="001E266A">
        <w:rPr>
          <w:rFonts w:ascii="Calibri" w:hAnsi="Calibri"/>
          <w:sz w:val="22"/>
          <w:szCs w:val="22"/>
        </w:rPr>
        <w:t xml:space="preserve">As to the “organization” field, for domains connected to entities or </w:t>
      </w:r>
      <w:r w:rsidR="002A132A" w:rsidRPr="001E266A">
        <w:rPr>
          <w:rFonts w:ascii="Calibri" w:hAnsi="Calibri"/>
          <w:sz w:val="22"/>
          <w:szCs w:val="22"/>
        </w:rPr>
        <w:t>businesses rather than natural persons, the organization field reveals the true identity of the domain name owner.</w:t>
      </w:r>
      <w:r w:rsidR="00BB0964" w:rsidRPr="001E266A">
        <w:rPr>
          <w:rFonts w:ascii="Calibri" w:hAnsi="Calibri"/>
          <w:sz w:val="22"/>
          <w:szCs w:val="22"/>
        </w:rPr>
        <w:t xml:space="preserve">  This information is vital for members of the </w:t>
      </w:r>
      <w:r w:rsidR="00093849" w:rsidRPr="001E266A">
        <w:rPr>
          <w:rFonts w:ascii="Calibri" w:hAnsi="Calibri"/>
          <w:sz w:val="22"/>
          <w:szCs w:val="22"/>
        </w:rPr>
        <w:t xml:space="preserve">public to know so they may conduct due </w:t>
      </w:r>
      <w:r w:rsidR="002D4F00" w:rsidRPr="001E266A">
        <w:rPr>
          <w:rFonts w:ascii="Calibri" w:hAnsi="Calibri"/>
          <w:sz w:val="22"/>
          <w:szCs w:val="22"/>
        </w:rPr>
        <w:t>diligence</w:t>
      </w:r>
      <w:r w:rsidR="00093849" w:rsidRPr="001E266A">
        <w:rPr>
          <w:rFonts w:ascii="Calibri" w:hAnsi="Calibri"/>
          <w:sz w:val="22"/>
          <w:szCs w:val="22"/>
        </w:rPr>
        <w:t xml:space="preserve"> as they decide what websites to trust with their communications and transactions or what entity to contact to seek resolution of complaints.  </w:t>
      </w:r>
      <w:r w:rsidR="002A132A" w:rsidRPr="001E266A">
        <w:rPr>
          <w:rFonts w:ascii="Calibri" w:hAnsi="Calibri"/>
          <w:sz w:val="22"/>
          <w:szCs w:val="22"/>
        </w:rPr>
        <w:t xml:space="preserve"> Hence, </w:t>
      </w:r>
      <w:r w:rsidR="000F295F" w:rsidRPr="001E266A">
        <w:rPr>
          <w:rFonts w:ascii="Calibri" w:hAnsi="Calibri"/>
          <w:sz w:val="22"/>
          <w:szCs w:val="22"/>
        </w:rPr>
        <w:t xml:space="preserve">The GAC is of the strong view that </w:t>
      </w:r>
      <w:r w:rsidR="002D4F00" w:rsidRPr="001E266A">
        <w:rPr>
          <w:rFonts w:ascii="Calibri" w:hAnsi="Calibri"/>
          <w:sz w:val="22"/>
          <w:szCs w:val="22"/>
        </w:rPr>
        <w:t xml:space="preserve">the organizational field </w:t>
      </w:r>
      <w:r w:rsidR="000F295F" w:rsidRPr="001E266A">
        <w:rPr>
          <w:rFonts w:ascii="Calibri" w:hAnsi="Calibri"/>
          <w:sz w:val="22"/>
          <w:szCs w:val="22"/>
        </w:rPr>
        <w:t xml:space="preserve">should be </w:t>
      </w:r>
      <w:r w:rsidR="002D4F00" w:rsidRPr="001E266A">
        <w:rPr>
          <w:rFonts w:ascii="Calibri" w:hAnsi="Calibri"/>
          <w:sz w:val="22"/>
          <w:szCs w:val="22"/>
        </w:rPr>
        <w:t>required when applicable to the registrant</w:t>
      </w:r>
      <w:r w:rsidR="00B92D92" w:rsidRPr="001E266A">
        <w:rPr>
          <w:rFonts w:ascii="Calibri" w:hAnsi="Calibri"/>
          <w:sz w:val="22"/>
          <w:szCs w:val="22"/>
        </w:rPr>
        <w:t xml:space="preserve"> (see </w:t>
      </w:r>
      <w:r w:rsidR="00093849" w:rsidRPr="001E266A">
        <w:rPr>
          <w:rFonts w:ascii="Calibri" w:hAnsi="Calibri"/>
          <w:sz w:val="22"/>
          <w:szCs w:val="22"/>
        </w:rPr>
        <w:t xml:space="preserve">also </w:t>
      </w:r>
      <w:r w:rsidR="00B92D92" w:rsidRPr="001E266A">
        <w:rPr>
          <w:rFonts w:ascii="Calibri" w:hAnsi="Calibri"/>
          <w:sz w:val="22"/>
          <w:szCs w:val="22"/>
        </w:rPr>
        <w:t xml:space="preserve">our rationale below). </w:t>
      </w:r>
      <w:r w:rsidR="000F295F" w:rsidRPr="001E266A">
        <w:rPr>
          <w:rFonts w:ascii="Calibri" w:hAnsi="Calibri"/>
          <w:sz w:val="22"/>
          <w:szCs w:val="22"/>
        </w:rPr>
        <w:t xml:space="preserve"> </w:t>
      </w:r>
    </w:p>
    <w:p w14:paraId="1C0EE31A" w14:textId="77777777" w:rsidR="002A132A" w:rsidRPr="001E266A" w:rsidRDefault="002A132A" w:rsidP="00E972D9">
      <w:pPr>
        <w:pStyle w:val="BodyText2"/>
        <w:rPr>
          <w:rFonts w:ascii="Calibri" w:hAnsi="Calibri"/>
          <w:sz w:val="22"/>
          <w:szCs w:val="22"/>
        </w:rPr>
      </w:pPr>
    </w:p>
    <w:p w14:paraId="19E5A244" w14:textId="6FBEA256" w:rsidR="002A132A" w:rsidRPr="001E266A" w:rsidRDefault="002A132A" w:rsidP="00E972D9">
      <w:pPr>
        <w:pStyle w:val="BodyText2"/>
        <w:rPr>
          <w:rFonts w:ascii="Calibri" w:hAnsi="Calibri"/>
          <w:b/>
          <w:sz w:val="22"/>
          <w:szCs w:val="22"/>
        </w:rPr>
      </w:pPr>
      <w:r w:rsidRPr="001E266A">
        <w:rPr>
          <w:rFonts w:ascii="Calibri" w:hAnsi="Calibri"/>
          <w:b/>
          <w:sz w:val="22"/>
          <w:szCs w:val="22"/>
        </w:rPr>
        <w:t>Recommendation</w:t>
      </w:r>
      <w:r w:rsidR="00ED34B6" w:rsidRPr="001E266A">
        <w:rPr>
          <w:rFonts w:ascii="Calibri" w:hAnsi="Calibri"/>
          <w:b/>
          <w:sz w:val="22"/>
          <w:szCs w:val="22"/>
        </w:rPr>
        <w:t>s</w:t>
      </w:r>
      <w:r w:rsidRPr="001E266A">
        <w:rPr>
          <w:rFonts w:ascii="Calibri" w:hAnsi="Calibri"/>
          <w:b/>
          <w:sz w:val="22"/>
          <w:szCs w:val="22"/>
        </w:rPr>
        <w:t xml:space="preserve"> 10</w:t>
      </w:r>
      <w:r w:rsidR="00ED34B6" w:rsidRPr="001E266A">
        <w:rPr>
          <w:rFonts w:ascii="Calibri" w:hAnsi="Calibri"/>
          <w:b/>
          <w:sz w:val="22"/>
          <w:szCs w:val="22"/>
        </w:rPr>
        <w:t xml:space="preserve"> and 11</w:t>
      </w:r>
      <w:r w:rsidRPr="001E266A">
        <w:rPr>
          <w:rFonts w:ascii="Calibri" w:hAnsi="Calibri"/>
          <w:b/>
          <w:sz w:val="22"/>
          <w:szCs w:val="22"/>
        </w:rPr>
        <w:t xml:space="preserve"> (redaction of data elements).</w:t>
      </w:r>
    </w:p>
    <w:p w14:paraId="1F233AAB" w14:textId="77777777" w:rsidR="002A132A" w:rsidRPr="001E266A" w:rsidRDefault="002A132A" w:rsidP="00E972D9">
      <w:pPr>
        <w:pStyle w:val="BodyText2"/>
        <w:rPr>
          <w:rFonts w:ascii="Calibri" w:hAnsi="Calibri"/>
          <w:b/>
          <w:sz w:val="22"/>
          <w:szCs w:val="22"/>
        </w:rPr>
      </w:pPr>
    </w:p>
    <w:p w14:paraId="4E8EB92D" w14:textId="0ACD8E57" w:rsidR="00CF0F5E" w:rsidRPr="001E266A" w:rsidRDefault="00CF0F5E" w:rsidP="00E972D9">
      <w:pPr>
        <w:pStyle w:val="BodyText2"/>
        <w:rPr>
          <w:rFonts w:ascii="Calibri" w:hAnsi="Calibri"/>
          <w:i/>
          <w:sz w:val="22"/>
          <w:szCs w:val="22"/>
        </w:rPr>
      </w:pPr>
      <w:r w:rsidRPr="001E266A">
        <w:rPr>
          <w:rFonts w:ascii="Calibri" w:hAnsi="Calibri"/>
          <w:i/>
          <w:sz w:val="22"/>
          <w:szCs w:val="22"/>
        </w:rPr>
        <w:t>Organization</w:t>
      </w:r>
    </w:p>
    <w:p w14:paraId="3EDA6AAB" w14:textId="77777777" w:rsidR="00004373" w:rsidRPr="001E266A" w:rsidRDefault="00004373" w:rsidP="00004373">
      <w:pPr>
        <w:rPr>
          <w:rFonts w:cs="Arial"/>
        </w:rPr>
      </w:pPr>
    </w:p>
    <w:p w14:paraId="2EC9778F" w14:textId="6E914C15" w:rsidR="00004373" w:rsidRPr="001E266A" w:rsidRDefault="00004373" w:rsidP="00004373">
      <w:pPr>
        <w:rPr>
          <w:rFonts w:cs="Arial"/>
        </w:rPr>
      </w:pPr>
      <w:r w:rsidRPr="001E266A">
        <w:rPr>
          <w:rFonts w:cs="Arial"/>
        </w:rPr>
        <w:t xml:space="preserve">The </w:t>
      </w:r>
      <w:r w:rsidR="00D31455" w:rsidRPr="001E266A">
        <w:rPr>
          <w:rFonts w:cs="Arial"/>
        </w:rPr>
        <w:t>Organization</w:t>
      </w:r>
      <w:r w:rsidRPr="001E266A">
        <w:rPr>
          <w:rFonts w:cs="Arial"/>
        </w:rPr>
        <w:t xml:space="preserve"> field should not be redacted as this is clearly a field whereby any personal data contained within the entry would fall under that of a legal person as defined within GDPR Recital 14A.  If registrants incorrectly provide </w:t>
      </w:r>
      <w:r w:rsidR="00613AF9" w:rsidRPr="001E266A">
        <w:rPr>
          <w:rFonts w:cs="Arial"/>
        </w:rPr>
        <w:t xml:space="preserve">personal </w:t>
      </w:r>
      <w:r w:rsidRPr="001E266A">
        <w:rPr>
          <w:rFonts w:cs="Arial"/>
        </w:rPr>
        <w:t xml:space="preserve">information, this could be rectified by a number of means, </w:t>
      </w:r>
      <w:r w:rsidR="00613AF9" w:rsidRPr="001E266A">
        <w:rPr>
          <w:rFonts w:cs="Arial"/>
        </w:rPr>
        <w:t xml:space="preserve">including </w:t>
      </w:r>
      <w:r w:rsidR="00A557DA" w:rsidRPr="001E266A">
        <w:rPr>
          <w:rFonts w:cs="Arial"/>
        </w:rPr>
        <w:t xml:space="preserve">first, by </w:t>
      </w:r>
      <w:r w:rsidRPr="001E266A">
        <w:rPr>
          <w:rFonts w:cs="Arial"/>
        </w:rPr>
        <w:t>provid</w:t>
      </w:r>
      <w:r w:rsidR="00613AF9" w:rsidRPr="001E266A">
        <w:rPr>
          <w:rFonts w:cs="Arial"/>
        </w:rPr>
        <w:t>ing</w:t>
      </w:r>
      <w:r w:rsidRPr="001E266A">
        <w:rPr>
          <w:rFonts w:cs="Arial"/>
        </w:rPr>
        <w:t xml:space="preserve"> </w:t>
      </w:r>
      <w:r w:rsidR="0090041E" w:rsidRPr="001E266A">
        <w:rPr>
          <w:rFonts w:cs="Arial"/>
        </w:rPr>
        <w:t xml:space="preserve">registrants with </w:t>
      </w:r>
      <w:r w:rsidRPr="001E266A">
        <w:rPr>
          <w:rFonts w:cs="Arial"/>
        </w:rPr>
        <w:t xml:space="preserve">clear </w:t>
      </w:r>
      <w:r w:rsidR="0090041E" w:rsidRPr="001E266A">
        <w:rPr>
          <w:rFonts w:cs="Arial"/>
        </w:rPr>
        <w:t xml:space="preserve">guidance </w:t>
      </w:r>
      <w:r w:rsidRPr="001E266A">
        <w:rPr>
          <w:rFonts w:cs="Arial"/>
        </w:rPr>
        <w:t xml:space="preserve">on what this field is for and the implications of entering data into </w:t>
      </w:r>
      <w:r w:rsidR="0090041E" w:rsidRPr="001E266A">
        <w:rPr>
          <w:rFonts w:cs="Arial"/>
        </w:rPr>
        <w:t>the field</w:t>
      </w:r>
      <w:r w:rsidRPr="001E266A">
        <w:rPr>
          <w:rFonts w:cs="Arial"/>
        </w:rPr>
        <w:t>. Second</w:t>
      </w:r>
      <w:r w:rsidR="00A557DA" w:rsidRPr="001E266A">
        <w:rPr>
          <w:rFonts w:cs="Arial"/>
        </w:rPr>
        <w:t>, by</w:t>
      </w:r>
      <w:r w:rsidRPr="001E266A">
        <w:rPr>
          <w:rFonts w:cs="Arial"/>
        </w:rPr>
        <w:t xml:space="preserve"> provid</w:t>
      </w:r>
      <w:r w:rsidR="00A557DA" w:rsidRPr="001E266A">
        <w:rPr>
          <w:rFonts w:cs="Arial"/>
        </w:rPr>
        <w:t>ing</w:t>
      </w:r>
      <w:r w:rsidRPr="001E266A">
        <w:rPr>
          <w:rFonts w:cs="Arial"/>
        </w:rPr>
        <w:t xml:space="preserve"> the registrant with the ability to rectify this field if it is not correctly filled out and by confirmation at renewal point.</w:t>
      </w:r>
    </w:p>
    <w:p w14:paraId="164088CD" w14:textId="77777777" w:rsidR="00613AF9" w:rsidRPr="001E266A" w:rsidRDefault="00613AF9" w:rsidP="00004373">
      <w:pPr>
        <w:spacing w:line="273" w:lineRule="auto"/>
        <w:rPr>
          <w:rFonts w:cs="Arial"/>
        </w:rPr>
      </w:pPr>
    </w:p>
    <w:p w14:paraId="4BBCF8E3" w14:textId="045A7038" w:rsidR="00004373" w:rsidRPr="001E266A" w:rsidRDefault="00B65720" w:rsidP="00004373">
      <w:pPr>
        <w:spacing w:line="273" w:lineRule="auto"/>
        <w:rPr>
          <w:rFonts w:cs="Arial"/>
        </w:rPr>
      </w:pPr>
      <w:r w:rsidRPr="001E266A">
        <w:rPr>
          <w:rFonts w:cs="Arial"/>
        </w:rPr>
        <w:t xml:space="preserve">It should be </w:t>
      </w:r>
      <w:r w:rsidR="00613AF9" w:rsidRPr="001E266A">
        <w:rPr>
          <w:rFonts w:cs="Arial"/>
        </w:rPr>
        <w:t xml:space="preserve">noted </w:t>
      </w:r>
      <w:r w:rsidRPr="001E266A">
        <w:rPr>
          <w:rFonts w:cs="Arial"/>
        </w:rPr>
        <w:t xml:space="preserve">that </w:t>
      </w:r>
      <w:r w:rsidR="00613AF9" w:rsidRPr="001E266A">
        <w:rPr>
          <w:rFonts w:cs="Arial"/>
        </w:rPr>
        <w:t xml:space="preserve">in </w:t>
      </w:r>
      <w:r w:rsidRPr="001E266A">
        <w:rPr>
          <w:rFonts w:cs="Arial"/>
        </w:rPr>
        <w:t>GAC’s</w:t>
      </w:r>
      <w:r w:rsidR="00613AF9" w:rsidRPr="001E266A">
        <w:rPr>
          <w:rFonts w:cs="Arial"/>
        </w:rPr>
        <w:t xml:space="preserve"> previous input, there</w:t>
      </w:r>
      <w:r w:rsidR="00004373" w:rsidRPr="001E266A">
        <w:rPr>
          <w:rFonts w:cs="Arial"/>
        </w:rPr>
        <w:t xml:space="preserve"> are many European countries who publicly publish business details (including organization name) and even a network of these national registers (European Business Registrar). </w:t>
      </w:r>
      <w:proofErr w:type="gramStart"/>
      <w:r w:rsidR="00004373" w:rsidRPr="001E266A">
        <w:rPr>
          <w:rFonts w:cs="Arial"/>
        </w:rPr>
        <w:t>Also</w:t>
      </w:r>
      <w:proofErr w:type="gramEnd"/>
      <w:r w:rsidR="00004373" w:rsidRPr="001E266A">
        <w:rPr>
          <w:rFonts w:cs="Arial"/>
        </w:rPr>
        <w:t xml:space="preserve"> the European </w:t>
      </w:r>
      <w:r w:rsidR="00004373" w:rsidRPr="001E266A">
        <w:rPr>
          <w:rFonts w:cs="Arial"/>
          <w:color w:val="333333"/>
        </w:rPr>
        <w:t>Directive 2000/31/EC</w:t>
      </w:r>
      <w:r w:rsidR="00004373" w:rsidRPr="001E266A">
        <w:rPr>
          <w:rFonts w:cs="Arial"/>
        </w:rPr>
        <w:t xml:space="preserve"> states “Member States shall ensure that the service provider shall render easily, directly and permanently accessible to the recipients of the service and competent authorities, at least the following information:</w:t>
      </w:r>
    </w:p>
    <w:p w14:paraId="2BA4F928" w14:textId="77777777" w:rsidR="00004373" w:rsidRPr="001E266A" w:rsidRDefault="00004373" w:rsidP="00004373">
      <w:pPr>
        <w:spacing w:line="273" w:lineRule="auto"/>
        <w:ind w:left="220" w:right="520"/>
        <w:rPr>
          <w:rFonts w:cs="Arial"/>
        </w:rPr>
      </w:pPr>
      <w:r w:rsidRPr="001E266A">
        <w:rPr>
          <w:rFonts w:cs="Arial"/>
        </w:rPr>
        <w:t>(a) the name of the service provider;</w:t>
      </w:r>
    </w:p>
    <w:p w14:paraId="72F73218" w14:textId="77777777" w:rsidR="00004373" w:rsidRPr="001E266A" w:rsidRDefault="00004373" w:rsidP="00004373">
      <w:pPr>
        <w:spacing w:line="273" w:lineRule="auto"/>
        <w:ind w:left="220" w:right="520"/>
        <w:rPr>
          <w:rFonts w:cs="Arial"/>
        </w:rPr>
      </w:pPr>
      <w:r w:rsidRPr="001E266A">
        <w:rPr>
          <w:rFonts w:cs="Arial"/>
        </w:rPr>
        <w:t>(b) the geographic address at which the service provider is established;</w:t>
      </w:r>
    </w:p>
    <w:p w14:paraId="1049B643" w14:textId="77777777" w:rsidR="00004373" w:rsidRPr="001E266A" w:rsidRDefault="00004373" w:rsidP="00004373">
      <w:pPr>
        <w:spacing w:line="273" w:lineRule="auto"/>
        <w:ind w:left="220" w:right="520"/>
        <w:rPr>
          <w:rFonts w:cs="Arial"/>
        </w:rPr>
      </w:pPr>
      <w:r w:rsidRPr="001E266A">
        <w:rPr>
          <w:rFonts w:cs="Arial"/>
        </w:rPr>
        <w:t>(c) the details of the service provider, including his electronic mail address, which allow him to be contacted rapidly and communicated with in a direct and effective manner;”</w:t>
      </w:r>
    </w:p>
    <w:p w14:paraId="19E16A27" w14:textId="77777777" w:rsidR="00613AF9" w:rsidRPr="001E266A" w:rsidRDefault="00613AF9" w:rsidP="00E972D9">
      <w:pPr>
        <w:pStyle w:val="BodyText2"/>
        <w:rPr>
          <w:rFonts w:ascii="Calibri" w:hAnsi="Calibri"/>
          <w:sz w:val="22"/>
          <w:szCs w:val="22"/>
        </w:rPr>
      </w:pPr>
    </w:p>
    <w:p w14:paraId="523A8B1B" w14:textId="6634D0BC" w:rsidR="00ED34B6" w:rsidRPr="001E266A" w:rsidRDefault="00ED34B6" w:rsidP="00E972D9">
      <w:pPr>
        <w:pStyle w:val="BodyText2"/>
        <w:rPr>
          <w:rFonts w:ascii="Calibri" w:hAnsi="Calibri"/>
          <w:i/>
          <w:sz w:val="22"/>
          <w:szCs w:val="22"/>
        </w:rPr>
      </w:pPr>
      <w:r w:rsidRPr="001E266A">
        <w:rPr>
          <w:rFonts w:ascii="Calibri" w:hAnsi="Calibri"/>
          <w:i/>
          <w:sz w:val="22"/>
          <w:szCs w:val="22"/>
        </w:rPr>
        <w:t>City</w:t>
      </w:r>
    </w:p>
    <w:p w14:paraId="1338B54F" w14:textId="2DD493FE" w:rsidR="00613AF9" w:rsidRPr="001E266A" w:rsidRDefault="00613AF9" w:rsidP="00E972D9">
      <w:pPr>
        <w:pStyle w:val="BodyText2"/>
        <w:rPr>
          <w:rFonts w:ascii="Calibri" w:hAnsi="Calibri"/>
          <w:i/>
          <w:sz w:val="22"/>
          <w:szCs w:val="22"/>
        </w:rPr>
      </w:pPr>
    </w:p>
    <w:p w14:paraId="640DCE99" w14:textId="52959919" w:rsidR="00613AF9" w:rsidRPr="001E266A" w:rsidRDefault="00613AF9" w:rsidP="00613AF9">
      <w:pPr>
        <w:rPr>
          <w:rFonts w:cs="Arial"/>
        </w:rPr>
      </w:pPr>
      <w:r w:rsidRPr="001E266A">
        <w:rPr>
          <w:rFonts w:cs="Arial"/>
        </w:rPr>
        <w:t xml:space="preserve">The City field should not be redacted as an individual </w:t>
      </w:r>
      <w:r w:rsidR="009D0669" w:rsidRPr="001E266A">
        <w:rPr>
          <w:rFonts w:cs="Arial"/>
        </w:rPr>
        <w:t>is unlikely to be</w:t>
      </w:r>
      <w:r w:rsidRPr="001E266A">
        <w:rPr>
          <w:rFonts w:cs="Arial"/>
        </w:rPr>
        <w:t xml:space="preserve"> identified either directly or indirectly from this identifier or with all the identifiers otherwise non-redacted.</w:t>
      </w:r>
    </w:p>
    <w:p w14:paraId="4F3E3829" w14:textId="77777777" w:rsidR="00613AF9" w:rsidRPr="001E266A" w:rsidRDefault="00613AF9" w:rsidP="00E972D9">
      <w:pPr>
        <w:pStyle w:val="BodyText2"/>
        <w:rPr>
          <w:rFonts w:ascii="Calibri" w:hAnsi="Calibri"/>
          <w:sz w:val="22"/>
          <w:szCs w:val="22"/>
        </w:rPr>
      </w:pPr>
    </w:p>
    <w:p w14:paraId="4E2DDB81" w14:textId="4A204FEE" w:rsidR="004E3057" w:rsidRPr="001E266A" w:rsidRDefault="004E3057" w:rsidP="00E972D9">
      <w:pPr>
        <w:pStyle w:val="BodyText2"/>
        <w:rPr>
          <w:rFonts w:ascii="Calibri" w:hAnsi="Calibri"/>
          <w:b/>
          <w:sz w:val="22"/>
          <w:szCs w:val="22"/>
        </w:rPr>
      </w:pPr>
      <w:r w:rsidRPr="001E266A">
        <w:rPr>
          <w:rFonts w:ascii="Calibri" w:hAnsi="Calibri"/>
          <w:b/>
          <w:sz w:val="22"/>
          <w:szCs w:val="22"/>
        </w:rPr>
        <w:t>Recommendation 12 (Publication of Organization field).</w:t>
      </w:r>
    </w:p>
    <w:p w14:paraId="54A746A9" w14:textId="048860EE" w:rsidR="004E3057" w:rsidRPr="001E266A" w:rsidRDefault="004E3057" w:rsidP="00E972D9">
      <w:pPr>
        <w:pStyle w:val="BodyText2"/>
        <w:rPr>
          <w:rFonts w:ascii="Calibri" w:hAnsi="Calibri"/>
          <w:b/>
          <w:sz w:val="22"/>
          <w:szCs w:val="22"/>
        </w:rPr>
      </w:pPr>
    </w:p>
    <w:p w14:paraId="7EFB347E" w14:textId="0A410357" w:rsidR="004E3057" w:rsidRPr="001E266A" w:rsidRDefault="000B1303" w:rsidP="00E972D9">
      <w:pPr>
        <w:pStyle w:val="BodyText2"/>
        <w:rPr>
          <w:rFonts w:ascii="Calibri" w:hAnsi="Calibri"/>
          <w:sz w:val="22"/>
          <w:szCs w:val="22"/>
        </w:rPr>
      </w:pPr>
      <w:r w:rsidRPr="001E266A">
        <w:rPr>
          <w:rFonts w:ascii="Calibri" w:hAnsi="Calibri"/>
          <w:sz w:val="22"/>
          <w:szCs w:val="22"/>
        </w:rPr>
        <w:t xml:space="preserve">The GAC is pleased that the EPDP was able to reach agreement in recommending that the Organization field be published under the conditions outlined in the report. That being said, the GAC </w:t>
      </w:r>
      <w:r w:rsidR="00E24BC9" w:rsidRPr="001E266A">
        <w:rPr>
          <w:rFonts w:ascii="Calibri" w:hAnsi="Calibri"/>
          <w:sz w:val="22"/>
          <w:szCs w:val="22"/>
        </w:rPr>
        <w:t>is of the view that t</w:t>
      </w:r>
      <w:r w:rsidRPr="001E266A">
        <w:rPr>
          <w:rFonts w:ascii="Calibri" w:hAnsi="Calibri"/>
          <w:sz w:val="22"/>
          <w:szCs w:val="22"/>
        </w:rPr>
        <w:t xml:space="preserve">here </w:t>
      </w:r>
      <w:proofErr w:type="gramStart"/>
      <w:r w:rsidR="00E24BC9" w:rsidRPr="001E266A">
        <w:rPr>
          <w:rFonts w:ascii="Calibri" w:hAnsi="Calibri"/>
          <w:sz w:val="22"/>
          <w:szCs w:val="22"/>
        </w:rPr>
        <w:t xml:space="preserve">should </w:t>
      </w:r>
      <w:r w:rsidRPr="001E266A">
        <w:rPr>
          <w:rFonts w:ascii="Calibri" w:hAnsi="Calibri"/>
          <w:sz w:val="22"/>
          <w:szCs w:val="22"/>
        </w:rPr>
        <w:t xml:space="preserve"> be</w:t>
      </w:r>
      <w:proofErr w:type="gramEnd"/>
      <w:r w:rsidRPr="001E266A">
        <w:rPr>
          <w:rFonts w:ascii="Calibri" w:hAnsi="Calibri"/>
          <w:sz w:val="22"/>
          <w:szCs w:val="22"/>
        </w:rPr>
        <w:t xml:space="preserve"> more accountability</w:t>
      </w:r>
      <w:r w:rsidR="00E24BC9" w:rsidRPr="001E266A">
        <w:rPr>
          <w:rFonts w:ascii="Calibri" w:hAnsi="Calibri"/>
          <w:sz w:val="22"/>
          <w:szCs w:val="22"/>
        </w:rPr>
        <w:t xml:space="preserve"> to be </w:t>
      </w:r>
      <w:r w:rsidRPr="001E266A">
        <w:rPr>
          <w:rFonts w:ascii="Calibri" w:hAnsi="Calibri"/>
          <w:sz w:val="22"/>
          <w:szCs w:val="22"/>
        </w:rPr>
        <w:t xml:space="preserve">applied to the Contracted Parties in implementing this.  Specifically, the time frame for registrars to develop procedures to deal with existing registrations.  The </w:t>
      </w:r>
      <w:r w:rsidRPr="001E266A">
        <w:rPr>
          <w:rFonts w:ascii="Calibri" w:hAnsi="Calibri"/>
          <w:sz w:val="22"/>
          <w:szCs w:val="22"/>
        </w:rPr>
        <w:lastRenderedPageBreak/>
        <w:t>GAC would like this time frame to be time bound and correspond with the first renewal period after implementation of the new policy.</w:t>
      </w:r>
    </w:p>
    <w:p w14:paraId="784D0AD4" w14:textId="77777777" w:rsidR="004E3057" w:rsidRPr="001E266A" w:rsidRDefault="004E3057" w:rsidP="00E972D9">
      <w:pPr>
        <w:pStyle w:val="BodyText2"/>
        <w:rPr>
          <w:rFonts w:ascii="Calibri" w:hAnsi="Calibri"/>
          <w:b/>
          <w:sz w:val="22"/>
          <w:szCs w:val="22"/>
        </w:rPr>
      </w:pPr>
    </w:p>
    <w:p w14:paraId="4C0894FE" w14:textId="598FAF83" w:rsidR="00AE31C5" w:rsidRPr="001E266A" w:rsidRDefault="00CF0F5E" w:rsidP="00E972D9">
      <w:pPr>
        <w:pStyle w:val="BodyText2"/>
        <w:rPr>
          <w:rFonts w:ascii="Calibri" w:hAnsi="Calibri"/>
          <w:b/>
          <w:sz w:val="22"/>
          <w:szCs w:val="22"/>
        </w:rPr>
      </w:pPr>
      <w:r w:rsidRPr="001E266A">
        <w:rPr>
          <w:rFonts w:ascii="Calibri" w:hAnsi="Calibri"/>
          <w:b/>
          <w:sz w:val="22"/>
          <w:szCs w:val="22"/>
        </w:rPr>
        <w:t>Recommendation 13 (email address and web form to facilitate email communication)</w:t>
      </w:r>
      <w:r w:rsidR="00AE31C5" w:rsidRPr="001E266A">
        <w:rPr>
          <w:rFonts w:ascii="Calibri" w:hAnsi="Calibri"/>
          <w:b/>
          <w:sz w:val="22"/>
          <w:szCs w:val="22"/>
        </w:rPr>
        <w:t>.</w:t>
      </w:r>
    </w:p>
    <w:p w14:paraId="570AB508" w14:textId="0BBD755C" w:rsidR="007758E5" w:rsidRPr="001E266A" w:rsidRDefault="007758E5" w:rsidP="00E972D9">
      <w:pPr>
        <w:pStyle w:val="BodyText2"/>
        <w:rPr>
          <w:rFonts w:ascii="Calibri" w:hAnsi="Calibri"/>
          <w:b/>
          <w:sz w:val="22"/>
          <w:szCs w:val="22"/>
        </w:rPr>
      </w:pPr>
    </w:p>
    <w:p w14:paraId="572E0241" w14:textId="7E44A76E" w:rsidR="007758E5" w:rsidRPr="001E266A" w:rsidRDefault="007758E5" w:rsidP="007758E5">
      <w:pPr>
        <w:pStyle w:val="BodyTextIndent2"/>
        <w:numPr>
          <w:ilvl w:val="0"/>
          <w:numId w:val="13"/>
        </w:numPr>
        <w:rPr>
          <w:rFonts w:ascii="Calibri" w:hAnsi="Calibri"/>
          <w:sz w:val="22"/>
          <w:szCs w:val="22"/>
        </w:rPr>
      </w:pPr>
      <w:r w:rsidRPr="001E266A">
        <w:rPr>
          <w:rFonts w:ascii="Calibri" w:hAnsi="Calibri"/>
          <w:sz w:val="22"/>
          <w:szCs w:val="22"/>
        </w:rPr>
        <w:t xml:space="preserve">The EPDP Team recommends that the Registrar MUST provide an email address or a web form to facilitate email communication with the relevant </w:t>
      </w:r>
      <w:proofErr w:type="gramStart"/>
      <w:r w:rsidRPr="001E266A">
        <w:rPr>
          <w:rFonts w:ascii="Calibri" w:hAnsi="Calibri"/>
          <w:sz w:val="22"/>
          <w:szCs w:val="22"/>
        </w:rPr>
        <w:t>contact, but</w:t>
      </w:r>
      <w:proofErr w:type="gramEnd"/>
      <w:r w:rsidRPr="001E266A">
        <w:rPr>
          <w:rFonts w:ascii="Calibri" w:hAnsi="Calibri"/>
          <w:sz w:val="22"/>
          <w:szCs w:val="22"/>
        </w:rPr>
        <w:t xml:space="preserve"> MUST NOT identify the contact email address or the contact itself, unless as per Recommendation X, the Registered Name Holder has provided consent for the publication of its email address. </w:t>
      </w:r>
    </w:p>
    <w:p w14:paraId="2AD8201F" w14:textId="77777777" w:rsidR="007758E5" w:rsidRPr="001E266A" w:rsidRDefault="007758E5" w:rsidP="007758E5">
      <w:pPr>
        <w:pStyle w:val="BodyTextIndent2"/>
        <w:ind w:left="1080"/>
        <w:rPr>
          <w:rFonts w:ascii="Calibri" w:hAnsi="Calibri"/>
          <w:sz w:val="22"/>
          <w:szCs w:val="22"/>
        </w:rPr>
      </w:pPr>
    </w:p>
    <w:p w14:paraId="7E4C12E0" w14:textId="4A8CF5AB" w:rsidR="007758E5" w:rsidRPr="001E266A" w:rsidRDefault="007758E5" w:rsidP="007758E5">
      <w:pPr>
        <w:pStyle w:val="BodyTextIndent2"/>
        <w:numPr>
          <w:ilvl w:val="0"/>
          <w:numId w:val="13"/>
        </w:numPr>
        <w:rPr>
          <w:rFonts w:ascii="Calibri" w:hAnsi="Calibri"/>
          <w:sz w:val="22"/>
          <w:szCs w:val="22"/>
        </w:rPr>
      </w:pPr>
      <w:r w:rsidRPr="001E266A">
        <w:rPr>
          <w:rFonts w:ascii="Calibri" w:hAnsi="Calibri"/>
          <w:sz w:val="22"/>
          <w:szCs w:val="22"/>
        </w:rPr>
        <w:t>The EPDP Team recommends Registrars MUST maintain Log Files, which shall not contain any Personal Information, and which shall contain confirmation that a relay of the communication between the requestor and the Registered Name Holder has occurred, not including the origin, recipient, or content of the message. Such records will be available to ICANN for compliance purposes, upon request. Nothing in this recommendation should be construed to prevent the registrar from taking reasonable and appropriate action to prevent the abuse of the registrar contact process.</w:t>
      </w:r>
    </w:p>
    <w:p w14:paraId="69E3659C" w14:textId="77777777" w:rsidR="007758E5" w:rsidRPr="001E266A" w:rsidRDefault="007758E5" w:rsidP="007758E5">
      <w:pPr>
        <w:pStyle w:val="ListParagraph"/>
      </w:pPr>
    </w:p>
    <w:p w14:paraId="1CB98A53" w14:textId="396FC22B" w:rsidR="007758E5" w:rsidRPr="001E266A" w:rsidRDefault="007758E5" w:rsidP="007758E5">
      <w:pPr>
        <w:pStyle w:val="BodyTextIndent2"/>
        <w:ind w:left="0"/>
        <w:rPr>
          <w:rFonts w:ascii="Calibri" w:hAnsi="Calibri"/>
          <w:i w:val="0"/>
          <w:sz w:val="22"/>
          <w:szCs w:val="22"/>
        </w:rPr>
      </w:pPr>
      <w:r w:rsidRPr="001E266A">
        <w:rPr>
          <w:rFonts w:ascii="Calibri" w:hAnsi="Calibri"/>
          <w:i w:val="0"/>
          <w:sz w:val="22"/>
          <w:szCs w:val="22"/>
        </w:rPr>
        <w:t>The GAC is concerned that this recommendation does not provide sufficient accountability with regard to</w:t>
      </w:r>
      <w:r w:rsidR="00E24BC9" w:rsidRPr="001E266A">
        <w:rPr>
          <w:rFonts w:ascii="Calibri" w:hAnsi="Calibri"/>
          <w:i w:val="0"/>
          <w:sz w:val="22"/>
          <w:szCs w:val="22"/>
        </w:rPr>
        <w:t xml:space="preserve"> instances </w:t>
      </w:r>
      <w:r w:rsidRPr="001E266A">
        <w:rPr>
          <w:rFonts w:ascii="Calibri" w:hAnsi="Calibri"/>
          <w:i w:val="0"/>
          <w:sz w:val="22"/>
          <w:szCs w:val="22"/>
        </w:rPr>
        <w:t>if emails bounce back or are ignored</w:t>
      </w:r>
      <w:r w:rsidR="00124BAE" w:rsidRPr="001E266A">
        <w:rPr>
          <w:rFonts w:ascii="Calibri" w:hAnsi="Calibri"/>
          <w:i w:val="0"/>
          <w:sz w:val="22"/>
          <w:szCs w:val="22"/>
        </w:rPr>
        <w:t xml:space="preserve"> (for example: providing notification to the sender that the email has been received and read)</w:t>
      </w:r>
      <w:r w:rsidRPr="001E266A">
        <w:rPr>
          <w:rFonts w:ascii="Calibri" w:hAnsi="Calibri"/>
          <w:i w:val="0"/>
          <w:sz w:val="22"/>
          <w:szCs w:val="22"/>
        </w:rPr>
        <w:t xml:space="preserve">.    </w:t>
      </w:r>
    </w:p>
    <w:p w14:paraId="3640086C" w14:textId="77777777" w:rsidR="00AE31C5" w:rsidRPr="001E266A" w:rsidRDefault="00AE31C5" w:rsidP="00E972D9">
      <w:pPr>
        <w:pStyle w:val="BodyText2"/>
        <w:rPr>
          <w:rFonts w:ascii="Calibri" w:hAnsi="Calibri"/>
          <w:b/>
          <w:sz w:val="22"/>
          <w:szCs w:val="22"/>
        </w:rPr>
      </w:pPr>
    </w:p>
    <w:p w14:paraId="47BEE59A" w14:textId="7D431495" w:rsidR="00CF7FFC" w:rsidRPr="001E266A" w:rsidRDefault="00AE31C5" w:rsidP="00E972D9">
      <w:pPr>
        <w:pStyle w:val="BodyText2"/>
        <w:rPr>
          <w:rFonts w:ascii="Calibri" w:hAnsi="Calibri"/>
          <w:b/>
          <w:sz w:val="22"/>
          <w:szCs w:val="22"/>
        </w:rPr>
      </w:pPr>
      <w:r w:rsidRPr="001E266A">
        <w:rPr>
          <w:rFonts w:ascii="Calibri" w:hAnsi="Calibri"/>
          <w:b/>
          <w:sz w:val="22"/>
          <w:szCs w:val="22"/>
        </w:rPr>
        <w:t xml:space="preserve">Recommendation 17 (Differentiation of Legal and Natural Persons) </w:t>
      </w:r>
      <w:r w:rsidR="00CF0F5E" w:rsidRPr="001E266A">
        <w:rPr>
          <w:rFonts w:ascii="Calibri" w:hAnsi="Calibri"/>
          <w:b/>
          <w:sz w:val="22"/>
          <w:szCs w:val="22"/>
        </w:rPr>
        <w:t xml:space="preserve"> </w:t>
      </w:r>
      <w:r w:rsidR="00E972D9" w:rsidRPr="001E266A">
        <w:rPr>
          <w:rFonts w:ascii="Calibri" w:hAnsi="Calibri"/>
          <w:b/>
          <w:sz w:val="22"/>
          <w:szCs w:val="22"/>
        </w:rPr>
        <w:t xml:space="preserve"> </w:t>
      </w:r>
      <w:r w:rsidR="00A20830" w:rsidRPr="001E266A">
        <w:rPr>
          <w:rFonts w:ascii="Calibri" w:hAnsi="Calibri"/>
          <w:b/>
          <w:sz w:val="22"/>
          <w:szCs w:val="22"/>
        </w:rPr>
        <w:t xml:space="preserve"> </w:t>
      </w:r>
    </w:p>
    <w:p w14:paraId="11798E5E" w14:textId="4B0FB6EF" w:rsidR="00AE31C5" w:rsidRPr="001E266A" w:rsidRDefault="00AE31C5" w:rsidP="004F77B0">
      <w:pPr>
        <w:pStyle w:val="BodyText2"/>
        <w:ind w:left="720"/>
        <w:rPr>
          <w:rFonts w:ascii="Calibri" w:hAnsi="Calibri"/>
          <w:i/>
          <w:sz w:val="22"/>
          <w:szCs w:val="22"/>
        </w:rPr>
      </w:pPr>
    </w:p>
    <w:p w14:paraId="0C21753F" w14:textId="429E7542" w:rsidR="004F77B0" w:rsidRPr="001E266A" w:rsidRDefault="004F77B0" w:rsidP="004F77B0">
      <w:pPr>
        <w:pStyle w:val="BodyTextIndent2"/>
        <w:numPr>
          <w:ilvl w:val="0"/>
          <w:numId w:val="16"/>
        </w:numPr>
        <w:rPr>
          <w:rFonts w:ascii="Calibri" w:hAnsi="Calibri"/>
          <w:sz w:val="22"/>
          <w:szCs w:val="22"/>
        </w:rPr>
      </w:pPr>
      <w:r w:rsidRPr="001E266A">
        <w:rPr>
          <w:rFonts w:ascii="Calibri" w:hAnsi="Calibri"/>
          <w:sz w:val="22"/>
          <w:szCs w:val="22"/>
        </w:rPr>
        <w:t xml:space="preserve">The EPDP Team recommends that the policy recommendations in this Final Report apply to all gTLD registrations, without requiring Registrars or registries to differentiate between registrations of legal and natural persons, although registrars and registries are permitted to make this distinction. </w:t>
      </w:r>
    </w:p>
    <w:p w14:paraId="184E607C" w14:textId="77777777" w:rsidR="004F77B0" w:rsidRPr="001E266A" w:rsidRDefault="004F77B0" w:rsidP="004F77B0">
      <w:pPr>
        <w:pStyle w:val="ListParagraph"/>
        <w:autoSpaceDE w:val="0"/>
        <w:autoSpaceDN w:val="0"/>
        <w:adjustRightInd w:val="0"/>
        <w:spacing w:line="240" w:lineRule="auto"/>
        <w:ind w:left="1080"/>
        <w:rPr>
          <w:rFonts w:cs="Arial"/>
          <w:i/>
          <w:color w:val="000000"/>
          <w:lang w:val="en-US"/>
        </w:rPr>
      </w:pPr>
    </w:p>
    <w:p w14:paraId="7A9BB28C" w14:textId="26E3E6B9" w:rsidR="004F77B0" w:rsidRPr="001E266A" w:rsidRDefault="004F77B0" w:rsidP="0097115F">
      <w:pPr>
        <w:pStyle w:val="ListParagraph"/>
        <w:numPr>
          <w:ilvl w:val="0"/>
          <w:numId w:val="16"/>
        </w:numPr>
        <w:autoSpaceDE w:val="0"/>
        <w:autoSpaceDN w:val="0"/>
        <w:adjustRightInd w:val="0"/>
        <w:spacing w:line="240" w:lineRule="auto"/>
        <w:rPr>
          <w:rFonts w:cs="Arial"/>
          <w:i/>
          <w:color w:val="000000"/>
          <w:lang w:val="en-US"/>
        </w:rPr>
      </w:pPr>
      <w:r w:rsidRPr="001E266A">
        <w:rPr>
          <w:rFonts w:cs="Arial"/>
          <w:i/>
          <w:color w:val="000000"/>
          <w:lang w:val="en-US"/>
        </w:rPr>
        <w:t xml:space="preserve">The EPDP Team recommends that as soon as possible ICANN Org undertakes a study, for which the terms of reference are developed in consultation with the community, that considers: </w:t>
      </w:r>
    </w:p>
    <w:p w14:paraId="2373292D" w14:textId="77777777" w:rsidR="0097115F" w:rsidRPr="001E266A" w:rsidRDefault="0097115F" w:rsidP="0097115F">
      <w:pPr>
        <w:pStyle w:val="ListParagraph"/>
        <w:rPr>
          <w:rFonts w:cs="Arial"/>
          <w:i/>
          <w:color w:val="000000"/>
          <w:lang w:val="en-US"/>
        </w:rPr>
      </w:pPr>
    </w:p>
    <w:p w14:paraId="421D9BB2" w14:textId="77777777" w:rsidR="004F77B0" w:rsidRPr="001E266A" w:rsidRDefault="004F77B0" w:rsidP="0097115F">
      <w:pPr>
        <w:autoSpaceDE w:val="0"/>
        <w:autoSpaceDN w:val="0"/>
        <w:adjustRightInd w:val="0"/>
        <w:spacing w:line="240" w:lineRule="auto"/>
        <w:ind w:left="1080"/>
        <w:rPr>
          <w:rFonts w:cs="Arial"/>
          <w:i/>
          <w:color w:val="000000"/>
          <w:lang w:val="en-US"/>
        </w:rPr>
      </w:pPr>
      <w:r w:rsidRPr="001E266A">
        <w:rPr>
          <w:rFonts w:cs="Arial"/>
          <w:i/>
          <w:color w:val="000000"/>
          <w:lang w:val="en-US"/>
        </w:rPr>
        <w:t xml:space="preserve">• The feasibility and costs including both implementation and potential liability costs of differentiating between legal and natural persons; </w:t>
      </w:r>
    </w:p>
    <w:p w14:paraId="04EAD8CE" w14:textId="77777777" w:rsidR="004F77B0" w:rsidRPr="001E266A" w:rsidRDefault="004F77B0" w:rsidP="0097115F">
      <w:pPr>
        <w:autoSpaceDE w:val="0"/>
        <w:autoSpaceDN w:val="0"/>
        <w:adjustRightInd w:val="0"/>
        <w:spacing w:line="240" w:lineRule="auto"/>
        <w:ind w:left="1080"/>
        <w:rPr>
          <w:rFonts w:cs="Arial"/>
          <w:i/>
          <w:color w:val="000000"/>
          <w:lang w:val="en-US"/>
        </w:rPr>
      </w:pPr>
      <w:r w:rsidRPr="001E266A">
        <w:rPr>
          <w:rFonts w:cs="Arial"/>
          <w:i/>
          <w:color w:val="000000"/>
          <w:lang w:val="en-US"/>
        </w:rPr>
        <w:t xml:space="preserve">• Examples of industries or other organizations that have successfully differentiated between legal and natural persons; </w:t>
      </w:r>
    </w:p>
    <w:p w14:paraId="408C01D8" w14:textId="77777777" w:rsidR="004F77B0" w:rsidRPr="001E266A" w:rsidRDefault="004F77B0" w:rsidP="0097115F">
      <w:pPr>
        <w:autoSpaceDE w:val="0"/>
        <w:autoSpaceDN w:val="0"/>
        <w:adjustRightInd w:val="0"/>
        <w:spacing w:line="240" w:lineRule="auto"/>
        <w:ind w:left="1080"/>
        <w:rPr>
          <w:rFonts w:cs="Arial"/>
          <w:i/>
          <w:color w:val="000000"/>
          <w:lang w:val="en-US"/>
        </w:rPr>
      </w:pPr>
      <w:r w:rsidRPr="001E266A">
        <w:rPr>
          <w:rFonts w:cs="Arial"/>
          <w:i/>
          <w:color w:val="000000"/>
          <w:lang w:val="en-US"/>
        </w:rPr>
        <w:t xml:space="preserve">• Privacy risks to registered name holders of differentiating between legal and natural persons; and </w:t>
      </w:r>
    </w:p>
    <w:p w14:paraId="53D39882" w14:textId="40E2F23B" w:rsidR="004F77B0" w:rsidRPr="001E266A" w:rsidRDefault="004F77B0" w:rsidP="0097115F">
      <w:pPr>
        <w:pStyle w:val="BodyTextIndent"/>
        <w:autoSpaceDE w:val="0"/>
        <w:autoSpaceDN w:val="0"/>
        <w:adjustRightInd w:val="0"/>
        <w:spacing w:line="240" w:lineRule="auto"/>
        <w:ind w:left="1080"/>
        <w:rPr>
          <w:rFonts w:ascii="Calibri" w:hAnsi="Calibri"/>
          <w:sz w:val="22"/>
          <w:szCs w:val="22"/>
          <w:lang w:val="en-US"/>
        </w:rPr>
      </w:pPr>
      <w:r w:rsidRPr="001E266A">
        <w:rPr>
          <w:rFonts w:ascii="Calibri" w:hAnsi="Calibri"/>
          <w:sz w:val="22"/>
          <w:szCs w:val="22"/>
          <w:lang w:val="en-US"/>
        </w:rPr>
        <w:t xml:space="preserve">• Other potential risks (if any) to registrars and registries of not differentiating. </w:t>
      </w:r>
    </w:p>
    <w:p w14:paraId="5D738C6F" w14:textId="02B54955" w:rsidR="0097115F" w:rsidRPr="001E266A" w:rsidRDefault="0097115F" w:rsidP="0097115F">
      <w:pPr>
        <w:pStyle w:val="BodyTextIndent"/>
        <w:autoSpaceDE w:val="0"/>
        <w:autoSpaceDN w:val="0"/>
        <w:adjustRightInd w:val="0"/>
        <w:spacing w:line="240" w:lineRule="auto"/>
        <w:rPr>
          <w:rFonts w:ascii="Calibri" w:hAnsi="Calibri"/>
          <w:sz w:val="22"/>
          <w:szCs w:val="22"/>
          <w:lang w:val="en-US"/>
        </w:rPr>
      </w:pPr>
    </w:p>
    <w:p w14:paraId="174BF5E7" w14:textId="3457049A" w:rsidR="0097115F" w:rsidRPr="001E266A" w:rsidRDefault="004F77B0" w:rsidP="0097115F">
      <w:pPr>
        <w:pStyle w:val="BodyText2"/>
        <w:numPr>
          <w:ilvl w:val="0"/>
          <w:numId w:val="13"/>
        </w:numPr>
        <w:rPr>
          <w:rFonts w:ascii="Calibri" w:hAnsi="Calibri"/>
          <w:i/>
          <w:sz w:val="22"/>
          <w:szCs w:val="22"/>
          <w:lang w:val="en-US"/>
        </w:rPr>
      </w:pPr>
      <w:r w:rsidRPr="001E266A">
        <w:rPr>
          <w:rFonts w:ascii="Calibri" w:hAnsi="Calibri"/>
          <w:i/>
          <w:sz w:val="22"/>
          <w:szCs w:val="22"/>
          <w:lang w:val="en-US"/>
        </w:rPr>
        <w:t>The EPDP Team will discuss the Legal vs. Natural issue in Phase 2. Depending on the timing of the research, its discussions may inform the scope of research and/or use its findings.</w:t>
      </w:r>
    </w:p>
    <w:p w14:paraId="18CE3045" w14:textId="77777777" w:rsidR="00F53C8E" w:rsidRPr="001E266A" w:rsidRDefault="00F53C8E" w:rsidP="00F53C8E">
      <w:pPr>
        <w:ind w:left="720"/>
        <w:rPr>
          <w:rFonts w:cs="Arial"/>
        </w:rPr>
      </w:pPr>
    </w:p>
    <w:p w14:paraId="4745DE61" w14:textId="35DE7A9E" w:rsidR="00F53C8E" w:rsidRPr="001E266A" w:rsidRDefault="00F53C8E" w:rsidP="00F53C8E">
      <w:pPr>
        <w:ind w:left="720"/>
        <w:rPr>
          <w:rFonts w:cs="Arial"/>
        </w:rPr>
      </w:pPr>
      <w:r w:rsidRPr="001E266A">
        <w:rPr>
          <w:rFonts w:cs="Arial"/>
        </w:rPr>
        <w:t xml:space="preserve">The GAC would recommend that the temporary specification require contracted parties to treat legal and natural persons differently because, the GDPR “does not cover processing of personal data which concerns legal persons.” (Recital 14).  Hence, </w:t>
      </w:r>
      <w:proofErr w:type="gramStart"/>
      <w:r w:rsidRPr="001E266A">
        <w:rPr>
          <w:rFonts w:cs="Arial"/>
        </w:rPr>
        <w:t xml:space="preserve">as </w:t>
      </w:r>
      <w:r w:rsidR="00E24BC9" w:rsidRPr="001E266A">
        <w:rPr>
          <w:rFonts w:cs="Arial"/>
        </w:rPr>
        <w:t xml:space="preserve"> the</w:t>
      </w:r>
      <w:proofErr w:type="gramEnd"/>
      <w:r w:rsidR="00E24BC9" w:rsidRPr="001E266A">
        <w:rPr>
          <w:rFonts w:cs="Arial"/>
        </w:rPr>
        <w:t xml:space="preserve"> GAC </w:t>
      </w:r>
      <w:r w:rsidRPr="001E266A">
        <w:rPr>
          <w:rFonts w:cs="Arial"/>
        </w:rPr>
        <w:t xml:space="preserve">recognized in </w:t>
      </w:r>
      <w:r w:rsidR="00E24BC9" w:rsidRPr="001E266A">
        <w:rPr>
          <w:rFonts w:cs="Arial"/>
        </w:rPr>
        <w:t xml:space="preserve">its </w:t>
      </w:r>
      <w:r w:rsidRPr="001E266A">
        <w:rPr>
          <w:rFonts w:cs="Arial"/>
        </w:rPr>
        <w:t xml:space="preserve">San Juan Communique advice, the personal information of legal persons should be part of the publicly available WHOIS data.  </w:t>
      </w:r>
      <w:proofErr w:type="gramStart"/>
      <w:r w:rsidRPr="001E266A">
        <w:rPr>
          <w:rFonts w:cs="Arial"/>
        </w:rPr>
        <w:t xml:space="preserve">Hence, </w:t>
      </w:r>
      <w:r w:rsidR="00E24BC9" w:rsidRPr="001E266A">
        <w:rPr>
          <w:rFonts w:cs="Arial"/>
        </w:rPr>
        <w:t xml:space="preserve"> the</w:t>
      </w:r>
      <w:proofErr w:type="gramEnd"/>
      <w:r w:rsidR="00E24BC9" w:rsidRPr="001E266A">
        <w:rPr>
          <w:rFonts w:cs="Arial"/>
        </w:rPr>
        <w:t xml:space="preserve"> GAC </w:t>
      </w:r>
      <w:proofErr w:type="spellStart"/>
      <w:r w:rsidRPr="001E266A">
        <w:rPr>
          <w:rFonts w:cs="Arial"/>
        </w:rPr>
        <w:t>support</w:t>
      </w:r>
      <w:r w:rsidR="00E24BC9" w:rsidRPr="001E266A">
        <w:rPr>
          <w:rFonts w:cs="Arial"/>
        </w:rPr>
        <w:t>S</w:t>
      </w:r>
      <w:proofErr w:type="spellEnd"/>
      <w:r w:rsidRPr="001E266A">
        <w:rPr>
          <w:rFonts w:cs="Arial"/>
        </w:rPr>
        <w:t xml:space="preserve"> this recommendation in that it provides for further study of this topic</w:t>
      </w:r>
      <w:r w:rsidR="00E24BC9" w:rsidRPr="001E266A">
        <w:rPr>
          <w:rFonts w:cs="Arial"/>
        </w:rPr>
        <w:t xml:space="preserve"> in Phase II</w:t>
      </w:r>
      <w:r w:rsidRPr="001E266A">
        <w:rPr>
          <w:rFonts w:cs="Arial"/>
        </w:rPr>
        <w:t xml:space="preserve">.  However, </w:t>
      </w:r>
      <w:r w:rsidR="00E24BC9" w:rsidRPr="001E266A">
        <w:rPr>
          <w:rFonts w:cs="Arial"/>
        </w:rPr>
        <w:t xml:space="preserve">the GAC </w:t>
      </w:r>
      <w:r w:rsidRPr="001E266A">
        <w:rPr>
          <w:rFonts w:cs="Arial"/>
        </w:rPr>
        <w:t>note</w:t>
      </w:r>
      <w:r w:rsidR="000938BF" w:rsidRPr="001E266A">
        <w:rPr>
          <w:rFonts w:cs="Arial"/>
        </w:rPr>
        <w:t>s</w:t>
      </w:r>
      <w:r w:rsidRPr="001E266A">
        <w:rPr>
          <w:rFonts w:cs="Arial"/>
        </w:rPr>
        <w:t xml:space="preserve"> that the Recommendation discusses only the risks and costs of this differentiation but does not mention the benefits of this distinction.  Hence</w:t>
      </w:r>
      <w:r w:rsidR="00E24BC9" w:rsidRPr="001E266A">
        <w:rPr>
          <w:rFonts w:cs="Arial"/>
        </w:rPr>
        <w:t xml:space="preserve"> the GAC</w:t>
      </w:r>
      <w:r w:rsidRPr="001E266A">
        <w:rPr>
          <w:rFonts w:cs="Arial"/>
        </w:rPr>
        <w:t xml:space="preserve"> recommend</w:t>
      </w:r>
      <w:r w:rsidR="000938BF" w:rsidRPr="001E266A">
        <w:rPr>
          <w:rFonts w:cs="Arial"/>
        </w:rPr>
        <w:t>s</w:t>
      </w:r>
      <w:r w:rsidRPr="001E266A">
        <w:rPr>
          <w:rFonts w:cs="Arial"/>
        </w:rPr>
        <w:t xml:space="preserve"> that the study include an examination of </w:t>
      </w:r>
      <w:r w:rsidR="00D31455" w:rsidRPr="001E266A">
        <w:rPr>
          <w:rFonts w:cs="Arial"/>
        </w:rPr>
        <w:t>the benefits</w:t>
      </w:r>
      <w:r w:rsidRPr="001E266A">
        <w:rPr>
          <w:rFonts w:cs="Arial"/>
        </w:rPr>
        <w:t xml:space="preserve"> of providing this information to the public.       </w:t>
      </w:r>
    </w:p>
    <w:p w14:paraId="1D0A987C" w14:textId="7CA87ABE" w:rsidR="0097115F" w:rsidRPr="001E266A" w:rsidRDefault="0097115F" w:rsidP="0097115F">
      <w:pPr>
        <w:pStyle w:val="BodyText2"/>
        <w:rPr>
          <w:rFonts w:ascii="Calibri" w:hAnsi="Calibri"/>
          <w:sz w:val="22"/>
          <w:szCs w:val="22"/>
          <w:lang w:val="en-US"/>
        </w:rPr>
      </w:pPr>
    </w:p>
    <w:p w14:paraId="21CA2A7D" w14:textId="77777777" w:rsidR="0097115F" w:rsidRPr="001E266A" w:rsidRDefault="0097115F" w:rsidP="0097115F">
      <w:pPr>
        <w:pStyle w:val="BodyText2"/>
        <w:ind w:left="1080"/>
        <w:rPr>
          <w:rFonts w:ascii="Calibri" w:hAnsi="Calibri"/>
          <w:b/>
          <w:sz w:val="22"/>
          <w:szCs w:val="22"/>
        </w:rPr>
      </w:pPr>
    </w:p>
    <w:p w14:paraId="34E9C452" w14:textId="1610E913" w:rsidR="00AE31C5" w:rsidRPr="001E266A" w:rsidRDefault="00AE31C5" w:rsidP="0097115F">
      <w:pPr>
        <w:pStyle w:val="BodyText2"/>
        <w:rPr>
          <w:rFonts w:ascii="Calibri" w:hAnsi="Calibri"/>
          <w:b/>
          <w:sz w:val="22"/>
          <w:szCs w:val="22"/>
        </w:rPr>
      </w:pPr>
      <w:r w:rsidRPr="001E266A">
        <w:rPr>
          <w:rFonts w:ascii="Calibri" w:hAnsi="Calibri"/>
          <w:b/>
          <w:sz w:val="22"/>
          <w:szCs w:val="22"/>
        </w:rPr>
        <w:t>Recommendation 18 (reasonable requests for Lawful Disclosure of Nonpublic Data)</w:t>
      </w:r>
    </w:p>
    <w:p w14:paraId="7540A9B7" w14:textId="77777777" w:rsidR="005E59D4" w:rsidRPr="001E266A" w:rsidRDefault="005E59D4" w:rsidP="005E59D4">
      <w:pPr>
        <w:pStyle w:val="Heading1"/>
        <w:rPr>
          <w:rFonts w:cs="Arial"/>
          <w:b w:val="0"/>
        </w:rPr>
      </w:pPr>
      <w:bookmarkStart w:id="7" w:name="_nhbn15ddsxjq" w:colFirst="0" w:colLast="0"/>
      <w:bookmarkEnd w:id="7"/>
    </w:p>
    <w:p w14:paraId="74CAEEAD" w14:textId="1F84165A" w:rsidR="0043404F" w:rsidRPr="001E266A" w:rsidRDefault="005E59D4" w:rsidP="001E266A">
      <w:pPr>
        <w:pStyle w:val="Heading1"/>
        <w:rPr>
          <w:rFonts w:cs="Arial"/>
        </w:rPr>
      </w:pPr>
      <w:r w:rsidRPr="001E266A">
        <w:rPr>
          <w:rFonts w:cs="Arial"/>
          <w:b w:val="0"/>
        </w:rPr>
        <w:t xml:space="preserve">The GAC believes the recommendation provides much </w:t>
      </w:r>
      <w:r w:rsidR="002D4F00" w:rsidRPr="001E266A">
        <w:rPr>
          <w:rFonts w:cs="Arial"/>
          <w:b w:val="0"/>
        </w:rPr>
        <w:t xml:space="preserve">greater </w:t>
      </w:r>
      <w:r w:rsidR="0090041E" w:rsidRPr="001E266A">
        <w:rPr>
          <w:rFonts w:cs="Arial"/>
          <w:b w:val="0"/>
        </w:rPr>
        <w:t xml:space="preserve">clarity around </w:t>
      </w:r>
      <w:r w:rsidR="002D4F00" w:rsidRPr="001E266A">
        <w:rPr>
          <w:rFonts w:cs="Arial"/>
          <w:b w:val="0"/>
        </w:rPr>
        <w:t xml:space="preserve">the matter of requesting disclosure of redacted information, for both the requester of the information and the contracted parties.  </w:t>
      </w:r>
      <w:bookmarkStart w:id="8" w:name="_ivi9i8yp093n" w:colFirst="0" w:colLast="0"/>
      <w:bookmarkStart w:id="9" w:name="_6iambkr3di6u" w:colFirst="0" w:colLast="0"/>
      <w:bookmarkStart w:id="10" w:name="_d4991snxh3ho" w:colFirst="0" w:colLast="0"/>
      <w:bookmarkStart w:id="11" w:name="_qrasypl5llxr" w:colFirst="0" w:colLast="0"/>
      <w:bookmarkStart w:id="12" w:name="_ycxz4b2yx9oq" w:colFirst="0" w:colLast="0"/>
      <w:bookmarkStart w:id="13" w:name="_9hvlhhg0ktpj" w:colFirst="0" w:colLast="0"/>
      <w:bookmarkEnd w:id="8"/>
      <w:bookmarkEnd w:id="9"/>
      <w:bookmarkEnd w:id="10"/>
      <w:bookmarkEnd w:id="11"/>
      <w:bookmarkEnd w:id="12"/>
      <w:bookmarkEnd w:id="13"/>
      <w:r w:rsidR="002D4F00" w:rsidRPr="001E266A">
        <w:rPr>
          <w:rFonts w:cs="Arial"/>
          <w:b w:val="0"/>
        </w:rPr>
        <w:t xml:space="preserve">However, there remain areas that would benefit from greater clarity, including timeframes in which contracted parties will resolve requests for disclosure. </w:t>
      </w:r>
      <w:r w:rsidR="00E54F22" w:rsidRPr="001E266A">
        <w:rPr>
          <w:rFonts w:cs="Arial"/>
          <w:b w:val="0"/>
        </w:rPr>
        <w:t xml:space="preserve"> The GAC would like to see timeframes for disclosure request resolution to be considered in the near term and prior to policy implementation if practicable.  </w:t>
      </w:r>
    </w:p>
    <w:p w14:paraId="5ED75A75" w14:textId="77777777" w:rsidR="00A87B41" w:rsidRPr="001E266A" w:rsidRDefault="00A87B41">
      <w:pPr>
        <w:rPr>
          <w:rFonts w:cs="Arial"/>
        </w:rPr>
      </w:pPr>
    </w:p>
    <w:p w14:paraId="47F48CCA" w14:textId="3BD8F284" w:rsidR="00E54F22" w:rsidRPr="001E266A" w:rsidRDefault="00E54F22" w:rsidP="00A87B41">
      <w:pPr>
        <w:pStyle w:val="Heading7"/>
        <w:rPr>
          <w:rFonts w:ascii="Calibri" w:hAnsi="Calibri"/>
          <w:sz w:val="22"/>
          <w:szCs w:val="22"/>
        </w:rPr>
      </w:pPr>
      <w:r w:rsidRPr="001E266A">
        <w:rPr>
          <w:rFonts w:ascii="Calibri" w:hAnsi="Calibri"/>
          <w:sz w:val="22"/>
          <w:szCs w:val="22"/>
        </w:rPr>
        <w:t>European Data Protection Board Guidance</w:t>
      </w:r>
    </w:p>
    <w:p w14:paraId="0CDC8115" w14:textId="3EA07711" w:rsidR="00E54F22" w:rsidRPr="001E266A" w:rsidRDefault="00E54F22" w:rsidP="001E266A"/>
    <w:p w14:paraId="2D049028" w14:textId="35052ABE" w:rsidR="00E54F22" w:rsidRPr="001E266A" w:rsidRDefault="00E54F22" w:rsidP="001E266A">
      <w:r w:rsidRPr="001E266A">
        <w:rPr>
          <w:rFonts w:cs="Arial"/>
        </w:rPr>
        <w:t>The GAC recognizes the considerable effort and time taken by the EPDP in developing the Phase I Final Report.  The GAC asks that a legal review be undertaken to ensure that the purposes referenced in the Phase 1 Final Report take into account previous guidance provided by the European Data Protection Board (EDPB) and Article 29 Working Group</w:t>
      </w:r>
      <w:r w:rsidR="000938BF" w:rsidRPr="001E266A">
        <w:rPr>
          <w:rFonts w:cs="Arial"/>
        </w:rPr>
        <w:t xml:space="preserve"> (WP29)</w:t>
      </w:r>
      <w:r w:rsidRPr="001E266A">
        <w:rPr>
          <w:rFonts w:cs="Arial"/>
        </w:rPr>
        <w:t>.  Specifically, that ICANN:</w:t>
      </w:r>
    </w:p>
    <w:p w14:paraId="266F54D0" w14:textId="33E8F87F" w:rsidR="00E54F22" w:rsidRPr="001E266A" w:rsidRDefault="00E54F22" w:rsidP="001E266A"/>
    <w:p w14:paraId="6D9C552A" w14:textId="6F44CC5F" w:rsidR="00E54F22" w:rsidRPr="001E266A" w:rsidRDefault="00E54F22" w:rsidP="001E266A">
      <w:pPr>
        <w:pStyle w:val="ListParagraph"/>
        <w:numPr>
          <w:ilvl w:val="0"/>
          <w:numId w:val="18"/>
        </w:numPr>
        <w:spacing w:line="240" w:lineRule="auto"/>
        <w:rPr>
          <w:rFonts w:cs="Arial"/>
        </w:rPr>
      </w:pPr>
      <w:r w:rsidRPr="001E266A">
        <w:rPr>
          <w:rFonts w:cs="Arial"/>
        </w:rPr>
        <w:t>explicitly define legitimate purposes in a way which comports with the requirements of GDPR</w:t>
      </w:r>
      <w:r w:rsidRPr="001E266A">
        <w:rPr>
          <w:rStyle w:val="FootnoteReference"/>
          <w:rFonts w:cs="Arial"/>
        </w:rPr>
        <w:footnoteReference w:id="2"/>
      </w:r>
      <w:r w:rsidRPr="001E266A">
        <w:rPr>
          <w:rFonts w:cs="Arial"/>
        </w:rPr>
        <w:t xml:space="preserve"> </w:t>
      </w:r>
    </w:p>
    <w:p w14:paraId="217C2E69" w14:textId="1865441D" w:rsidR="00E54F22" w:rsidRPr="001E266A" w:rsidRDefault="00E54F22" w:rsidP="001E266A">
      <w:pPr>
        <w:pStyle w:val="ListParagraph"/>
        <w:numPr>
          <w:ilvl w:val="0"/>
          <w:numId w:val="18"/>
        </w:numPr>
        <w:spacing w:line="240" w:lineRule="auto"/>
        <w:rPr>
          <w:rFonts w:cs="Arial"/>
        </w:rPr>
      </w:pPr>
      <w:r w:rsidRPr="001E266A">
        <w:rPr>
          <w:rFonts w:cs="Arial"/>
        </w:rPr>
        <w:t>take care in defining purposes in a manner which corresponds to its own organizational mission and mandate / do not conflate purpose</w:t>
      </w:r>
      <w:r w:rsidR="000938BF" w:rsidRPr="001E266A">
        <w:rPr>
          <w:rStyle w:val="FootnoteReference"/>
          <w:rFonts w:cs="Arial"/>
        </w:rPr>
        <w:footnoteReference w:id="3"/>
      </w:r>
      <w:r w:rsidRPr="001E266A">
        <w:rPr>
          <w:rFonts w:cs="Arial"/>
        </w:rPr>
        <w:t xml:space="preserve"> </w:t>
      </w:r>
    </w:p>
    <w:p w14:paraId="340D3941" w14:textId="4266118A" w:rsidR="00E54F22" w:rsidRPr="001E266A" w:rsidRDefault="00E54F22" w:rsidP="001E266A">
      <w:pPr>
        <w:pStyle w:val="ListParagraph"/>
        <w:numPr>
          <w:ilvl w:val="0"/>
          <w:numId w:val="18"/>
        </w:numPr>
        <w:spacing w:line="240" w:lineRule="auto"/>
        <w:rPr>
          <w:rFonts w:cs="Arial"/>
        </w:rPr>
      </w:pPr>
      <w:r w:rsidRPr="001E266A">
        <w:rPr>
          <w:rFonts w:cs="Arial"/>
        </w:rPr>
        <w:t>that purposes be detailed enough</w:t>
      </w:r>
      <w:r w:rsidR="000938BF" w:rsidRPr="001E266A">
        <w:rPr>
          <w:rStyle w:val="FootnoteReference"/>
          <w:rFonts w:cs="Arial"/>
        </w:rPr>
        <w:footnoteReference w:id="4"/>
      </w:r>
      <w:r w:rsidRPr="001E266A">
        <w:rPr>
          <w:rFonts w:cs="Arial"/>
        </w:rPr>
        <w:t xml:space="preserve"> </w:t>
      </w:r>
    </w:p>
    <w:p w14:paraId="7B8AB46C" w14:textId="48EE7643" w:rsidR="00E54F22" w:rsidRPr="001E266A" w:rsidRDefault="00E54F22" w:rsidP="00A87B41">
      <w:pPr>
        <w:pStyle w:val="Heading7"/>
        <w:rPr>
          <w:rFonts w:ascii="Calibri" w:hAnsi="Calibri"/>
          <w:sz w:val="22"/>
          <w:szCs w:val="22"/>
        </w:rPr>
      </w:pPr>
    </w:p>
    <w:p w14:paraId="4D9493E4" w14:textId="00D92313" w:rsidR="00A87B41" w:rsidRPr="001E266A" w:rsidRDefault="00A87B41" w:rsidP="00A87B41">
      <w:pPr>
        <w:pStyle w:val="Heading7"/>
        <w:rPr>
          <w:rFonts w:ascii="Calibri" w:hAnsi="Calibri"/>
          <w:sz w:val="22"/>
          <w:szCs w:val="22"/>
        </w:rPr>
      </w:pPr>
      <w:r w:rsidRPr="001E266A">
        <w:rPr>
          <w:rFonts w:ascii="Calibri" w:hAnsi="Calibri"/>
          <w:sz w:val="22"/>
          <w:szCs w:val="22"/>
        </w:rPr>
        <w:t xml:space="preserve">Importance of Quickly Starting Phase 2 Deliberations </w:t>
      </w:r>
    </w:p>
    <w:p w14:paraId="60618829" w14:textId="0B113DD5" w:rsidR="00635555" w:rsidRPr="001E266A" w:rsidRDefault="00635555">
      <w:pPr>
        <w:rPr>
          <w:rFonts w:cs="Arial"/>
        </w:rPr>
      </w:pPr>
    </w:p>
    <w:p w14:paraId="2F7DD8CA" w14:textId="06C37BF7" w:rsidR="00C26AC3" w:rsidRPr="001E266A" w:rsidRDefault="00C26AC3">
      <w:pPr>
        <w:rPr>
          <w:rFonts w:cs="Arial"/>
        </w:rPr>
      </w:pPr>
      <w:r w:rsidRPr="001E266A">
        <w:rPr>
          <w:rFonts w:cs="Arial"/>
        </w:rPr>
        <w:t xml:space="preserve">The GAC urges the prompt start to Phase 2 </w:t>
      </w:r>
      <w:r w:rsidR="004E3057" w:rsidRPr="001E266A">
        <w:rPr>
          <w:rFonts w:cs="Arial"/>
        </w:rPr>
        <w:t xml:space="preserve">deliberations </w:t>
      </w:r>
      <w:r w:rsidRPr="001E266A">
        <w:rPr>
          <w:rFonts w:cs="Arial"/>
        </w:rPr>
        <w:t xml:space="preserve">which contains a number of crucial issues including the procedures, criteria, and parameters of how to access non-public registration directory information. </w:t>
      </w:r>
    </w:p>
    <w:p w14:paraId="2EE03B8B" w14:textId="4925302A" w:rsidR="00C26AC3" w:rsidRPr="001E266A" w:rsidRDefault="00C26AC3">
      <w:pPr>
        <w:rPr>
          <w:rFonts w:cs="Arial"/>
        </w:rPr>
      </w:pPr>
    </w:p>
    <w:p w14:paraId="32B59B51" w14:textId="056B4F01" w:rsidR="00C26AC3" w:rsidRPr="001E266A" w:rsidRDefault="00C26AC3" w:rsidP="00C26AC3">
      <w:pPr>
        <w:pStyle w:val="Heading7"/>
        <w:rPr>
          <w:rFonts w:ascii="Calibri" w:hAnsi="Calibri"/>
          <w:sz w:val="22"/>
          <w:szCs w:val="22"/>
        </w:rPr>
      </w:pPr>
      <w:r w:rsidRPr="001E266A">
        <w:rPr>
          <w:rFonts w:ascii="Calibri" w:hAnsi="Calibri"/>
          <w:sz w:val="22"/>
          <w:szCs w:val="22"/>
        </w:rPr>
        <w:t>Improvements for Future Work</w:t>
      </w:r>
    </w:p>
    <w:p w14:paraId="00C27B63" w14:textId="73A19808" w:rsidR="00C26AC3" w:rsidRPr="001E266A" w:rsidRDefault="00C26AC3">
      <w:pPr>
        <w:rPr>
          <w:rFonts w:cs="Arial"/>
          <w:b/>
        </w:rPr>
      </w:pPr>
    </w:p>
    <w:p w14:paraId="0CA99478" w14:textId="1765478D" w:rsidR="00635555" w:rsidRPr="001E266A" w:rsidRDefault="00C26AC3" w:rsidP="00082906">
      <w:pPr>
        <w:pStyle w:val="BodyText2"/>
        <w:rPr>
          <w:rFonts w:ascii="Calibri" w:hAnsi="Calibri"/>
          <w:color w:val="0000FF"/>
          <w:sz w:val="22"/>
          <w:szCs w:val="22"/>
        </w:rPr>
      </w:pPr>
      <w:r w:rsidRPr="001E266A">
        <w:rPr>
          <w:rFonts w:ascii="Calibri" w:hAnsi="Calibri"/>
          <w:sz w:val="22"/>
          <w:szCs w:val="22"/>
        </w:rPr>
        <w:t xml:space="preserve">While the </w:t>
      </w:r>
      <w:proofErr w:type="gramStart"/>
      <w:r w:rsidRPr="001E266A">
        <w:rPr>
          <w:rFonts w:ascii="Calibri" w:hAnsi="Calibri"/>
          <w:sz w:val="22"/>
          <w:szCs w:val="22"/>
        </w:rPr>
        <w:t xml:space="preserve">GAC </w:t>
      </w:r>
      <w:r w:rsidR="00FF005B" w:rsidRPr="001E266A">
        <w:rPr>
          <w:rFonts w:ascii="Calibri" w:hAnsi="Calibri"/>
          <w:sz w:val="22"/>
          <w:szCs w:val="22"/>
        </w:rPr>
        <w:t xml:space="preserve"> appreciates</w:t>
      </w:r>
      <w:proofErr w:type="gramEnd"/>
      <w:r w:rsidR="00FF005B" w:rsidRPr="001E266A">
        <w:rPr>
          <w:rFonts w:ascii="Calibri" w:hAnsi="Calibri"/>
          <w:sz w:val="22"/>
          <w:szCs w:val="22"/>
        </w:rPr>
        <w:t xml:space="preserve"> </w:t>
      </w:r>
      <w:r w:rsidRPr="001E266A">
        <w:rPr>
          <w:rFonts w:ascii="Calibri" w:hAnsi="Calibri"/>
          <w:sz w:val="22"/>
          <w:szCs w:val="22"/>
        </w:rPr>
        <w:t xml:space="preserve">the work of the </w:t>
      </w:r>
      <w:r w:rsidR="004E3057" w:rsidRPr="001E266A">
        <w:rPr>
          <w:rFonts w:ascii="Calibri" w:hAnsi="Calibri"/>
          <w:sz w:val="22"/>
          <w:szCs w:val="22"/>
        </w:rPr>
        <w:t>first ever EPDP</w:t>
      </w:r>
      <w:r w:rsidRPr="001E266A">
        <w:rPr>
          <w:rFonts w:ascii="Calibri" w:hAnsi="Calibri"/>
          <w:sz w:val="22"/>
          <w:szCs w:val="22"/>
        </w:rPr>
        <w:t>, nevertheless certain changes would improve the efficiency of future work.  First, there should be sufficient time to review and consider proposed text and edits prior to con</w:t>
      </w:r>
      <w:r w:rsidR="005D6C4F" w:rsidRPr="001E266A">
        <w:rPr>
          <w:rFonts w:ascii="Calibri" w:hAnsi="Calibri"/>
          <w:sz w:val="22"/>
          <w:szCs w:val="22"/>
        </w:rPr>
        <w:t>sen</w:t>
      </w:r>
      <w:r w:rsidRPr="001E266A">
        <w:rPr>
          <w:rFonts w:ascii="Calibri" w:hAnsi="Calibri"/>
          <w:sz w:val="22"/>
          <w:szCs w:val="22"/>
        </w:rPr>
        <w:t>sus calls.</w:t>
      </w:r>
      <w:r w:rsidR="005D6C4F" w:rsidRPr="001E266A">
        <w:rPr>
          <w:rFonts w:ascii="Calibri" w:hAnsi="Calibri"/>
          <w:sz w:val="22"/>
          <w:szCs w:val="22"/>
        </w:rPr>
        <w:t xml:space="preserve">  Second, there should be deadlines for changes to avoid “re-litigating” previously agreed upon positions.  Third, when necessary, interventions should be limited to an agreed upon </w:t>
      </w:r>
      <w:r w:rsidR="001C45B8" w:rsidRPr="001E266A">
        <w:rPr>
          <w:rFonts w:ascii="Calibri" w:hAnsi="Calibri"/>
          <w:sz w:val="22"/>
          <w:szCs w:val="22"/>
        </w:rPr>
        <w:t>amount of time</w:t>
      </w:r>
      <w:r w:rsidR="00124BAE" w:rsidRPr="001E266A">
        <w:rPr>
          <w:rFonts w:ascii="Calibri" w:hAnsi="Calibri"/>
          <w:sz w:val="22"/>
          <w:szCs w:val="22"/>
        </w:rPr>
        <w:t xml:space="preserve">. </w:t>
      </w:r>
      <w:r w:rsidR="005D6C4F" w:rsidRPr="001E266A">
        <w:rPr>
          <w:rFonts w:ascii="Calibri" w:hAnsi="Calibri"/>
          <w:sz w:val="22"/>
          <w:szCs w:val="22"/>
        </w:rPr>
        <w:t xml:space="preserve">Finally, the </w:t>
      </w:r>
      <w:r w:rsidR="00FF005B" w:rsidRPr="001E266A">
        <w:rPr>
          <w:rFonts w:ascii="Calibri" w:hAnsi="Calibri"/>
          <w:sz w:val="22"/>
          <w:szCs w:val="22"/>
        </w:rPr>
        <w:t xml:space="preserve">GNSO is </w:t>
      </w:r>
      <w:r w:rsidR="001C45B8" w:rsidRPr="001E266A">
        <w:rPr>
          <w:rFonts w:ascii="Calibri" w:hAnsi="Calibri"/>
          <w:sz w:val="22"/>
          <w:szCs w:val="22"/>
        </w:rPr>
        <w:t xml:space="preserve">urged </w:t>
      </w:r>
      <w:r w:rsidR="00FF005B" w:rsidRPr="001E266A">
        <w:rPr>
          <w:rFonts w:ascii="Calibri" w:hAnsi="Calibri"/>
          <w:sz w:val="22"/>
          <w:szCs w:val="22"/>
        </w:rPr>
        <w:t xml:space="preserve">to </w:t>
      </w:r>
      <w:proofErr w:type="gramStart"/>
      <w:r w:rsidR="001C45B8" w:rsidRPr="001E266A">
        <w:rPr>
          <w:rFonts w:ascii="Calibri" w:hAnsi="Calibri"/>
          <w:sz w:val="22"/>
          <w:szCs w:val="22"/>
        </w:rPr>
        <w:t xml:space="preserve">permit </w:t>
      </w:r>
      <w:r w:rsidR="00FF005B" w:rsidRPr="001E266A">
        <w:rPr>
          <w:rFonts w:ascii="Calibri" w:hAnsi="Calibri"/>
          <w:sz w:val="22"/>
          <w:szCs w:val="22"/>
        </w:rPr>
        <w:t xml:space="preserve"> </w:t>
      </w:r>
      <w:r w:rsidR="005D6C4F" w:rsidRPr="001E266A">
        <w:rPr>
          <w:rFonts w:ascii="Calibri" w:hAnsi="Calibri"/>
          <w:sz w:val="22"/>
          <w:szCs w:val="22"/>
        </w:rPr>
        <w:t>observers</w:t>
      </w:r>
      <w:proofErr w:type="gramEnd"/>
      <w:r w:rsidR="005D6C4F" w:rsidRPr="001E266A">
        <w:rPr>
          <w:rFonts w:ascii="Calibri" w:hAnsi="Calibri"/>
          <w:sz w:val="22"/>
          <w:szCs w:val="22"/>
        </w:rPr>
        <w:t xml:space="preserve"> to the working group  access to the fully functioning adobe connect room so that they can scroll through comments in the chat and confer with their counterparts in real-time.   </w:t>
      </w:r>
      <w:r w:rsidRPr="001E266A">
        <w:rPr>
          <w:rFonts w:ascii="Calibri" w:hAnsi="Calibri"/>
          <w:sz w:val="22"/>
          <w:szCs w:val="22"/>
        </w:rPr>
        <w:t xml:space="preserve">   </w:t>
      </w:r>
      <w:bookmarkStart w:id="14" w:name="_myenbzr5vdtd" w:colFirst="0" w:colLast="0"/>
      <w:bookmarkEnd w:id="14"/>
    </w:p>
    <w:p w14:paraId="631BCD12" w14:textId="77777777" w:rsidR="001E266A" w:rsidRPr="001E266A" w:rsidRDefault="001E266A">
      <w:pPr>
        <w:pStyle w:val="BodyText2"/>
        <w:rPr>
          <w:rFonts w:ascii="Calibri" w:hAnsi="Calibri"/>
          <w:color w:val="0000FF"/>
          <w:sz w:val="20"/>
          <w:szCs w:val="20"/>
        </w:rPr>
      </w:pPr>
    </w:p>
    <w:sectPr w:rsidR="001E266A" w:rsidRPr="001E266A" w:rsidSect="009A56E5">
      <w:headerReference w:type="default" r:id="rId11"/>
      <w:pgSz w:w="11906" w:h="16838"/>
      <w:pgMar w:top="720" w:right="1134" w:bottom="720"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898B0" w14:textId="77777777" w:rsidR="00E8227F" w:rsidRDefault="00E8227F" w:rsidP="009A56E5">
      <w:pPr>
        <w:spacing w:line="240" w:lineRule="auto"/>
      </w:pPr>
      <w:r>
        <w:separator/>
      </w:r>
    </w:p>
  </w:endnote>
  <w:endnote w:type="continuationSeparator" w:id="0">
    <w:p w14:paraId="5173665C" w14:textId="77777777" w:rsidR="00E8227F" w:rsidRDefault="00E8227F" w:rsidP="009A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E5560" w14:textId="77777777" w:rsidR="001E266A" w:rsidRDefault="001E266A">
    <w:pPr>
      <w:pStyle w:val="Footer"/>
      <w:jc w:val="center"/>
    </w:pPr>
  </w:p>
  <w:p w14:paraId="495E25CE" w14:textId="6423EBD3" w:rsidR="001E266A" w:rsidRPr="001E266A" w:rsidRDefault="001E266A" w:rsidP="001E266A">
    <w:pPr>
      <w:pStyle w:val="Footer"/>
      <w:pBdr>
        <w:top w:val="single" w:sz="4" w:space="3" w:color="244060"/>
      </w:pBdr>
      <w:tabs>
        <w:tab w:val="right" w:pos="8931"/>
        <w:tab w:val="right" w:pos="9638"/>
      </w:tabs>
      <w:ind w:right="-1"/>
      <w:rPr>
        <w:rFonts w:ascii="Century Gothic" w:hAnsi="Century Gothic"/>
        <w:b/>
        <w:color w:val="244061" w:themeColor="accent1" w:themeShade="80"/>
        <w:sz w:val="12"/>
        <w:szCs w:val="12"/>
        <w:lang w:val="en-AU"/>
      </w:rPr>
    </w:pPr>
    <w:r w:rsidRPr="001E266A">
      <w:rPr>
        <w:rFonts w:ascii="Century Gothic" w:hAnsi="Century Gothic"/>
        <w:color w:val="244061" w:themeColor="accent1" w:themeShade="80"/>
        <w:sz w:val="12"/>
        <w:szCs w:val="12"/>
        <w:lang w:val="en-US"/>
      </w:rPr>
      <w:t>Governmental Advisory Committee Input on the Draft Final Report of the Expedited Policy Development Process (EPDP) on gTLD Registration Data</w:t>
    </w:r>
    <w:r>
      <w:rPr>
        <w:rFonts w:ascii="Century Gothic" w:hAnsi="Century Gothic"/>
        <w:color w:val="244061" w:themeColor="accent1" w:themeShade="80"/>
        <w:sz w:val="12"/>
        <w:szCs w:val="12"/>
      </w:rPr>
      <w:tab/>
    </w:r>
    <w:r>
      <w:rPr>
        <w:rFonts w:ascii="Century Gothic" w:hAnsi="Century Gothic"/>
        <w:color w:val="244061" w:themeColor="accent1" w:themeShade="80"/>
        <w:sz w:val="12"/>
        <w:szCs w:val="12"/>
      </w:rPr>
      <w:tab/>
    </w:r>
    <w:r>
      <w:rPr>
        <w:rFonts w:ascii="Century Gothic" w:hAnsi="Century Gothic"/>
        <w:color w:val="244061" w:themeColor="accent1" w:themeShade="80"/>
        <w:sz w:val="12"/>
        <w:szCs w:val="12"/>
      </w:rPr>
      <w:tab/>
      <w:t xml:space="preserve">Page </w:t>
    </w:r>
    <w:r>
      <w:rPr>
        <w:rFonts w:ascii="Century Gothic" w:hAnsi="Century Gothic"/>
        <w:color w:val="244061" w:themeColor="accent1" w:themeShade="80"/>
        <w:sz w:val="12"/>
        <w:szCs w:val="12"/>
      </w:rPr>
      <w:fldChar w:fldCharType="begin"/>
    </w:r>
    <w:r>
      <w:rPr>
        <w:rFonts w:ascii="Century Gothic" w:hAnsi="Century Gothic"/>
        <w:color w:val="244061" w:themeColor="accent1" w:themeShade="80"/>
        <w:sz w:val="12"/>
        <w:szCs w:val="12"/>
      </w:rPr>
      <w:instrText xml:space="preserve"> PAGE  \* MERGEFORMAT </w:instrText>
    </w:r>
    <w:r>
      <w:rPr>
        <w:rFonts w:ascii="Century Gothic" w:hAnsi="Century Gothic"/>
        <w:color w:val="244061" w:themeColor="accent1" w:themeShade="80"/>
        <w:sz w:val="12"/>
        <w:szCs w:val="12"/>
      </w:rPr>
      <w:fldChar w:fldCharType="separate"/>
    </w:r>
    <w:r>
      <w:rPr>
        <w:rFonts w:ascii="Century Gothic" w:hAnsi="Century Gothic"/>
        <w:noProof/>
        <w:color w:val="244061" w:themeColor="accent1" w:themeShade="80"/>
        <w:sz w:val="12"/>
        <w:szCs w:val="12"/>
      </w:rPr>
      <w:t>1</w:t>
    </w:r>
    <w:r>
      <w:rPr>
        <w:rFonts w:ascii="Century Gothic" w:hAnsi="Century Gothic"/>
        <w:color w:val="244061" w:themeColor="accent1" w:themeShade="8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2FE03" w14:textId="77777777" w:rsidR="00E8227F" w:rsidRDefault="00E8227F" w:rsidP="009A56E5">
      <w:pPr>
        <w:spacing w:line="240" w:lineRule="auto"/>
      </w:pPr>
      <w:r>
        <w:separator/>
      </w:r>
    </w:p>
  </w:footnote>
  <w:footnote w:type="continuationSeparator" w:id="0">
    <w:p w14:paraId="14774BC7" w14:textId="77777777" w:rsidR="00E8227F" w:rsidRDefault="00E8227F" w:rsidP="009A56E5">
      <w:pPr>
        <w:spacing w:line="240" w:lineRule="auto"/>
      </w:pPr>
      <w:r>
        <w:continuationSeparator/>
      </w:r>
    </w:p>
  </w:footnote>
  <w:footnote w:id="1">
    <w:p w14:paraId="706FEC7E" w14:textId="0F47B1AD" w:rsidR="009C6FCA" w:rsidRPr="001E266A" w:rsidRDefault="009C6FCA" w:rsidP="000B197E">
      <w:pPr>
        <w:pStyle w:val="FootnoteText"/>
        <w:rPr>
          <w:sz w:val="16"/>
          <w:szCs w:val="16"/>
          <w:lang w:val="en-US"/>
        </w:rPr>
      </w:pPr>
      <w:r>
        <w:rPr>
          <w:rStyle w:val="FootnoteReference"/>
        </w:rPr>
        <w:footnoteRef/>
      </w:r>
      <w:r>
        <w:t xml:space="preserve"> </w:t>
      </w:r>
      <w:r w:rsidRPr="001E266A">
        <w:rPr>
          <w:sz w:val="16"/>
          <w:szCs w:val="16"/>
          <w:lang w:val="en-US"/>
        </w:rPr>
        <w:t xml:space="preserve">These interests are also reflected in ICANN’s current Bylaws which </w:t>
      </w:r>
      <w:r w:rsidR="00D86C09" w:rsidRPr="001E266A">
        <w:rPr>
          <w:sz w:val="16"/>
          <w:szCs w:val="16"/>
          <w:lang w:val="en-US"/>
        </w:rPr>
        <w:t>commit to “[p]reserve and enhance the administration of the DNS and the operational stability, reliability, security, global interoperability,</w:t>
      </w:r>
      <w:r w:rsidR="001E266A">
        <w:rPr>
          <w:sz w:val="16"/>
          <w:szCs w:val="16"/>
          <w:lang w:val="en-US"/>
        </w:rPr>
        <w:t xml:space="preserve"> </w:t>
      </w:r>
      <w:r w:rsidR="00D86C09" w:rsidRPr="001E266A">
        <w:rPr>
          <w:sz w:val="16"/>
          <w:szCs w:val="16"/>
          <w:lang w:val="en-US"/>
        </w:rPr>
        <w:t>resilience, and openness of the DNS and the Internet</w:t>
      </w:r>
      <w:r w:rsidR="000363A0" w:rsidRPr="001E266A">
        <w:rPr>
          <w:sz w:val="16"/>
          <w:szCs w:val="16"/>
          <w:lang w:val="en-US"/>
        </w:rPr>
        <w:t>.</w:t>
      </w:r>
      <w:r w:rsidR="00D86C09" w:rsidRPr="001E266A">
        <w:rPr>
          <w:sz w:val="16"/>
          <w:szCs w:val="16"/>
          <w:lang w:val="en-US"/>
        </w:rPr>
        <w:t xml:space="preserve">” </w:t>
      </w:r>
      <w:r w:rsidR="000363A0" w:rsidRPr="001E266A">
        <w:rPr>
          <w:sz w:val="16"/>
          <w:szCs w:val="16"/>
          <w:lang w:val="en-US"/>
        </w:rPr>
        <w:t xml:space="preserve">The Bylaws also </w:t>
      </w:r>
      <w:r w:rsidR="00D86C09" w:rsidRPr="001E266A">
        <w:rPr>
          <w:sz w:val="16"/>
          <w:szCs w:val="16"/>
          <w:lang w:val="en-US"/>
        </w:rPr>
        <w:t xml:space="preserve">mandate specified reviews to assess </w:t>
      </w:r>
      <w:r w:rsidR="000B197E" w:rsidRPr="001E266A">
        <w:rPr>
          <w:sz w:val="16"/>
          <w:szCs w:val="16"/>
          <w:lang w:val="en-US"/>
        </w:rPr>
        <w:t>the</w:t>
      </w:r>
      <w:r w:rsidR="000B197E" w:rsidRPr="001E266A">
        <w:rPr>
          <w:i/>
          <w:sz w:val="16"/>
          <w:szCs w:val="16"/>
          <w:lang w:val="en-US"/>
        </w:rPr>
        <w:t xml:space="preserve"> </w:t>
      </w:r>
      <w:r w:rsidR="000B197E" w:rsidRPr="001E266A">
        <w:rPr>
          <w:sz w:val="16"/>
          <w:szCs w:val="16"/>
          <w:lang w:val="en-US"/>
        </w:rPr>
        <w:t>effectiveness of</w:t>
      </w:r>
      <w:r w:rsidR="000363A0" w:rsidRPr="001E266A">
        <w:rPr>
          <w:sz w:val="16"/>
          <w:szCs w:val="16"/>
        </w:rPr>
        <w:t xml:space="preserve"> </w:t>
      </w:r>
      <w:r w:rsidR="000363A0" w:rsidRPr="001E266A">
        <w:rPr>
          <w:i/>
          <w:sz w:val="16"/>
          <w:szCs w:val="16"/>
          <w:lang w:val="en-US"/>
        </w:rPr>
        <w:t>inter alia</w:t>
      </w:r>
      <w:r w:rsidR="000363A0" w:rsidRPr="001E266A">
        <w:rPr>
          <w:sz w:val="16"/>
          <w:szCs w:val="16"/>
          <w:lang w:val="en-US"/>
        </w:rPr>
        <w:t>, “</w:t>
      </w:r>
      <w:r w:rsidR="00D86C09" w:rsidRPr="001E266A">
        <w:rPr>
          <w:sz w:val="16"/>
          <w:szCs w:val="16"/>
          <w:lang w:val="en-US"/>
        </w:rPr>
        <w:t>the security efforts to deal with actu</w:t>
      </w:r>
      <w:r w:rsidR="000B197E" w:rsidRPr="001E266A">
        <w:rPr>
          <w:sz w:val="16"/>
          <w:szCs w:val="16"/>
          <w:lang w:val="en-US"/>
        </w:rPr>
        <w:t xml:space="preserve">al and potential challenges and </w:t>
      </w:r>
      <w:r w:rsidR="00D86C09" w:rsidRPr="001E266A">
        <w:rPr>
          <w:sz w:val="16"/>
          <w:szCs w:val="16"/>
          <w:lang w:val="en-US"/>
        </w:rPr>
        <w:t>threats to the security and stability of the DNS</w:t>
      </w:r>
      <w:r w:rsidR="000B197E" w:rsidRPr="001E266A">
        <w:rPr>
          <w:sz w:val="16"/>
          <w:szCs w:val="16"/>
          <w:lang w:val="en-US"/>
        </w:rPr>
        <w:t>”</w:t>
      </w:r>
      <w:r w:rsidR="000363A0" w:rsidRPr="001E266A">
        <w:rPr>
          <w:sz w:val="16"/>
          <w:szCs w:val="16"/>
          <w:lang w:val="en-US"/>
        </w:rPr>
        <w:t>;</w:t>
      </w:r>
      <w:r w:rsidR="000B197E" w:rsidRPr="001E266A">
        <w:rPr>
          <w:sz w:val="16"/>
          <w:szCs w:val="16"/>
          <w:lang w:val="en-US"/>
        </w:rPr>
        <w:t xml:space="preserve"> </w:t>
      </w:r>
      <w:r w:rsidR="001A19C1" w:rsidRPr="001E266A">
        <w:rPr>
          <w:sz w:val="16"/>
          <w:szCs w:val="16"/>
          <w:lang w:val="en-US"/>
        </w:rPr>
        <w:t xml:space="preserve">the effectiveness of </w:t>
      </w:r>
      <w:r w:rsidR="000363A0" w:rsidRPr="001E266A">
        <w:rPr>
          <w:sz w:val="16"/>
          <w:szCs w:val="16"/>
          <w:lang w:val="en-US"/>
        </w:rPr>
        <w:t>the then current gTLD registry directory service and whether its</w:t>
      </w:r>
      <w:r w:rsidR="001E266A">
        <w:rPr>
          <w:sz w:val="16"/>
          <w:szCs w:val="16"/>
          <w:lang w:val="en-US"/>
        </w:rPr>
        <w:t xml:space="preserve"> </w:t>
      </w:r>
      <w:r w:rsidR="000363A0" w:rsidRPr="001E266A">
        <w:rPr>
          <w:sz w:val="16"/>
          <w:szCs w:val="16"/>
          <w:lang w:val="en-US"/>
        </w:rPr>
        <w:t>implementation meets the legit</w:t>
      </w:r>
      <w:r w:rsidR="001A19C1" w:rsidRPr="001E266A">
        <w:rPr>
          <w:sz w:val="16"/>
          <w:szCs w:val="16"/>
          <w:lang w:val="en-US"/>
        </w:rPr>
        <w:t xml:space="preserve">imate needs of law enforcement, </w:t>
      </w:r>
      <w:r w:rsidR="000363A0" w:rsidRPr="001E266A">
        <w:rPr>
          <w:sz w:val="16"/>
          <w:szCs w:val="16"/>
          <w:lang w:val="en-US"/>
        </w:rPr>
        <w:t>promoting consumer trust and safeguarding registrant data</w:t>
      </w:r>
      <w:r w:rsidR="001A19C1" w:rsidRPr="001E266A">
        <w:rPr>
          <w:sz w:val="16"/>
          <w:szCs w:val="16"/>
          <w:lang w:val="en-US"/>
        </w:rPr>
        <w:t xml:space="preserve">” and </w:t>
      </w:r>
      <w:r w:rsidR="000B197E" w:rsidRPr="001E266A">
        <w:rPr>
          <w:sz w:val="16"/>
          <w:szCs w:val="16"/>
          <w:lang w:val="en-US"/>
        </w:rPr>
        <w:t>address issues of “consumer protection</w:t>
      </w:r>
      <w:r w:rsidR="001E266A">
        <w:rPr>
          <w:sz w:val="16"/>
          <w:szCs w:val="16"/>
          <w:lang w:val="en-US"/>
        </w:rPr>
        <w:t>..</w:t>
      </w:r>
      <w:r w:rsidR="000B197E" w:rsidRPr="001E266A">
        <w:rPr>
          <w:sz w:val="16"/>
          <w:szCs w:val="16"/>
          <w:lang w:val="en-US"/>
        </w:rPr>
        <w:t>., malicious abuse</w:t>
      </w:r>
      <w:r w:rsidR="001E266A">
        <w:rPr>
          <w:sz w:val="16"/>
          <w:szCs w:val="16"/>
          <w:lang w:val="en-US"/>
        </w:rPr>
        <w:t xml:space="preserve"> </w:t>
      </w:r>
      <w:r w:rsidR="000B197E" w:rsidRPr="001E266A">
        <w:rPr>
          <w:sz w:val="16"/>
          <w:szCs w:val="16"/>
          <w:lang w:val="en-US"/>
        </w:rPr>
        <w:t>issues</w:t>
      </w:r>
      <w:r w:rsidR="001E266A">
        <w:rPr>
          <w:sz w:val="16"/>
          <w:szCs w:val="16"/>
          <w:lang w:val="en-US"/>
        </w:rPr>
        <w:t xml:space="preserve"> ...</w:t>
      </w:r>
      <w:r w:rsidR="000B197E" w:rsidRPr="001E266A">
        <w:rPr>
          <w:sz w:val="16"/>
          <w:szCs w:val="16"/>
          <w:lang w:val="en-US"/>
        </w:rPr>
        <w:t>, and rights protection</w:t>
      </w:r>
      <w:r w:rsidR="001A19C1" w:rsidRPr="001E266A">
        <w:rPr>
          <w:sz w:val="16"/>
          <w:szCs w:val="16"/>
          <w:lang w:val="en-US"/>
        </w:rPr>
        <w:t>.</w:t>
      </w:r>
      <w:r w:rsidR="000363A0" w:rsidRPr="001E266A">
        <w:rPr>
          <w:sz w:val="16"/>
          <w:szCs w:val="16"/>
          <w:lang w:val="en-US"/>
        </w:rPr>
        <w:t>”</w:t>
      </w:r>
      <w:r w:rsidRPr="001E266A">
        <w:rPr>
          <w:sz w:val="16"/>
          <w:szCs w:val="16"/>
          <w:lang w:val="en-US"/>
        </w:rPr>
        <w:t xml:space="preserve"> </w:t>
      </w:r>
      <w:r w:rsidR="00E15BF3" w:rsidRPr="001E266A">
        <w:rPr>
          <w:i/>
          <w:sz w:val="16"/>
          <w:szCs w:val="16"/>
          <w:lang w:val="en-US"/>
        </w:rPr>
        <w:t xml:space="preserve">See </w:t>
      </w:r>
      <w:r w:rsidR="00E15BF3" w:rsidRPr="001E266A">
        <w:rPr>
          <w:sz w:val="16"/>
          <w:szCs w:val="16"/>
          <w:lang w:val="en-US"/>
        </w:rPr>
        <w:t xml:space="preserve">ICANN Bylaws Section 1.2 (a) Commitments and Section 4.6 (c)(d) and (e) Required Reviews.  </w:t>
      </w:r>
    </w:p>
  </w:footnote>
  <w:footnote w:id="2">
    <w:p w14:paraId="3D6150FF" w14:textId="6AD377CF" w:rsidR="00E54F22" w:rsidRPr="001E266A" w:rsidRDefault="00E54F22" w:rsidP="001E266A">
      <w:pPr>
        <w:spacing w:line="240" w:lineRule="auto"/>
        <w:rPr>
          <w:sz w:val="16"/>
          <w:szCs w:val="16"/>
          <w:lang w:val="en-US"/>
        </w:rPr>
      </w:pPr>
      <w:r w:rsidRPr="001E266A">
        <w:rPr>
          <w:rStyle w:val="FootnoteReference"/>
          <w:sz w:val="16"/>
          <w:szCs w:val="16"/>
        </w:rPr>
        <w:footnoteRef/>
      </w:r>
      <w:r w:rsidRPr="001E266A">
        <w:rPr>
          <w:sz w:val="16"/>
          <w:szCs w:val="16"/>
        </w:rPr>
        <w:t xml:space="preserve"> </w:t>
      </w:r>
      <w:r w:rsidR="000938BF" w:rsidRPr="001E266A">
        <w:rPr>
          <w:sz w:val="16"/>
          <w:szCs w:val="16"/>
        </w:rPr>
        <w:t xml:space="preserve">In its </w:t>
      </w:r>
      <w:hyperlink r:id="rId1" w:history="1">
        <w:r w:rsidR="000938BF" w:rsidRPr="001E266A">
          <w:rPr>
            <w:rStyle w:val="Hyperlink"/>
            <w:sz w:val="16"/>
            <w:szCs w:val="16"/>
          </w:rPr>
          <w:t>11 April 2018 letter</w:t>
        </w:r>
      </w:hyperlink>
      <w:r w:rsidR="000938BF" w:rsidRPr="001E266A">
        <w:rPr>
          <w:sz w:val="16"/>
          <w:szCs w:val="16"/>
        </w:rPr>
        <w:t>, WP29 stressed: “</w:t>
      </w:r>
      <w:r w:rsidR="000938BF" w:rsidRPr="001E266A">
        <w:rPr>
          <w:i/>
          <w:iCs/>
          <w:sz w:val="16"/>
          <w:szCs w:val="16"/>
        </w:rPr>
        <w:t>the importance of explicitly defining legitimate purposes in a way which comports with the requirements of the GDPR. It therefore urges ICANN to revisit its current definition of “purposes” in light of these requirements. Use of the word “include” suggests that not all purposes are made explicit, which would also be incompatible with article 5(1)b GDPR.”</w:t>
      </w:r>
    </w:p>
  </w:footnote>
  <w:footnote w:id="3">
    <w:p w14:paraId="7FF2C4F4" w14:textId="78BB6DB1" w:rsidR="000938BF" w:rsidRPr="001E266A" w:rsidRDefault="000938BF" w:rsidP="000938BF">
      <w:pPr>
        <w:pStyle w:val="FootnoteText"/>
        <w:rPr>
          <w:sz w:val="16"/>
          <w:szCs w:val="16"/>
          <w:lang w:val="en-US"/>
        </w:rPr>
      </w:pPr>
      <w:r w:rsidRPr="001E266A">
        <w:rPr>
          <w:rStyle w:val="FootnoteReference"/>
          <w:sz w:val="16"/>
          <w:szCs w:val="16"/>
        </w:rPr>
        <w:footnoteRef/>
      </w:r>
      <w:r w:rsidRPr="001E266A">
        <w:rPr>
          <w:sz w:val="16"/>
          <w:szCs w:val="16"/>
        </w:rPr>
        <w:t xml:space="preserve"> In its </w:t>
      </w:r>
      <w:hyperlink r:id="rId2" w:history="1">
        <w:r w:rsidRPr="001E266A">
          <w:rPr>
            <w:rStyle w:val="Hyperlink"/>
            <w:sz w:val="16"/>
            <w:szCs w:val="16"/>
          </w:rPr>
          <w:t>11 April 2018 letter</w:t>
        </w:r>
      </w:hyperlink>
      <w:r w:rsidRPr="001E266A">
        <w:rPr>
          <w:sz w:val="16"/>
          <w:szCs w:val="16"/>
        </w:rPr>
        <w:t>, WP29 stated: “</w:t>
      </w:r>
      <w:r w:rsidRPr="001E266A">
        <w:rPr>
          <w:i/>
          <w:iCs/>
          <w:sz w:val="16"/>
          <w:szCs w:val="16"/>
        </w:rPr>
        <w:t xml:space="preserve">ICANN should take care in defining purposes in a manner which corresponds to its own </w:t>
      </w:r>
      <w:proofErr w:type="spellStart"/>
      <w:r w:rsidRPr="001E266A">
        <w:rPr>
          <w:i/>
          <w:iCs/>
          <w:sz w:val="16"/>
          <w:szCs w:val="16"/>
        </w:rPr>
        <w:t>organisational</w:t>
      </w:r>
      <w:proofErr w:type="spellEnd"/>
      <w:r w:rsidRPr="001E266A">
        <w:rPr>
          <w:i/>
          <w:iCs/>
          <w:sz w:val="16"/>
          <w:szCs w:val="16"/>
        </w:rPr>
        <w:t xml:space="preserve"> mission and mandate, which is to coordinate the stable operation of the Internet's unique identifier systems. Purposes pursued by other interested third parties should not determine the purposes pursued by ICANN. The WP29 cautions ICANN not to conflate its own purposes with the interests of third parties, nor with the lawful grounds of processing which may be applicable in a particular case.</w:t>
      </w:r>
      <w:r w:rsidRPr="001E266A">
        <w:rPr>
          <w:sz w:val="16"/>
          <w:szCs w:val="16"/>
        </w:rPr>
        <w:t xml:space="preserve">” In its </w:t>
      </w:r>
      <w:hyperlink r:id="rId3" w:history="1">
        <w:r w:rsidRPr="001E266A">
          <w:rPr>
            <w:rStyle w:val="Hyperlink"/>
            <w:sz w:val="16"/>
            <w:szCs w:val="16"/>
          </w:rPr>
          <w:t>5 July 2018 letter</w:t>
        </w:r>
      </w:hyperlink>
      <w:r w:rsidRPr="001E266A">
        <w:rPr>
          <w:sz w:val="16"/>
          <w:szCs w:val="16"/>
        </w:rPr>
        <w:t>, the EDPB stated: “</w:t>
      </w:r>
      <w:r w:rsidRPr="001E266A">
        <w:rPr>
          <w:i/>
          <w:iCs/>
          <w:sz w:val="16"/>
          <w:szCs w:val="16"/>
        </w:rPr>
        <w:t>the EDPB considers it essential that a clear distinction be maintained between the different processing activities that take place in the context of WHOIS and the respective purposes pursued by the various stakeholders involved.</w:t>
      </w:r>
      <w:r w:rsidRPr="001E266A">
        <w:rPr>
          <w:sz w:val="16"/>
          <w:szCs w:val="16"/>
        </w:rPr>
        <w:t>”</w:t>
      </w:r>
    </w:p>
  </w:footnote>
  <w:footnote w:id="4">
    <w:p w14:paraId="60BBC441" w14:textId="69128563" w:rsidR="000938BF" w:rsidRPr="001E266A" w:rsidRDefault="000938BF">
      <w:pPr>
        <w:pStyle w:val="FootnoteText"/>
        <w:rPr>
          <w:sz w:val="16"/>
          <w:szCs w:val="16"/>
          <w:lang w:val="en-US"/>
        </w:rPr>
      </w:pPr>
      <w:r w:rsidRPr="001E266A">
        <w:rPr>
          <w:rStyle w:val="FootnoteReference"/>
          <w:sz w:val="16"/>
          <w:szCs w:val="16"/>
        </w:rPr>
        <w:footnoteRef/>
      </w:r>
      <w:r w:rsidRPr="001E266A">
        <w:rPr>
          <w:sz w:val="16"/>
          <w:szCs w:val="16"/>
        </w:rPr>
        <w:t xml:space="preserve"> In its </w:t>
      </w:r>
      <w:hyperlink r:id="rId4" w:history="1">
        <w:r w:rsidRPr="001E266A">
          <w:rPr>
            <w:rStyle w:val="Hyperlink"/>
            <w:sz w:val="16"/>
            <w:szCs w:val="16"/>
          </w:rPr>
          <w:t>11 April 2018 letter</w:t>
        </w:r>
      </w:hyperlink>
      <w:r w:rsidRPr="001E266A">
        <w:rPr>
          <w:sz w:val="16"/>
          <w:szCs w:val="16"/>
        </w:rPr>
        <w:t>, WP29 clarified: “</w:t>
      </w:r>
      <w:r w:rsidRPr="001E266A">
        <w:rPr>
          <w:i/>
          <w:iCs/>
          <w:sz w:val="16"/>
          <w:szCs w:val="16"/>
        </w:rPr>
        <w:t>that purposes specified by the controller must be detailed enough to determine what kind of processing is and is not included within the specified purpose, and to allow that compliance with the law can be assessed and data protection safeguards applied.”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6A14" w14:textId="77777777" w:rsidR="001E266A" w:rsidRDefault="001E266A" w:rsidP="009A56E5">
    <w:pPr>
      <w:pStyle w:val="Header"/>
      <w:jc w:val="center"/>
    </w:pPr>
  </w:p>
  <w:p w14:paraId="3D094154" w14:textId="77777777" w:rsidR="001E266A" w:rsidRDefault="001E266A" w:rsidP="009A56E5">
    <w:pPr>
      <w:pStyle w:val="Header"/>
      <w:jc w:val="center"/>
    </w:pPr>
  </w:p>
  <w:p w14:paraId="271C18F8" w14:textId="77777777" w:rsidR="001E266A" w:rsidRDefault="001E266A" w:rsidP="009A56E5">
    <w:pPr>
      <w:pStyle w:val="Header"/>
      <w:jc w:val="center"/>
    </w:pPr>
    <w:r w:rsidRPr="008670E8">
      <w:rPr>
        <w:noProof/>
        <w:sz w:val="20"/>
        <w:szCs w:val="20"/>
        <w:lang w:val="en-US" w:eastAsia="en-US"/>
      </w:rPr>
      <w:drawing>
        <wp:inline distT="0" distB="0" distL="0" distR="0" wp14:anchorId="30E7A8C0" wp14:editId="42419E13">
          <wp:extent cx="3188335" cy="1023145"/>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3199873" cy="10268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A30D" w14:textId="77777777" w:rsidR="001E266A" w:rsidRDefault="001E266A" w:rsidP="009A56E5">
    <w:pPr>
      <w:pStyle w:val="Header"/>
      <w:jc w:val="center"/>
    </w:pPr>
  </w:p>
  <w:p w14:paraId="75FF0AC0" w14:textId="77777777" w:rsidR="001E266A" w:rsidRDefault="001E266A" w:rsidP="009A56E5">
    <w:pPr>
      <w:pStyle w:val="Header"/>
      <w:jc w:val="center"/>
    </w:pPr>
  </w:p>
  <w:p w14:paraId="544C7091" w14:textId="77777777" w:rsidR="001E266A" w:rsidRDefault="001E266A" w:rsidP="009A56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028066"/>
    <w:multiLevelType w:val="hybridMultilevel"/>
    <w:tmpl w:val="8F3889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01149"/>
    <w:multiLevelType w:val="multilevel"/>
    <w:tmpl w:val="BB347386"/>
    <w:lvl w:ilvl="0">
      <w:start w:val="2"/>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0D9D6927"/>
    <w:multiLevelType w:val="multilevel"/>
    <w:tmpl w:val="9D24E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9B72BC"/>
    <w:multiLevelType w:val="multilevel"/>
    <w:tmpl w:val="D2801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404A08"/>
    <w:multiLevelType w:val="hybridMultilevel"/>
    <w:tmpl w:val="29CE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D6D8E"/>
    <w:multiLevelType w:val="multilevel"/>
    <w:tmpl w:val="440837B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23F1167E"/>
    <w:multiLevelType w:val="multilevel"/>
    <w:tmpl w:val="44E210C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A873E53"/>
    <w:multiLevelType w:val="multilevel"/>
    <w:tmpl w:val="4E70A5CE"/>
    <w:lvl w:ilvl="0">
      <w:start w:val="1"/>
      <w:numFmt w:val="bullet"/>
      <w:lvlText w:val="●"/>
      <w:lvlJc w:val="left"/>
      <w:pPr>
        <w:ind w:left="-720" w:hanging="360"/>
      </w:pPr>
      <w:rPr>
        <w:strike w:val="0"/>
        <w:dstrike w:val="0"/>
        <w:u w:val="none"/>
        <w:effect w:val="none"/>
      </w:rPr>
    </w:lvl>
    <w:lvl w:ilvl="1">
      <w:start w:val="1"/>
      <w:numFmt w:val="bullet"/>
      <w:lvlText w:val="○"/>
      <w:lvlJc w:val="left"/>
      <w:pPr>
        <w:ind w:left="0" w:hanging="360"/>
      </w:pPr>
      <w:rPr>
        <w:strike w:val="0"/>
        <w:dstrike w:val="0"/>
        <w:u w:val="none"/>
        <w:effect w:val="none"/>
      </w:rPr>
    </w:lvl>
    <w:lvl w:ilvl="2">
      <w:start w:val="1"/>
      <w:numFmt w:val="bullet"/>
      <w:lvlText w:val="■"/>
      <w:lvlJc w:val="left"/>
      <w:pPr>
        <w:ind w:left="720" w:hanging="360"/>
      </w:pPr>
      <w:rPr>
        <w:strike w:val="0"/>
        <w:dstrike w:val="0"/>
        <w:u w:val="none"/>
        <w:effect w:val="none"/>
      </w:rPr>
    </w:lvl>
    <w:lvl w:ilvl="3">
      <w:start w:val="1"/>
      <w:numFmt w:val="bullet"/>
      <w:lvlText w:val="●"/>
      <w:lvlJc w:val="left"/>
      <w:pPr>
        <w:ind w:left="1440" w:hanging="360"/>
      </w:pPr>
      <w:rPr>
        <w:strike w:val="0"/>
        <w:dstrike w:val="0"/>
        <w:u w:val="none"/>
        <w:effect w:val="none"/>
      </w:rPr>
    </w:lvl>
    <w:lvl w:ilvl="4">
      <w:start w:val="1"/>
      <w:numFmt w:val="bullet"/>
      <w:lvlText w:val="○"/>
      <w:lvlJc w:val="left"/>
      <w:pPr>
        <w:ind w:left="2160" w:hanging="360"/>
      </w:pPr>
      <w:rPr>
        <w:strike w:val="0"/>
        <w:dstrike w:val="0"/>
        <w:u w:val="none"/>
        <w:effect w:val="none"/>
      </w:rPr>
    </w:lvl>
    <w:lvl w:ilvl="5">
      <w:start w:val="1"/>
      <w:numFmt w:val="bullet"/>
      <w:lvlText w:val="■"/>
      <w:lvlJc w:val="left"/>
      <w:pPr>
        <w:ind w:left="2880" w:hanging="360"/>
      </w:pPr>
      <w:rPr>
        <w:strike w:val="0"/>
        <w:dstrike w:val="0"/>
        <w:u w:val="none"/>
        <w:effect w:val="none"/>
      </w:rPr>
    </w:lvl>
    <w:lvl w:ilvl="6">
      <w:start w:val="1"/>
      <w:numFmt w:val="bullet"/>
      <w:lvlText w:val="●"/>
      <w:lvlJc w:val="left"/>
      <w:pPr>
        <w:ind w:left="3600" w:hanging="360"/>
      </w:pPr>
      <w:rPr>
        <w:strike w:val="0"/>
        <w:dstrike w:val="0"/>
        <w:u w:val="none"/>
        <w:effect w:val="none"/>
      </w:rPr>
    </w:lvl>
    <w:lvl w:ilvl="7">
      <w:start w:val="1"/>
      <w:numFmt w:val="bullet"/>
      <w:lvlText w:val="○"/>
      <w:lvlJc w:val="left"/>
      <w:pPr>
        <w:ind w:left="4320" w:hanging="360"/>
      </w:pPr>
      <w:rPr>
        <w:strike w:val="0"/>
        <w:dstrike w:val="0"/>
        <w:u w:val="none"/>
        <w:effect w:val="none"/>
      </w:rPr>
    </w:lvl>
    <w:lvl w:ilvl="8">
      <w:start w:val="1"/>
      <w:numFmt w:val="bullet"/>
      <w:lvlText w:val="■"/>
      <w:lvlJc w:val="left"/>
      <w:pPr>
        <w:ind w:left="5040" w:hanging="360"/>
      </w:pPr>
      <w:rPr>
        <w:strike w:val="0"/>
        <w:dstrike w:val="0"/>
        <w:u w:val="none"/>
        <w:effect w:val="none"/>
      </w:rPr>
    </w:lvl>
  </w:abstractNum>
  <w:abstractNum w:abstractNumId="8" w15:restartNumberingAfterBreak="0">
    <w:nsid w:val="2E093BF2"/>
    <w:multiLevelType w:val="multilevel"/>
    <w:tmpl w:val="DBA03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09180A"/>
    <w:multiLevelType w:val="multilevel"/>
    <w:tmpl w:val="DB328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2475DA"/>
    <w:multiLevelType w:val="multilevel"/>
    <w:tmpl w:val="E9B08802"/>
    <w:lvl w:ilvl="0">
      <w:start w:val="1"/>
      <w:numFmt w:val="decimal"/>
      <w:lvlText w:val="%1."/>
      <w:lvlJc w:val="right"/>
      <w:pPr>
        <w:ind w:left="720" w:hanging="360"/>
      </w:pPr>
      <w:rPr>
        <w:u w:val="none"/>
      </w:rPr>
    </w:lvl>
    <w:lvl w:ilvl="1">
      <w:start w:val="1"/>
      <w:numFmt w:val="decimal"/>
      <w:lvlText w:val="%1.%2."/>
      <w:lvlJc w:val="right"/>
      <w:pPr>
        <w:ind w:left="36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507975F1"/>
    <w:multiLevelType w:val="hybridMultilevel"/>
    <w:tmpl w:val="44E8D708"/>
    <w:lvl w:ilvl="0" w:tplc="A0CA0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046683"/>
    <w:multiLevelType w:val="hybridMultilevel"/>
    <w:tmpl w:val="890271DE"/>
    <w:lvl w:ilvl="0" w:tplc="3DBCB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D35981"/>
    <w:multiLevelType w:val="hybridMultilevel"/>
    <w:tmpl w:val="EA2E9AC8"/>
    <w:lvl w:ilvl="0" w:tplc="6E7865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E0B6C38"/>
    <w:multiLevelType w:val="hybridMultilevel"/>
    <w:tmpl w:val="36DA42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0876BB2"/>
    <w:multiLevelType w:val="multilevel"/>
    <w:tmpl w:val="D4845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CD20C44"/>
    <w:multiLevelType w:val="multilevel"/>
    <w:tmpl w:val="86749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0D27138"/>
    <w:multiLevelType w:val="multilevel"/>
    <w:tmpl w:val="90BC19F4"/>
    <w:lvl w:ilvl="0">
      <w:start w:val="3"/>
      <w:numFmt w:val="decimal"/>
      <w:lvlText w:val="%1."/>
      <w:lvlJc w:val="left"/>
      <w:pPr>
        <w:ind w:left="990" w:hanging="360"/>
      </w:pPr>
      <w:rPr>
        <w:u w:val="none"/>
      </w:rPr>
    </w:lvl>
    <w:lvl w:ilvl="1">
      <w:start w:val="1"/>
      <w:numFmt w:val="lowerLetter"/>
      <w:lvlText w:val="%2."/>
      <w:lvlJc w:val="left"/>
      <w:pPr>
        <w:ind w:left="1710" w:hanging="360"/>
      </w:pPr>
      <w:rPr>
        <w:u w:val="none"/>
      </w:rPr>
    </w:lvl>
    <w:lvl w:ilvl="2">
      <w:start w:val="1"/>
      <w:numFmt w:val="lowerRoman"/>
      <w:lvlText w:val="%3."/>
      <w:lvlJc w:val="right"/>
      <w:pPr>
        <w:ind w:left="2430" w:hanging="360"/>
      </w:pPr>
      <w:rPr>
        <w:u w:val="none"/>
      </w:rPr>
    </w:lvl>
    <w:lvl w:ilvl="3">
      <w:start w:val="1"/>
      <w:numFmt w:val="decimal"/>
      <w:lvlText w:val="%4."/>
      <w:lvlJc w:val="left"/>
      <w:pPr>
        <w:ind w:left="3150" w:hanging="360"/>
      </w:pPr>
      <w:rPr>
        <w:u w:val="none"/>
      </w:rPr>
    </w:lvl>
    <w:lvl w:ilvl="4">
      <w:start w:val="1"/>
      <w:numFmt w:val="lowerLetter"/>
      <w:lvlText w:val="%5."/>
      <w:lvlJc w:val="left"/>
      <w:pPr>
        <w:ind w:left="3870" w:hanging="360"/>
      </w:pPr>
      <w:rPr>
        <w:u w:val="none"/>
      </w:rPr>
    </w:lvl>
    <w:lvl w:ilvl="5">
      <w:start w:val="1"/>
      <w:numFmt w:val="lowerRoman"/>
      <w:lvlText w:val="%6."/>
      <w:lvlJc w:val="right"/>
      <w:pPr>
        <w:ind w:left="4590" w:hanging="360"/>
      </w:pPr>
      <w:rPr>
        <w:u w:val="none"/>
      </w:rPr>
    </w:lvl>
    <w:lvl w:ilvl="6">
      <w:start w:val="1"/>
      <w:numFmt w:val="decimal"/>
      <w:lvlText w:val="%7."/>
      <w:lvlJc w:val="left"/>
      <w:pPr>
        <w:ind w:left="5310" w:hanging="360"/>
      </w:pPr>
      <w:rPr>
        <w:u w:val="none"/>
      </w:rPr>
    </w:lvl>
    <w:lvl w:ilvl="7">
      <w:start w:val="1"/>
      <w:numFmt w:val="lowerLetter"/>
      <w:lvlText w:val="%8."/>
      <w:lvlJc w:val="left"/>
      <w:pPr>
        <w:ind w:left="6030" w:hanging="360"/>
      </w:pPr>
      <w:rPr>
        <w:u w:val="none"/>
      </w:rPr>
    </w:lvl>
    <w:lvl w:ilvl="8">
      <w:start w:val="1"/>
      <w:numFmt w:val="lowerRoman"/>
      <w:lvlText w:val="%9."/>
      <w:lvlJc w:val="right"/>
      <w:pPr>
        <w:ind w:left="6750" w:hanging="360"/>
      </w:pPr>
      <w:rPr>
        <w:u w:val="none"/>
      </w:rPr>
    </w:lvl>
  </w:abstractNum>
  <w:abstractNum w:abstractNumId="18" w15:restartNumberingAfterBreak="0">
    <w:nsid w:val="7ADB7360"/>
    <w:multiLevelType w:val="multilevel"/>
    <w:tmpl w:val="0A42FD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5"/>
  </w:num>
  <w:num w:numId="2">
    <w:abstractNumId w:val="10"/>
  </w:num>
  <w:num w:numId="3">
    <w:abstractNumId w:val="6"/>
  </w:num>
  <w:num w:numId="4">
    <w:abstractNumId w:val="1"/>
  </w:num>
  <w:num w:numId="5">
    <w:abstractNumId w:val="8"/>
  </w:num>
  <w:num w:numId="6">
    <w:abstractNumId w:val="15"/>
  </w:num>
  <w:num w:numId="7">
    <w:abstractNumId w:val="16"/>
  </w:num>
  <w:num w:numId="8">
    <w:abstractNumId w:val="18"/>
  </w:num>
  <w:num w:numId="9">
    <w:abstractNumId w:val="9"/>
  </w:num>
  <w:num w:numId="10">
    <w:abstractNumId w:val="3"/>
  </w:num>
  <w:num w:numId="11">
    <w:abstractNumId w:val="17"/>
  </w:num>
  <w:num w:numId="12">
    <w:abstractNumId w:val="2"/>
  </w:num>
  <w:num w:numId="13">
    <w:abstractNumId w:val="11"/>
  </w:num>
  <w:num w:numId="14">
    <w:abstractNumId w:val="0"/>
  </w:num>
  <w:num w:numId="15">
    <w:abstractNumId w:val="14"/>
  </w:num>
  <w:num w:numId="16">
    <w:abstractNumId w:val="12"/>
  </w:num>
  <w:num w:numId="17">
    <w:abstractNumId w:val="7"/>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55"/>
    <w:rsid w:val="00004373"/>
    <w:rsid w:val="000363A0"/>
    <w:rsid w:val="00082906"/>
    <w:rsid w:val="00083477"/>
    <w:rsid w:val="00093849"/>
    <w:rsid w:val="000938BF"/>
    <w:rsid w:val="000B1303"/>
    <w:rsid w:val="000B197E"/>
    <w:rsid w:val="000F295F"/>
    <w:rsid w:val="001231DB"/>
    <w:rsid w:val="00124BAE"/>
    <w:rsid w:val="00127AB0"/>
    <w:rsid w:val="00147E69"/>
    <w:rsid w:val="00167EC1"/>
    <w:rsid w:val="00186247"/>
    <w:rsid w:val="001A19C1"/>
    <w:rsid w:val="001C3E10"/>
    <w:rsid w:val="001C45B8"/>
    <w:rsid w:val="001D5BA5"/>
    <w:rsid w:val="001E266A"/>
    <w:rsid w:val="001F63B5"/>
    <w:rsid w:val="002436CA"/>
    <w:rsid w:val="002A132A"/>
    <w:rsid w:val="002A30F8"/>
    <w:rsid w:val="002D4F00"/>
    <w:rsid w:val="00325243"/>
    <w:rsid w:val="003279AC"/>
    <w:rsid w:val="00395B4C"/>
    <w:rsid w:val="003B027C"/>
    <w:rsid w:val="003B6041"/>
    <w:rsid w:val="003E0549"/>
    <w:rsid w:val="003E46BB"/>
    <w:rsid w:val="00401174"/>
    <w:rsid w:val="0043404F"/>
    <w:rsid w:val="0045207F"/>
    <w:rsid w:val="004805A7"/>
    <w:rsid w:val="004D76A1"/>
    <w:rsid w:val="004E3057"/>
    <w:rsid w:val="004F77B0"/>
    <w:rsid w:val="00517C09"/>
    <w:rsid w:val="0054576D"/>
    <w:rsid w:val="005C112E"/>
    <w:rsid w:val="005D6C4F"/>
    <w:rsid w:val="005E59D4"/>
    <w:rsid w:val="005E7B4B"/>
    <w:rsid w:val="005F7B1C"/>
    <w:rsid w:val="00613AF9"/>
    <w:rsid w:val="00635555"/>
    <w:rsid w:val="00645930"/>
    <w:rsid w:val="006C574D"/>
    <w:rsid w:val="007758E5"/>
    <w:rsid w:val="007B7526"/>
    <w:rsid w:val="0090041E"/>
    <w:rsid w:val="009235D8"/>
    <w:rsid w:val="009377FB"/>
    <w:rsid w:val="0095697C"/>
    <w:rsid w:val="0097115F"/>
    <w:rsid w:val="009A56E5"/>
    <w:rsid w:val="009C0CAA"/>
    <w:rsid w:val="009C6FCA"/>
    <w:rsid w:val="009D0669"/>
    <w:rsid w:val="00A058D9"/>
    <w:rsid w:val="00A20830"/>
    <w:rsid w:val="00A557DA"/>
    <w:rsid w:val="00A641B6"/>
    <w:rsid w:val="00A87B41"/>
    <w:rsid w:val="00AA4F5D"/>
    <w:rsid w:val="00AC0E0E"/>
    <w:rsid w:val="00AC5BD1"/>
    <w:rsid w:val="00AD362B"/>
    <w:rsid w:val="00AE31C5"/>
    <w:rsid w:val="00B03F9E"/>
    <w:rsid w:val="00B343FA"/>
    <w:rsid w:val="00B45F10"/>
    <w:rsid w:val="00B65720"/>
    <w:rsid w:val="00B92D92"/>
    <w:rsid w:val="00BB0964"/>
    <w:rsid w:val="00BE6E15"/>
    <w:rsid w:val="00C26AC3"/>
    <w:rsid w:val="00C772FB"/>
    <w:rsid w:val="00CE1A7F"/>
    <w:rsid w:val="00CF0F5E"/>
    <w:rsid w:val="00CF7FFC"/>
    <w:rsid w:val="00D31455"/>
    <w:rsid w:val="00D40818"/>
    <w:rsid w:val="00D86C09"/>
    <w:rsid w:val="00DB7658"/>
    <w:rsid w:val="00DB7AE7"/>
    <w:rsid w:val="00E00CA9"/>
    <w:rsid w:val="00E15BF3"/>
    <w:rsid w:val="00E24BC9"/>
    <w:rsid w:val="00E54F22"/>
    <w:rsid w:val="00E8227F"/>
    <w:rsid w:val="00E972D9"/>
    <w:rsid w:val="00ED34B6"/>
    <w:rsid w:val="00F20B09"/>
    <w:rsid w:val="00F309A9"/>
    <w:rsid w:val="00F53C8E"/>
    <w:rsid w:val="00FA19BB"/>
    <w:rsid w:val="00FC320A"/>
    <w:rsid w:val="00FD02F9"/>
    <w:rsid w:val="00FF0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6329F"/>
  <w15:docId w15:val="{11042D41-B0C9-9B49-896C-30F826C8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ind w:left="990" w:hanging="180"/>
      <w:outlineLvl w:val="1"/>
    </w:pPr>
    <w:rPr>
      <w:b/>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45207F"/>
    <w:pPr>
      <w:keepNext/>
      <w:outlineLvl w:val="6"/>
    </w:pPr>
    <w:rPr>
      <w:rFonts w:ascii="Arial"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A56E5"/>
    <w:pPr>
      <w:tabs>
        <w:tab w:val="center" w:pos="4536"/>
        <w:tab w:val="right" w:pos="9072"/>
      </w:tabs>
      <w:spacing w:line="240" w:lineRule="auto"/>
    </w:pPr>
  </w:style>
  <w:style w:type="character" w:customStyle="1" w:styleId="HeaderChar">
    <w:name w:val="Header Char"/>
    <w:basedOn w:val="DefaultParagraphFont"/>
    <w:link w:val="Header"/>
    <w:uiPriority w:val="99"/>
    <w:rsid w:val="009A56E5"/>
  </w:style>
  <w:style w:type="paragraph" w:styleId="Footer">
    <w:name w:val="footer"/>
    <w:basedOn w:val="Normal"/>
    <w:link w:val="FooterChar"/>
    <w:uiPriority w:val="99"/>
    <w:unhideWhenUsed/>
    <w:rsid w:val="009A56E5"/>
    <w:pPr>
      <w:tabs>
        <w:tab w:val="center" w:pos="4536"/>
        <w:tab w:val="right" w:pos="9072"/>
      </w:tabs>
      <w:spacing w:line="240" w:lineRule="auto"/>
    </w:pPr>
  </w:style>
  <w:style w:type="character" w:customStyle="1" w:styleId="FooterChar">
    <w:name w:val="Footer Char"/>
    <w:basedOn w:val="DefaultParagraphFont"/>
    <w:link w:val="Footer"/>
    <w:uiPriority w:val="99"/>
    <w:rsid w:val="009A56E5"/>
  </w:style>
  <w:style w:type="paragraph" w:styleId="TOC1">
    <w:name w:val="toc 1"/>
    <w:basedOn w:val="Normal"/>
    <w:next w:val="Normal"/>
    <w:autoRedefine/>
    <w:uiPriority w:val="39"/>
    <w:unhideWhenUsed/>
    <w:rsid w:val="001F63B5"/>
    <w:pPr>
      <w:tabs>
        <w:tab w:val="left" w:pos="480"/>
        <w:tab w:val="right" w:pos="9628"/>
      </w:tabs>
      <w:spacing w:after="100"/>
      <w:ind w:left="284" w:hanging="284"/>
    </w:pPr>
    <w:rPr>
      <w:rFonts w:ascii="Century Gothic" w:hAnsi="Century Gothic"/>
      <w:b/>
      <w:noProof/>
      <w:sz w:val="20"/>
      <w:szCs w:val="20"/>
    </w:rPr>
  </w:style>
  <w:style w:type="paragraph" w:styleId="TOC2">
    <w:name w:val="toc 2"/>
    <w:basedOn w:val="Normal"/>
    <w:next w:val="Normal"/>
    <w:autoRedefine/>
    <w:uiPriority w:val="39"/>
    <w:unhideWhenUsed/>
    <w:rsid w:val="001F63B5"/>
    <w:pPr>
      <w:tabs>
        <w:tab w:val="left" w:pos="960"/>
        <w:tab w:val="right" w:pos="9628"/>
      </w:tabs>
      <w:spacing w:after="100"/>
      <w:ind w:left="284"/>
    </w:pPr>
  </w:style>
  <w:style w:type="character" w:styleId="Hyperlink">
    <w:name w:val="Hyperlink"/>
    <w:basedOn w:val="DefaultParagraphFont"/>
    <w:uiPriority w:val="99"/>
    <w:unhideWhenUsed/>
    <w:rsid w:val="0043404F"/>
    <w:rPr>
      <w:color w:val="0000FF" w:themeColor="hyperlink"/>
      <w:u w:val="single"/>
    </w:rPr>
  </w:style>
  <w:style w:type="paragraph" w:styleId="BalloonText">
    <w:name w:val="Balloon Text"/>
    <w:basedOn w:val="Normal"/>
    <w:link w:val="BalloonTextChar"/>
    <w:uiPriority w:val="99"/>
    <w:semiHidden/>
    <w:unhideWhenUsed/>
    <w:rsid w:val="0043404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404F"/>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9C6FCA"/>
    <w:pPr>
      <w:spacing w:line="240" w:lineRule="auto"/>
    </w:pPr>
    <w:rPr>
      <w:sz w:val="20"/>
      <w:szCs w:val="20"/>
    </w:rPr>
  </w:style>
  <w:style w:type="character" w:customStyle="1" w:styleId="FootnoteTextChar">
    <w:name w:val="Footnote Text Char"/>
    <w:basedOn w:val="DefaultParagraphFont"/>
    <w:link w:val="FootnoteText"/>
    <w:uiPriority w:val="99"/>
    <w:semiHidden/>
    <w:rsid w:val="009C6FCA"/>
    <w:rPr>
      <w:sz w:val="20"/>
      <w:szCs w:val="20"/>
    </w:rPr>
  </w:style>
  <w:style w:type="character" w:styleId="FootnoteReference">
    <w:name w:val="footnote reference"/>
    <w:basedOn w:val="DefaultParagraphFont"/>
    <w:uiPriority w:val="99"/>
    <w:semiHidden/>
    <w:unhideWhenUsed/>
    <w:rsid w:val="009C6FCA"/>
    <w:rPr>
      <w:vertAlign w:val="superscript"/>
    </w:rPr>
  </w:style>
  <w:style w:type="character" w:customStyle="1" w:styleId="Heading7Char">
    <w:name w:val="Heading 7 Char"/>
    <w:basedOn w:val="DefaultParagraphFont"/>
    <w:link w:val="Heading7"/>
    <w:uiPriority w:val="9"/>
    <w:rsid w:val="0045207F"/>
    <w:rPr>
      <w:rFonts w:ascii="Arial" w:hAnsi="Arial" w:cs="Arial"/>
      <w:b/>
      <w:sz w:val="24"/>
      <w:szCs w:val="24"/>
    </w:rPr>
  </w:style>
  <w:style w:type="paragraph" w:styleId="BodyTextIndent">
    <w:name w:val="Body Text Indent"/>
    <w:basedOn w:val="Normal"/>
    <w:link w:val="BodyTextIndentChar"/>
    <w:uiPriority w:val="99"/>
    <w:unhideWhenUsed/>
    <w:rsid w:val="0095697C"/>
    <w:pPr>
      <w:ind w:left="720"/>
    </w:pPr>
    <w:rPr>
      <w:rFonts w:ascii="Arial" w:hAnsi="Arial" w:cs="Arial"/>
      <w:i/>
      <w:sz w:val="24"/>
      <w:szCs w:val="24"/>
    </w:rPr>
  </w:style>
  <w:style w:type="character" w:customStyle="1" w:styleId="BodyTextIndentChar">
    <w:name w:val="Body Text Indent Char"/>
    <w:basedOn w:val="DefaultParagraphFont"/>
    <w:link w:val="BodyTextIndent"/>
    <w:uiPriority w:val="99"/>
    <w:rsid w:val="0095697C"/>
    <w:rPr>
      <w:rFonts w:ascii="Arial" w:hAnsi="Arial" w:cs="Arial"/>
      <w:i/>
      <w:sz w:val="24"/>
      <w:szCs w:val="24"/>
    </w:rPr>
  </w:style>
  <w:style w:type="paragraph" w:styleId="BodyText">
    <w:name w:val="Body Text"/>
    <w:basedOn w:val="Normal"/>
    <w:link w:val="BodyTextChar"/>
    <w:uiPriority w:val="99"/>
    <w:unhideWhenUsed/>
    <w:rsid w:val="00CF7FFC"/>
    <w:rPr>
      <w:rFonts w:ascii="Arial" w:hAnsi="Arial" w:cs="Arial"/>
      <w:b/>
      <w:sz w:val="24"/>
      <w:szCs w:val="24"/>
    </w:rPr>
  </w:style>
  <w:style w:type="character" w:customStyle="1" w:styleId="BodyTextChar">
    <w:name w:val="Body Text Char"/>
    <w:basedOn w:val="DefaultParagraphFont"/>
    <w:link w:val="BodyText"/>
    <w:uiPriority w:val="99"/>
    <w:rsid w:val="00CF7FFC"/>
    <w:rPr>
      <w:rFonts w:ascii="Arial" w:hAnsi="Arial" w:cs="Arial"/>
      <w:b/>
      <w:sz w:val="24"/>
      <w:szCs w:val="24"/>
    </w:rPr>
  </w:style>
  <w:style w:type="paragraph" w:styleId="BodyText2">
    <w:name w:val="Body Text 2"/>
    <w:basedOn w:val="Normal"/>
    <w:link w:val="BodyText2Char"/>
    <w:uiPriority w:val="99"/>
    <w:unhideWhenUsed/>
    <w:rsid w:val="00E972D9"/>
    <w:rPr>
      <w:rFonts w:ascii="Arial" w:hAnsi="Arial" w:cs="Arial"/>
      <w:sz w:val="24"/>
      <w:szCs w:val="24"/>
    </w:rPr>
  </w:style>
  <w:style w:type="character" w:customStyle="1" w:styleId="BodyText2Char">
    <w:name w:val="Body Text 2 Char"/>
    <w:basedOn w:val="DefaultParagraphFont"/>
    <w:link w:val="BodyText2"/>
    <w:uiPriority w:val="99"/>
    <w:rsid w:val="00E972D9"/>
    <w:rPr>
      <w:rFonts w:ascii="Arial" w:hAnsi="Arial" w:cs="Arial"/>
      <w:sz w:val="24"/>
      <w:szCs w:val="24"/>
    </w:rPr>
  </w:style>
  <w:style w:type="paragraph" w:customStyle="1" w:styleId="Default">
    <w:name w:val="Default"/>
    <w:rsid w:val="00F309A9"/>
    <w:pPr>
      <w:autoSpaceDE w:val="0"/>
      <w:autoSpaceDN w:val="0"/>
      <w:adjustRightInd w:val="0"/>
      <w:spacing w:line="240" w:lineRule="auto"/>
    </w:pPr>
    <w:rPr>
      <w:rFonts w:ascii="Times New Roman" w:hAnsi="Times New Roman" w:cs="Times New Roman"/>
      <w:color w:val="000000"/>
      <w:sz w:val="24"/>
      <w:szCs w:val="24"/>
      <w:lang w:val="en-US"/>
    </w:rPr>
  </w:style>
  <w:style w:type="paragraph" w:styleId="BodyTextIndent2">
    <w:name w:val="Body Text Indent 2"/>
    <w:basedOn w:val="Normal"/>
    <w:link w:val="BodyTextIndent2Char"/>
    <w:uiPriority w:val="99"/>
    <w:unhideWhenUsed/>
    <w:rsid w:val="007758E5"/>
    <w:pPr>
      <w:autoSpaceDE w:val="0"/>
      <w:autoSpaceDN w:val="0"/>
      <w:adjustRightInd w:val="0"/>
      <w:spacing w:line="240" w:lineRule="auto"/>
      <w:ind w:left="720"/>
    </w:pPr>
    <w:rPr>
      <w:rFonts w:ascii="Arial" w:hAnsi="Arial" w:cs="Arial"/>
      <w:i/>
      <w:color w:val="000000"/>
      <w:sz w:val="24"/>
      <w:szCs w:val="24"/>
      <w:lang w:val="en-US"/>
    </w:rPr>
  </w:style>
  <w:style w:type="character" w:customStyle="1" w:styleId="BodyTextIndent2Char">
    <w:name w:val="Body Text Indent 2 Char"/>
    <w:basedOn w:val="DefaultParagraphFont"/>
    <w:link w:val="BodyTextIndent2"/>
    <w:uiPriority w:val="99"/>
    <w:rsid w:val="007758E5"/>
    <w:rPr>
      <w:rFonts w:ascii="Arial" w:hAnsi="Arial" w:cs="Arial"/>
      <w:i/>
      <w:color w:val="000000"/>
      <w:sz w:val="24"/>
      <w:szCs w:val="24"/>
      <w:lang w:val="en-US"/>
    </w:rPr>
  </w:style>
  <w:style w:type="paragraph" w:styleId="ListParagraph">
    <w:name w:val="List Paragraph"/>
    <w:basedOn w:val="Normal"/>
    <w:uiPriority w:val="34"/>
    <w:qFormat/>
    <w:rsid w:val="007758E5"/>
    <w:pPr>
      <w:ind w:left="720"/>
      <w:contextualSpacing/>
    </w:pPr>
  </w:style>
  <w:style w:type="character" w:styleId="CommentReference">
    <w:name w:val="annotation reference"/>
    <w:basedOn w:val="DefaultParagraphFont"/>
    <w:uiPriority w:val="99"/>
    <w:semiHidden/>
    <w:unhideWhenUsed/>
    <w:rsid w:val="005E7B4B"/>
    <w:rPr>
      <w:sz w:val="16"/>
      <w:szCs w:val="16"/>
    </w:rPr>
  </w:style>
  <w:style w:type="paragraph" w:styleId="CommentText">
    <w:name w:val="annotation text"/>
    <w:basedOn w:val="Normal"/>
    <w:link w:val="CommentTextChar"/>
    <w:uiPriority w:val="99"/>
    <w:semiHidden/>
    <w:unhideWhenUsed/>
    <w:rsid w:val="005E7B4B"/>
    <w:pPr>
      <w:spacing w:line="240" w:lineRule="auto"/>
    </w:pPr>
    <w:rPr>
      <w:sz w:val="20"/>
      <w:szCs w:val="20"/>
    </w:rPr>
  </w:style>
  <w:style w:type="character" w:customStyle="1" w:styleId="CommentTextChar">
    <w:name w:val="Comment Text Char"/>
    <w:basedOn w:val="DefaultParagraphFont"/>
    <w:link w:val="CommentText"/>
    <w:uiPriority w:val="99"/>
    <w:semiHidden/>
    <w:rsid w:val="005E7B4B"/>
    <w:rPr>
      <w:sz w:val="20"/>
      <w:szCs w:val="20"/>
    </w:rPr>
  </w:style>
  <w:style w:type="paragraph" w:styleId="CommentSubject">
    <w:name w:val="annotation subject"/>
    <w:basedOn w:val="CommentText"/>
    <w:next w:val="CommentText"/>
    <w:link w:val="CommentSubjectChar"/>
    <w:uiPriority w:val="99"/>
    <w:semiHidden/>
    <w:unhideWhenUsed/>
    <w:rsid w:val="005E7B4B"/>
    <w:rPr>
      <w:b/>
      <w:bCs/>
    </w:rPr>
  </w:style>
  <w:style w:type="character" w:customStyle="1" w:styleId="CommentSubjectChar">
    <w:name w:val="Comment Subject Char"/>
    <w:basedOn w:val="CommentTextChar"/>
    <w:link w:val="CommentSubject"/>
    <w:uiPriority w:val="99"/>
    <w:semiHidden/>
    <w:rsid w:val="005E7B4B"/>
    <w:rPr>
      <w:b/>
      <w:bCs/>
      <w:sz w:val="20"/>
      <w:szCs w:val="20"/>
    </w:rPr>
  </w:style>
  <w:style w:type="paragraph" w:styleId="NormalWeb">
    <w:name w:val="Normal (Web)"/>
    <w:basedOn w:val="Normal"/>
    <w:uiPriority w:val="99"/>
    <w:semiHidden/>
    <w:unhideWhenUsed/>
    <w:rsid w:val="004D76A1"/>
    <w:pPr>
      <w:spacing w:before="100" w:beforeAutospacing="1" w:after="100" w:afterAutospacing="1" w:line="240" w:lineRule="auto"/>
    </w:pPr>
    <w:rPr>
      <w:rFonts w:ascii="Times New Roman" w:eastAsiaTheme="minorEastAsia" w:hAnsi="Times New Roman" w:cs="Times New Roman"/>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1731885863">
      <w:bodyDiv w:val="1"/>
      <w:marLeft w:val="0"/>
      <w:marRight w:val="0"/>
      <w:marTop w:val="0"/>
      <w:marBottom w:val="0"/>
      <w:divBdr>
        <w:top w:val="none" w:sz="0" w:space="0" w:color="auto"/>
        <w:left w:val="none" w:sz="0" w:space="0" w:color="auto"/>
        <w:bottom w:val="none" w:sz="0" w:space="0" w:color="auto"/>
        <w:right w:val="none" w:sz="0" w:space="0" w:color="auto"/>
      </w:divBdr>
    </w:div>
    <w:div w:id="201695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icann.org/resources/pages/approved-with-specs-2013-09-17-en"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a01.safelinks.protection.outlook.com/?url=https%3A%2F%2Fwww.icann.org%2Fen%2Fsystem%2Ffiles%2Fcorrespondence%2Fjelinek-to-marby-05jul18-en.pdf&amp;data=02%7C01%7CAHeineman%40ntia.doc.gov%7Ce2204584c473437d457a08d68c5fb63f%7Cd6cff1bd67dd4ce8945dd07dc775672f%7C0%7C0%7C636850740046319645&amp;sdata=eAe4gU6EtOX9W70GL3TtsDGON8RGg89T9yT8QkGplsU%3D&amp;reserved=0" TargetMode="External"/><Relationship Id="rId2" Type="http://schemas.openxmlformats.org/officeDocument/2006/relationships/hyperlink" Target="https://na01.safelinks.protection.outlook.com/?url=https%3A%2F%2Fwww.icann.org%2Fen%2Fsystem%2Ffiles%2Fcorrespondence%2Fjelinek-to-marby-11apr18-en.pdf&amp;data=02%7C01%7CAHeineman%40ntia.doc.gov%7Ce2204584c473437d457a08d68c5fb63f%7Cd6cff1bd67dd4ce8945dd07dc775672f%7C0%7C0%7C636850740046299975&amp;sdata=Y3YoFIiBNzOm9p5Db9YM8DlQ04wA1uvfelIVm5hTr8s%3D&amp;reserved=0" TargetMode="External"/><Relationship Id="rId1" Type="http://schemas.openxmlformats.org/officeDocument/2006/relationships/hyperlink" Target="https://na01.safelinks.protection.outlook.com/?url=https%3A%2F%2Fwww.icann.org%2Fen%2Fsystem%2Ffiles%2Fcorrespondence%2Fjelinek-to-marby-11apr18-en.pdf&amp;data=02%7C01%7CAHeineman%40ntia.doc.gov%7Ce2204584c473437d457a08d68c5fb63f%7Cd6cff1bd67dd4ce8945dd07dc775672f%7C0%7C0%7C636850740046289987&amp;sdata=xlH%2F6oT0XqWoA%2BbTPuq99ocnzoFC6F7J5BEKFatCDIM%3D&amp;reserved=0" TargetMode="External"/><Relationship Id="rId4" Type="http://schemas.openxmlformats.org/officeDocument/2006/relationships/hyperlink" Target="https://na01.safelinks.protection.outlook.com/?url=https%3A%2F%2Fwww.icann.org%2Fen%2Fsystem%2Ffiles%2Fcorrespondence%2Fjelinek-to-marby-11apr18-en.pdf&amp;data=02%7C01%7CAHeineman%40ntia.doc.gov%7Ce2204584c473437d457a08d68c5fb63f%7Cd6cff1bd67dd4ce8945dd07dc775672f%7C0%7C0%7C636850740046329633&amp;sdata=qJTRk7RBh%2FJCG7IU0BYzd4USXdlFtyvHs4wInRiOwZw%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D111-D611-2D43-AB32-4E2E7961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2248</Words>
  <Characters>12816</Characters>
  <Application>Microsoft Office Word</Application>
  <DocSecurity>0</DocSecurity>
  <Lines>106</Lines>
  <Paragraphs>30</Paragraphs>
  <ScaleCrop>false</ScaleCrop>
  <HeadingPairs>
    <vt:vector size="6" baseType="variant">
      <vt:variant>
        <vt:lpstr>Title</vt:lpstr>
      </vt:variant>
      <vt:variant>
        <vt:i4>1</vt:i4>
      </vt:variant>
      <vt:variant>
        <vt:lpstr>Titre</vt:lpstr>
      </vt:variant>
      <vt:variant>
        <vt:i4>1</vt:i4>
      </vt:variant>
      <vt:variant>
        <vt:lpstr>Titres</vt:lpstr>
      </vt:variant>
      <vt:variant>
        <vt:i4>10</vt:i4>
      </vt:variant>
    </vt:vector>
  </HeadingPairs>
  <TitlesOfParts>
    <vt:vector size="12" baseType="lpstr">
      <vt:lpstr/>
      <vt:lpstr/>
      <vt:lpstr/>
      <vt:lpstr>Governmental Advisory Committee Input on the Draft Final Report of the Expedited</vt:lpstr>
      <vt:lpstr/>
      <vt:lpstr/>
      <vt:lpstr>General Concern that Draft Final Report does not Sufficiently Recognize the Bene</vt:lpstr>
      <vt:lpstr>    Recommendation 2 which states [confirm final text]:</vt:lpstr>
      <vt:lpstr/>
      <vt:lpstr>The GAC believes the recommendation provides much needed clarity around what a r</vt:lpstr>
      <vt:lpstr>Additional Comments:</vt:lpstr>
      <vt:lpstr/>
    </vt:vector>
  </TitlesOfParts>
  <Company>Federal Trade Commission</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Kapin, Laureen</dc:creator>
  <cp:lastModifiedBy>Fabien Betremieux</cp:lastModifiedBy>
  <cp:revision>2</cp:revision>
  <cp:lastPrinted>2019-02-14T16:17:00Z</cp:lastPrinted>
  <dcterms:created xsi:type="dcterms:W3CDTF">2019-02-19T20:04:00Z</dcterms:created>
  <dcterms:modified xsi:type="dcterms:W3CDTF">2019-02-19T20:04:00Z</dcterms:modified>
</cp:coreProperties>
</file>