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3E0F90" w14:textId="1F7662F9" w:rsidR="003140A8" w:rsidRPr="003140A8" w:rsidRDefault="003140A8" w:rsidP="003140A8">
      <w:pPr>
        <w:pBdr>
          <w:bottom w:val="single" w:sz="4" w:space="1" w:color="auto"/>
        </w:pBdr>
        <w:ind w:left="360" w:hanging="360"/>
        <w:rPr>
          <w:b/>
          <w:bCs/>
          <w:lang w:val="en-US"/>
        </w:rPr>
      </w:pPr>
      <w:r w:rsidRPr="003140A8">
        <w:rPr>
          <w:b/>
          <w:bCs/>
          <w:lang w:val="en-US"/>
        </w:rPr>
        <w:t>Items for discussion</w:t>
      </w:r>
    </w:p>
    <w:p w14:paraId="36B25B89" w14:textId="77777777" w:rsidR="003140A8" w:rsidRDefault="003140A8" w:rsidP="00332DA0">
      <w:pPr>
        <w:ind w:left="360" w:hanging="360"/>
      </w:pPr>
    </w:p>
    <w:p w14:paraId="3EB99723" w14:textId="65D7FC37" w:rsidR="00C02486" w:rsidRPr="003140A8" w:rsidRDefault="00C02486" w:rsidP="00332DA0">
      <w:pPr>
        <w:pStyle w:val="ListParagraph"/>
        <w:numPr>
          <w:ilvl w:val="0"/>
          <w:numId w:val="5"/>
        </w:numPr>
        <w:rPr>
          <w:b/>
          <w:bCs/>
        </w:rPr>
      </w:pPr>
      <w:r w:rsidRPr="003140A8">
        <w:rPr>
          <w:b/>
          <w:bCs/>
        </w:rPr>
        <w:t>Standardized data element</w:t>
      </w:r>
    </w:p>
    <w:p w14:paraId="0F6E69A1" w14:textId="77777777" w:rsidR="00C02486" w:rsidRDefault="00C02486"/>
    <w:tbl>
      <w:tblPr>
        <w:tblW w:w="139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65"/>
        <w:gridCol w:w="1007"/>
        <w:gridCol w:w="2876"/>
        <w:gridCol w:w="3603"/>
        <w:gridCol w:w="4531"/>
      </w:tblGrid>
      <w:tr w:rsidR="00C02486" w:rsidRPr="00461559" w14:paraId="71CBA765" w14:textId="77777777" w:rsidTr="005B1D84">
        <w:tc>
          <w:tcPr>
            <w:tcW w:w="1965" w:type="dxa"/>
            <w:shd w:val="clear" w:color="auto" w:fill="00B0F0"/>
          </w:tcPr>
          <w:p w14:paraId="1380898F" w14:textId="6AC31EFC" w:rsidR="00C02486" w:rsidRPr="00C02486" w:rsidRDefault="00C02486" w:rsidP="00C02486">
            <w:pPr>
              <w:pStyle w:val="ListParagraph"/>
              <w:numPr>
                <w:ilvl w:val="0"/>
                <w:numId w:val="2"/>
              </w:numPr>
              <w:rPr>
                <w:rFonts w:asciiTheme="majorHAnsi" w:hAnsiTheme="majorHAnsi" w:cstheme="majorHAnsi"/>
                <w:bCs/>
                <w:sz w:val="22"/>
                <w:szCs w:val="22"/>
              </w:rPr>
            </w:pPr>
            <w:r w:rsidRPr="00C02486">
              <w:rPr>
                <w:rFonts w:asciiTheme="majorHAnsi" w:hAnsiTheme="majorHAnsi" w:cstheme="majorHAnsi"/>
                <w:bCs/>
                <w:sz w:val="22"/>
                <w:szCs w:val="22"/>
              </w:rPr>
              <w:t>90-97</w:t>
            </w:r>
            <w:r>
              <w:rPr>
                <w:rFonts w:asciiTheme="majorHAnsi" w:hAnsiTheme="majorHAnsi" w:cstheme="majorHAnsi"/>
                <w:bCs/>
                <w:sz w:val="22"/>
                <w:szCs w:val="22"/>
              </w:rPr>
              <w:t xml:space="preserve"> (132-139 in updated version)</w:t>
            </w:r>
          </w:p>
        </w:tc>
        <w:tc>
          <w:tcPr>
            <w:tcW w:w="1007" w:type="dxa"/>
            <w:shd w:val="clear" w:color="auto" w:fill="00B0F0"/>
          </w:tcPr>
          <w:p w14:paraId="4529FE54" w14:textId="77777777" w:rsidR="00C02486" w:rsidRPr="00461559" w:rsidRDefault="00C02486" w:rsidP="005B1D84">
            <w:pPr>
              <w:rPr>
                <w:rFonts w:asciiTheme="majorHAnsi" w:hAnsiTheme="majorHAnsi" w:cstheme="majorHAnsi"/>
                <w:sz w:val="22"/>
                <w:szCs w:val="22"/>
              </w:rPr>
            </w:pPr>
            <w:r w:rsidRPr="00461559">
              <w:rPr>
                <w:rFonts w:asciiTheme="majorHAnsi" w:hAnsiTheme="majorHAnsi" w:cstheme="majorHAnsi"/>
                <w:sz w:val="22"/>
                <w:szCs w:val="22"/>
              </w:rPr>
              <w:t>SSAC</w:t>
            </w:r>
          </w:p>
        </w:tc>
        <w:tc>
          <w:tcPr>
            <w:tcW w:w="2876" w:type="dxa"/>
            <w:shd w:val="clear" w:color="auto" w:fill="00B0F0"/>
          </w:tcPr>
          <w:p w14:paraId="770EAC03" w14:textId="77777777" w:rsidR="00C02486" w:rsidRPr="00461559" w:rsidRDefault="00C02486" w:rsidP="005B1D84">
            <w:pPr>
              <w:rPr>
                <w:rFonts w:asciiTheme="majorHAnsi" w:hAnsiTheme="majorHAnsi" w:cstheme="majorHAnsi"/>
                <w:sz w:val="22"/>
                <w:szCs w:val="22"/>
              </w:rPr>
            </w:pPr>
            <w:r w:rsidRPr="00461559">
              <w:rPr>
                <w:rFonts w:asciiTheme="majorHAnsi" w:hAnsiTheme="majorHAnsi" w:cstheme="majorHAnsi"/>
                <w:sz w:val="22"/>
                <w:szCs w:val="22"/>
              </w:rPr>
              <w:t>Ensure the data element can be extensible</w:t>
            </w:r>
          </w:p>
        </w:tc>
        <w:tc>
          <w:tcPr>
            <w:tcW w:w="3603" w:type="dxa"/>
            <w:shd w:val="clear" w:color="auto" w:fill="00B0F0"/>
          </w:tcPr>
          <w:p w14:paraId="08E9E495" w14:textId="77777777" w:rsidR="00C02486" w:rsidRPr="00461559" w:rsidRDefault="00C02486" w:rsidP="005B1D84">
            <w:pPr>
              <w:rPr>
                <w:rFonts w:asciiTheme="majorHAnsi" w:hAnsiTheme="majorHAnsi" w:cstheme="majorHAnsi"/>
                <w:sz w:val="22"/>
                <w:szCs w:val="22"/>
              </w:rPr>
            </w:pPr>
            <w:r w:rsidRPr="00461559">
              <w:rPr>
                <w:rFonts w:asciiTheme="majorHAnsi" w:hAnsiTheme="majorHAnsi" w:cstheme="majorHAnsi"/>
                <w:sz w:val="22"/>
                <w:szCs w:val="22"/>
              </w:rPr>
              <w:t>New text:  This data element should be defined in an extensible way. This field must support enumerated values of “Legal, Natural, and Unknown” but should be able to expand in future to accommodate additional data.</w:t>
            </w:r>
          </w:p>
        </w:tc>
        <w:tc>
          <w:tcPr>
            <w:tcW w:w="4531" w:type="dxa"/>
            <w:shd w:val="clear" w:color="auto" w:fill="00B0F0"/>
          </w:tcPr>
          <w:p w14:paraId="0FF2D46A" w14:textId="77777777" w:rsidR="00C02486" w:rsidRPr="00461559" w:rsidRDefault="00C02486" w:rsidP="005B1D84">
            <w:pPr>
              <w:rPr>
                <w:rFonts w:asciiTheme="majorHAnsi" w:hAnsiTheme="majorHAnsi" w:cstheme="majorHAnsi"/>
                <w:sz w:val="22"/>
                <w:szCs w:val="22"/>
              </w:rPr>
            </w:pPr>
            <w:r w:rsidRPr="00461559">
              <w:rPr>
                <w:rFonts w:asciiTheme="majorHAnsi" w:hAnsiTheme="majorHAnsi" w:cstheme="majorHAnsi"/>
                <w:sz w:val="22"/>
                <w:szCs w:val="22"/>
              </w:rPr>
              <w:t>EPDP Team to discuss – is this necessary or it is per definition extensible. If this language is added, it may need to specify who/how extensions are made?</w:t>
            </w:r>
          </w:p>
        </w:tc>
      </w:tr>
    </w:tbl>
    <w:p w14:paraId="43BA8C67" w14:textId="67431893" w:rsidR="00C02486" w:rsidRDefault="00C02486"/>
    <w:p w14:paraId="14129CD7" w14:textId="4A0F0EDA" w:rsidR="00C02486" w:rsidRPr="003140A8" w:rsidRDefault="00C02486" w:rsidP="00332DA0">
      <w:pPr>
        <w:pStyle w:val="ListParagraph"/>
        <w:numPr>
          <w:ilvl w:val="0"/>
          <w:numId w:val="2"/>
        </w:numPr>
        <w:rPr>
          <w:b/>
          <w:bCs/>
        </w:rPr>
      </w:pPr>
      <w:r w:rsidRPr="003140A8">
        <w:rPr>
          <w:b/>
          <w:bCs/>
        </w:rPr>
        <w:t>Footnote 5</w:t>
      </w:r>
      <w:r w:rsidRPr="003140A8">
        <w:rPr>
          <w:b/>
          <w:bCs/>
        </w:rPr>
        <w:t xml:space="preserve"> </w:t>
      </w:r>
      <w:r w:rsidRPr="003140A8">
        <w:rPr>
          <w:b/>
          <w:bCs/>
        </w:rPr>
        <w:t>“</w:t>
      </w:r>
      <w:r w:rsidRPr="003140A8">
        <w:rPr>
          <w:b/>
          <w:bCs/>
        </w:rPr>
        <w:t>The personal/non-personal distinction only applies/is relevant for registrants who have self-identified as legal persons</w:t>
      </w:r>
      <w:r w:rsidRPr="003140A8">
        <w:rPr>
          <w:b/>
          <w:bCs/>
        </w:rPr>
        <w:t>”</w:t>
      </w:r>
      <w:r w:rsidRPr="003140A8">
        <w:rPr>
          <w:b/>
          <w:bCs/>
        </w:rPr>
        <w:t xml:space="preserve">.  </w:t>
      </w:r>
    </w:p>
    <w:p w14:paraId="0C077F4F" w14:textId="77777777" w:rsidR="00C02486" w:rsidRDefault="00C02486"/>
    <w:tbl>
      <w:tblPr>
        <w:tblW w:w="139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65"/>
        <w:gridCol w:w="1007"/>
        <w:gridCol w:w="2876"/>
        <w:gridCol w:w="3603"/>
        <w:gridCol w:w="4531"/>
      </w:tblGrid>
      <w:tr w:rsidR="00C02486" w:rsidRPr="00461559" w14:paraId="6BCE9C0B" w14:textId="77777777" w:rsidTr="005B1D84">
        <w:tc>
          <w:tcPr>
            <w:tcW w:w="1965" w:type="dxa"/>
            <w:shd w:val="clear" w:color="auto" w:fill="00B0F0"/>
          </w:tcPr>
          <w:p w14:paraId="38FB4A4D" w14:textId="43C8A16D" w:rsidR="00C02486" w:rsidRPr="00C02486" w:rsidRDefault="00C02486" w:rsidP="00C02486">
            <w:pPr>
              <w:pStyle w:val="ListParagraph"/>
              <w:numPr>
                <w:ilvl w:val="0"/>
                <w:numId w:val="3"/>
              </w:numPr>
              <w:rPr>
                <w:rFonts w:asciiTheme="majorHAnsi" w:hAnsiTheme="majorHAnsi" w:cstheme="majorHAnsi"/>
                <w:bCs/>
                <w:sz w:val="22"/>
                <w:szCs w:val="22"/>
              </w:rPr>
            </w:pPr>
            <w:r w:rsidRPr="00C02486">
              <w:rPr>
                <w:rFonts w:asciiTheme="majorHAnsi" w:hAnsiTheme="majorHAnsi" w:cstheme="majorHAnsi"/>
                <w:bCs/>
                <w:sz w:val="22"/>
                <w:szCs w:val="22"/>
              </w:rPr>
              <w:t>167</w:t>
            </w:r>
          </w:p>
        </w:tc>
        <w:tc>
          <w:tcPr>
            <w:tcW w:w="1007" w:type="dxa"/>
            <w:shd w:val="clear" w:color="auto" w:fill="00B0F0"/>
          </w:tcPr>
          <w:p w14:paraId="1B5E46F0" w14:textId="77777777" w:rsidR="00C02486" w:rsidRPr="00461559" w:rsidRDefault="00C02486" w:rsidP="005B1D84">
            <w:pPr>
              <w:rPr>
                <w:rFonts w:asciiTheme="majorHAnsi" w:hAnsiTheme="majorHAnsi" w:cstheme="majorHAnsi"/>
                <w:sz w:val="22"/>
                <w:szCs w:val="22"/>
              </w:rPr>
            </w:pPr>
            <w:r w:rsidRPr="00461559">
              <w:rPr>
                <w:rFonts w:asciiTheme="majorHAnsi" w:hAnsiTheme="majorHAnsi" w:cstheme="majorHAnsi"/>
                <w:sz w:val="22"/>
                <w:szCs w:val="22"/>
              </w:rPr>
              <w:t>IPC</w:t>
            </w:r>
          </w:p>
        </w:tc>
        <w:tc>
          <w:tcPr>
            <w:tcW w:w="2876" w:type="dxa"/>
            <w:shd w:val="clear" w:color="auto" w:fill="00B0F0"/>
          </w:tcPr>
          <w:p w14:paraId="0AD42C4C" w14:textId="77777777" w:rsidR="00C02486" w:rsidRPr="00461559" w:rsidRDefault="00C02486" w:rsidP="005B1D84">
            <w:pPr>
              <w:rPr>
                <w:rFonts w:asciiTheme="majorHAnsi" w:hAnsiTheme="majorHAnsi" w:cstheme="majorHAnsi"/>
                <w:sz w:val="22"/>
                <w:szCs w:val="22"/>
              </w:rPr>
            </w:pPr>
            <w:r w:rsidRPr="00461559">
              <w:rPr>
                <w:rFonts w:asciiTheme="majorHAnsi" w:hAnsiTheme="majorHAnsi" w:cstheme="majorHAnsi"/>
                <w:sz w:val="22"/>
                <w:szCs w:val="22"/>
              </w:rPr>
              <w:t xml:space="preserve">We object to this as a blanket assertion. This could also apply in other situations, including where CPs have a legal obligation to distinguish. </w:t>
            </w:r>
          </w:p>
        </w:tc>
        <w:tc>
          <w:tcPr>
            <w:tcW w:w="3603" w:type="dxa"/>
            <w:shd w:val="clear" w:color="auto" w:fill="00B0F0"/>
          </w:tcPr>
          <w:p w14:paraId="08B4218D" w14:textId="77777777" w:rsidR="00C02486" w:rsidRPr="00461559" w:rsidRDefault="00C02486" w:rsidP="005B1D84">
            <w:pPr>
              <w:rPr>
                <w:rFonts w:asciiTheme="majorHAnsi" w:hAnsiTheme="majorHAnsi" w:cstheme="majorHAnsi"/>
                <w:sz w:val="22"/>
                <w:szCs w:val="22"/>
              </w:rPr>
            </w:pPr>
            <w:r w:rsidRPr="00461559">
              <w:rPr>
                <w:rFonts w:asciiTheme="majorHAnsi" w:hAnsiTheme="majorHAnsi" w:cstheme="majorHAnsi"/>
                <w:sz w:val="22"/>
                <w:szCs w:val="22"/>
              </w:rPr>
              <w:t xml:space="preserve">Strike footnote 5. </w:t>
            </w:r>
          </w:p>
        </w:tc>
        <w:tc>
          <w:tcPr>
            <w:tcW w:w="4531" w:type="dxa"/>
            <w:shd w:val="clear" w:color="auto" w:fill="00B0F0"/>
          </w:tcPr>
          <w:p w14:paraId="0177CBB5" w14:textId="77777777" w:rsidR="00C02486" w:rsidRPr="00461559" w:rsidRDefault="00C02486" w:rsidP="005B1D84">
            <w:pPr>
              <w:rPr>
                <w:rFonts w:asciiTheme="majorHAnsi" w:hAnsiTheme="majorHAnsi" w:cstheme="majorHAnsi"/>
                <w:sz w:val="22"/>
                <w:szCs w:val="22"/>
              </w:rPr>
            </w:pPr>
            <w:r w:rsidRPr="00461559">
              <w:rPr>
                <w:rFonts w:asciiTheme="majorHAnsi" w:hAnsiTheme="majorHAnsi" w:cstheme="majorHAnsi"/>
                <w:sz w:val="22"/>
                <w:szCs w:val="22"/>
              </w:rPr>
              <w:t xml:space="preserve">Change not applied – this footnote was added at the request of the GAC. GAC to confirm whether it can live with the removal of this footnote. </w:t>
            </w:r>
          </w:p>
        </w:tc>
      </w:tr>
    </w:tbl>
    <w:p w14:paraId="011E5121" w14:textId="1E34A475" w:rsidR="00C02486" w:rsidRDefault="00C02486"/>
    <w:p w14:paraId="6495D419" w14:textId="49DF06AA" w:rsidR="00C02486" w:rsidRPr="003140A8" w:rsidRDefault="00C02486" w:rsidP="00332DA0">
      <w:pPr>
        <w:pStyle w:val="ListParagraph"/>
        <w:numPr>
          <w:ilvl w:val="0"/>
          <w:numId w:val="2"/>
        </w:numPr>
        <w:rPr>
          <w:b/>
          <w:bCs/>
        </w:rPr>
      </w:pPr>
      <w:r w:rsidRPr="003140A8">
        <w:rPr>
          <w:b/>
          <w:bCs/>
        </w:rPr>
        <w:t xml:space="preserve">Background Info D. – GDPR principles that may apply (originally added at the suggestion of the </w:t>
      </w:r>
      <w:proofErr w:type="spellStart"/>
      <w:r w:rsidRPr="003140A8">
        <w:rPr>
          <w:b/>
          <w:bCs/>
        </w:rPr>
        <w:t>RrSG</w:t>
      </w:r>
      <w:proofErr w:type="spellEnd"/>
      <w:r w:rsidRPr="003140A8">
        <w:rPr>
          <w:b/>
          <w:bCs/>
        </w:rPr>
        <w:t xml:space="preserve"> to account for principles that were not captured in the guidance from the </w:t>
      </w:r>
      <w:proofErr w:type="spellStart"/>
      <w:r w:rsidRPr="003140A8">
        <w:rPr>
          <w:b/>
          <w:bCs/>
        </w:rPr>
        <w:t>RrSG</w:t>
      </w:r>
      <w:proofErr w:type="spellEnd"/>
      <w:r w:rsidRPr="003140A8">
        <w:rPr>
          <w:b/>
          <w:bCs/>
        </w:rPr>
        <w:t xml:space="preserve"> table)</w:t>
      </w:r>
    </w:p>
    <w:p w14:paraId="52D99D19" w14:textId="77777777" w:rsidR="00C02486" w:rsidRDefault="00C02486"/>
    <w:tbl>
      <w:tblPr>
        <w:tblW w:w="139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65"/>
        <w:gridCol w:w="1007"/>
        <w:gridCol w:w="2876"/>
        <w:gridCol w:w="3603"/>
        <w:gridCol w:w="4531"/>
      </w:tblGrid>
      <w:tr w:rsidR="00C02486" w:rsidRPr="00461559" w14:paraId="753D220C" w14:textId="77777777" w:rsidTr="005B1D84">
        <w:trPr>
          <w:trHeight w:val="277"/>
        </w:trPr>
        <w:tc>
          <w:tcPr>
            <w:tcW w:w="1965" w:type="dxa"/>
            <w:shd w:val="clear" w:color="auto" w:fill="00B0F0"/>
          </w:tcPr>
          <w:p w14:paraId="3CDC9EA8" w14:textId="4058AFB4" w:rsidR="00C02486" w:rsidRPr="00C02486" w:rsidRDefault="00C02486" w:rsidP="00C02486">
            <w:pPr>
              <w:pStyle w:val="ListParagraph"/>
              <w:numPr>
                <w:ilvl w:val="0"/>
                <w:numId w:val="3"/>
              </w:numPr>
              <w:rPr>
                <w:rFonts w:asciiTheme="majorHAnsi" w:hAnsiTheme="majorHAnsi" w:cstheme="majorHAnsi"/>
                <w:bCs/>
                <w:sz w:val="22"/>
                <w:szCs w:val="22"/>
              </w:rPr>
            </w:pPr>
            <w:r w:rsidRPr="00C02486">
              <w:rPr>
                <w:rFonts w:asciiTheme="majorHAnsi" w:hAnsiTheme="majorHAnsi" w:cstheme="majorHAnsi"/>
                <w:bCs/>
                <w:sz w:val="22"/>
                <w:szCs w:val="22"/>
              </w:rPr>
              <w:t>200-214</w:t>
            </w:r>
            <w:r>
              <w:rPr>
                <w:rFonts w:asciiTheme="majorHAnsi" w:hAnsiTheme="majorHAnsi" w:cstheme="majorHAnsi"/>
                <w:bCs/>
                <w:sz w:val="22"/>
                <w:szCs w:val="22"/>
              </w:rPr>
              <w:t xml:space="preserve"> (256-270 in updated version)</w:t>
            </w:r>
          </w:p>
        </w:tc>
        <w:tc>
          <w:tcPr>
            <w:tcW w:w="1007" w:type="dxa"/>
            <w:shd w:val="clear" w:color="auto" w:fill="00B0F0"/>
          </w:tcPr>
          <w:p w14:paraId="76BF5CE8" w14:textId="77777777" w:rsidR="00C02486" w:rsidRPr="00461559" w:rsidRDefault="00C02486" w:rsidP="005B1D84">
            <w:pPr>
              <w:rPr>
                <w:rFonts w:asciiTheme="majorHAnsi" w:hAnsiTheme="majorHAnsi" w:cstheme="majorHAnsi"/>
                <w:sz w:val="22"/>
                <w:szCs w:val="22"/>
              </w:rPr>
            </w:pPr>
            <w:r w:rsidRPr="00461559">
              <w:rPr>
                <w:rFonts w:asciiTheme="majorHAnsi" w:hAnsiTheme="majorHAnsi" w:cstheme="majorHAnsi"/>
                <w:sz w:val="22"/>
                <w:szCs w:val="22"/>
              </w:rPr>
              <w:t>IPC, BC, ALAC, GAC</w:t>
            </w:r>
          </w:p>
        </w:tc>
        <w:tc>
          <w:tcPr>
            <w:tcW w:w="2876" w:type="dxa"/>
            <w:shd w:val="clear" w:color="auto" w:fill="00B0F0"/>
          </w:tcPr>
          <w:p w14:paraId="265C343B" w14:textId="77777777" w:rsidR="00C02486" w:rsidRPr="00461559" w:rsidRDefault="00C02486" w:rsidP="005B1D84">
            <w:pPr>
              <w:rPr>
                <w:rFonts w:asciiTheme="majorHAnsi" w:hAnsiTheme="majorHAnsi" w:cstheme="majorHAnsi"/>
                <w:sz w:val="22"/>
                <w:szCs w:val="22"/>
              </w:rPr>
            </w:pPr>
            <w:r w:rsidRPr="00461559">
              <w:rPr>
                <w:rFonts w:asciiTheme="majorHAnsi" w:hAnsiTheme="majorHAnsi" w:cstheme="majorHAnsi"/>
                <w:sz w:val="22"/>
                <w:szCs w:val="22"/>
              </w:rPr>
              <w:t xml:space="preserve">What is the point of this section (D.)? References to “controller” are not helpful as ICANN has recently avoided ‘admitting’ its controllership. Each CP must determine for itself if/how data protection law might impact its processing. This appears to be quasi-legal advice, which </w:t>
            </w:r>
            <w:r w:rsidRPr="00461559">
              <w:rPr>
                <w:rFonts w:asciiTheme="majorHAnsi" w:hAnsiTheme="majorHAnsi" w:cstheme="majorHAnsi"/>
                <w:sz w:val="22"/>
                <w:szCs w:val="22"/>
              </w:rPr>
              <w:lastRenderedPageBreak/>
              <w:t>should be avoided. We should also avoid paraphrasing the GDPR.</w:t>
            </w:r>
          </w:p>
        </w:tc>
        <w:tc>
          <w:tcPr>
            <w:tcW w:w="3603" w:type="dxa"/>
            <w:shd w:val="clear" w:color="auto" w:fill="00B0F0"/>
          </w:tcPr>
          <w:p w14:paraId="3A4C9054" w14:textId="77777777" w:rsidR="00C02486" w:rsidRPr="00461559" w:rsidRDefault="00C02486" w:rsidP="005B1D84">
            <w:pPr>
              <w:rPr>
                <w:rFonts w:asciiTheme="majorHAnsi" w:hAnsiTheme="majorHAnsi" w:cstheme="majorHAnsi"/>
                <w:sz w:val="22"/>
                <w:szCs w:val="22"/>
              </w:rPr>
            </w:pPr>
            <w:r w:rsidRPr="00461559">
              <w:rPr>
                <w:rFonts w:asciiTheme="majorHAnsi" w:hAnsiTheme="majorHAnsi" w:cstheme="majorHAnsi"/>
                <w:sz w:val="22"/>
                <w:szCs w:val="22"/>
              </w:rPr>
              <w:lastRenderedPageBreak/>
              <w:t>Strike</w:t>
            </w:r>
          </w:p>
        </w:tc>
        <w:tc>
          <w:tcPr>
            <w:tcW w:w="4531" w:type="dxa"/>
            <w:shd w:val="clear" w:color="auto" w:fill="00B0F0"/>
          </w:tcPr>
          <w:p w14:paraId="2649B8A4" w14:textId="77777777" w:rsidR="00C02486" w:rsidRPr="00461559" w:rsidRDefault="00C02486" w:rsidP="005B1D84">
            <w:pPr>
              <w:rPr>
                <w:rFonts w:asciiTheme="majorHAnsi" w:hAnsiTheme="majorHAnsi" w:cstheme="majorHAnsi"/>
                <w:sz w:val="22"/>
                <w:szCs w:val="22"/>
              </w:rPr>
            </w:pPr>
            <w:r w:rsidRPr="00461559">
              <w:rPr>
                <w:rFonts w:asciiTheme="majorHAnsi" w:hAnsiTheme="majorHAnsi" w:cstheme="majorHAnsi"/>
                <w:sz w:val="22"/>
                <w:szCs w:val="22"/>
              </w:rPr>
              <w:t xml:space="preserve">Action item was assigned to GAC and RrSG Team to review this section and factor in concerns about it. </w:t>
            </w:r>
          </w:p>
        </w:tc>
      </w:tr>
    </w:tbl>
    <w:p w14:paraId="2E66E7F0" w14:textId="645E05C2" w:rsidR="00C02486" w:rsidRDefault="00C02486"/>
    <w:p w14:paraId="060FC064" w14:textId="28D33E86" w:rsidR="00332DA0" w:rsidRPr="003140A8" w:rsidRDefault="00332DA0" w:rsidP="003140A8">
      <w:pPr>
        <w:pStyle w:val="ListParagraph"/>
        <w:numPr>
          <w:ilvl w:val="0"/>
          <w:numId w:val="3"/>
        </w:numPr>
        <w:rPr>
          <w:b/>
          <w:bCs/>
        </w:rPr>
      </w:pPr>
      <w:r w:rsidRPr="003140A8">
        <w:rPr>
          <w:b/>
          <w:bCs/>
        </w:rPr>
        <w:t>New recommendation (</w:t>
      </w:r>
      <w:proofErr w:type="spellStart"/>
      <w:r w:rsidRPr="003140A8">
        <w:rPr>
          <w:b/>
          <w:bCs/>
        </w:rPr>
        <w:t>LvN</w:t>
      </w:r>
      <w:proofErr w:type="spellEnd"/>
      <w:r w:rsidRPr="003140A8">
        <w:rPr>
          <w:b/>
          <w:bCs/>
        </w:rPr>
        <w:t xml:space="preserve"> guidance):</w:t>
      </w:r>
    </w:p>
    <w:p w14:paraId="3264903A" w14:textId="56FDDA75" w:rsidR="00332DA0" w:rsidRDefault="00332DA0">
      <w:pPr>
        <w:rPr>
          <w:lang w:val="en-US"/>
        </w:rPr>
      </w:pPr>
    </w:p>
    <w:p w14:paraId="02AE8557" w14:textId="7BFBDE9C" w:rsidR="00332DA0" w:rsidRDefault="00332DA0" w:rsidP="003140A8">
      <w:r w:rsidRPr="003140A8">
        <w:rPr>
          <w:highlight w:val="yellow"/>
        </w:rPr>
        <w:t>[</w:t>
      </w:r>
      <w:r w:rsidRPr="003140A8">
        <w:rPr>
          <w:highlight w:val="yellow"/>
        </w:rPr>
        <w:t xml:space="preserve">5. </w:t>
      </w:r>
      <w:r w:rsidRPr="003140A8">
        <w:rPr>
          <w:highlight w:val="yellow"/>
        </w:rPr>
        <w:t>If the Registrants identify as legal persons and confirm that their registration data does not include personal data, then Registrars must publish the Registration Data in the publicly accessible Registration Data Directory Services</w:t>
      </w:r>
      <w:r w:rsidRPr="00332DA0">
        <w:t xml:space="preserve">.] </w:t>
      </w:r>
    </w:p>
    <w:p w14:paraId="583C4215" w14:textId="1AC002FD" w:rsidR="00332DA0" w:rsidRDefault="00332DA0" w:rsidP="00332DA0">
      <w:pPr>
        <w:rPr>
          <w:lang w:val="en-US"/>
        </w:rPr>
      </w:pPr>
    </w:p>
    <w:tbl>
      <w:tblPr>
        <w:tblW w:w="139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65"/>
        <w:gridCol w:w="1007"/>
        <w:gridCol w:w="2876"/>
        <w:gridCol w:w="3603"/>
        <w:gridCol w:w="4531"/>
      </w:tblGrid>
      <w:tr w:rsidR="00332DA0" w:rsidRPr="00461559" w14:paraId="3078A007" w14:textId="77777777" w:rsidTr="005B1D84">
        <w:trPr>
          <w:trHeight w:val="277"/>
        </w:trPr>
        <w:tc>
          <w:tcPr>
            <w:tcW w:w="1965" w:type="dxa"/>
            <w:shd w:val="clear" w:color="auto" w:fill="00B0F0"/>
          </w:tcPr>
          <w:p w14:paraId="510E34C5" w14:textId="1D58CC9F" w:rsidR="00332DA0" w:rsidRPr="00332DA0" w:rsidRDefault="00332DA0" w:rsidP="00332DA0">
            <w:pPr>
              <w:pStyle w:val="ListParagraph"/>
              <w:numPr>
                <w:ilvl w:val="0"/>
                <w:numId w:val="4"/>
              </w:numPr>
              <w:rPr>
                <w:rFonts w:asciiTheme="majorHAnsi" w:hAnsiTheme="majorHAnsi" w:cstheme="majorHAnsi"/>
                <w:sz w:val="22"/>
                <w:szCs w:val="22"/>
              </w:rPr>
            </w:pPr>
            <w:r w:rsidRPr="00332DA0">
              <w:rPr>
                <w:rFonts w:asciiTheme="majorHAnsi" w:hAnsiTheme="majorHAnsi" w:cstheme="majorHAnsi"/>
                <w:bCs/>
                <w:sz w:val="22"/>
                <w:szCs w:val="22"/>
              </w:rPr>
              <w:t>288</w:t>
            </w:r>
            <w:r w:rsidRPr="00332DA0">
              <w:rPr>
                <w:rFonts w:asciiTheme="majorHAnsi" w:hAnsiTheme="majorHAnsi" w:cstheme="majorHAnsi"/>
                <w:sz w:val="22"/>
                <w:szCs w:val="22"/>
              </w:rPr>
              <w:t xml:space="preserve"> (new guidance)</w:t>
            </w:r>
            <w:r w:rsidRPr="00332DA0">
              <w:rPr>
                <w:rFonts w:asciiTheme="majorHAnsi" w:hAnsiTheme="majorHAnsi" w:cstheme="majorHAnsi"/>
                <w:sz w:val="22"/>
                <w:szCs w:val="22"/>
              </w:rPr>
              <w:t xml:space="preserve"> (346-348 in updated version)</w:t>
            </w:r>
          </w:p>
        </w:tc>
        <w:tc>
          <w:tcPr>
            <w:tcW w:w="1007" w:type="dxa"/>
            <w:shd w:val="clear" w:color="auto" w:fill="00B0F0"/>
          </w:tcPr>
          <w:p w14:paraId="290B3C97" w14:textId="77777777" w:rsidR="00332DA0" w:rsidRPr="00461559" w:rsidRDefault="00332DA0" w:rsidP="005B1D84">
            <w:pPr>
              <w:rPr>
                <w:rFonts w:asciiTheme="majorHAnsi" w:hAnsiTheme="majorHAnsi" w:cstheme="majorHAnsi"/>
                <w:sz w:val="22"/>
                <w:szCs w:val="22"/>
              </w:rPr>
            </w:pPr>
            <w:r w:rsidRPr="00461559">
              <w:rPr>
                <w:rFonts w:asciiTheme="majorHAnsi" w:hAnsiTheme="majorHAnsi" w:cstheme="majorHAnsi"/>
                <w:sz w:val="22"/>
                <w:szCs w:val="22"/>
              </w:rPr>
              <w:t>RySG</w:t>
            </w:r>
          </w:p>
        </w:tc>
        <w:tc>
          <w:tcPr>
            <w:tcW w:w="2876" w:type="dxa"/>
            <w:shd w:val="clear" w:color="auto" w:fill="00B0F0"/>
          </w:tcPr>
          <w:p w14:paraId="2F202A39" w14:textId="77777777" w:rsidR="00332DA0" w:rsidRPr="00461559" w:rsidRDefault="00332DA0" w:rsidP="005B1D84">
            <w:pPr>
              <w:rPr>
                <w:rFonts w:asciiTheme="majorHAnsi" w:hAnsiTheme="majorHAnsi" w:cstheme="majorHAnsi"/>
                <w:sz w:val="22"/>
                <w:szCs w:val="22"/>
              </w:rPr>
            </w:pPr>
            <w:r w:rsidRPr="00461559">
              <w:rPr>
                <w:rFonts w:asciiTheme="majorHAnsi" w:hAnsiTheme="majorHAnsi" w:cstheme="majorHAnsi"/>
                <w:sz w:val="22"/>
                <w:szCs w:val="22"/>
              </w:rPr>
              <w:t>As previously noted the RySG is opposed to including information about the type (legal/natural) of registration in the public RDDS. Notwithstanding the above note, we do note that the team has not presented any justification as to why publication is necessary or why it serves an important purpose. This inclusion remains indicative as to why the guidance presented is objectively considered ‘bad practice’ when, in the absence of such justifications and strong purposes, an appropriate guidance should, in fact,  discourage such publication.</w:t>
            </w:r>
          </w:p>
        </w:tc>
        <w:tc>
          <w:tcPr>
            <w:tcW w:w="3603" w:type="dxa"/>
            <w:shd w:val="clear" w:color="auto" w:fill="00B0F0"/>
          </w:tcPr>
          <w:p w14:paraId="00009D7C" w14:textId="77777777" w:rsidR="00332DA0" w:rsidRPr="00461559" w:rsidRDefault="00332DA0" w:rsidP="005B1D84">
            <w:pPr>
              <w:rPr>
                <w:rFonts w:asciiTheme="majorHAnsi" w:hAnsiTheme="majorHAnsi" w:cstheme="majorHAnsi"/>
                <w:sz w:val="22"/>
                <w:szCs w:val="22"/>
              </w:rPr>
            </w:pPr>
            <w:r w:rsidRPr="00461559">
              <w:rPr>
                <w:rFonts w:asciiTheme="majorHAnsi" w:hAnsiTheme="majorHAnsi" w:cstheme="majorHAnsi"/>
                <w:sz w:val="22"/>
                <w:szCs w:val="22"/>
              </w:rPr>
              <w:t>if not deleted (as above) then we suggest change/addition: Registrars who choose to differentiate between legal and natural registrations SHOULD NOT include that information in the public RDDS.</w:t>
            </w:r>
          </w:p>
        </w:tc>
        <w:tc>
          <w:tcPr>
            <w:tcW w:w="4531" w:type="dxa"/>
            <w:shd w:val="clear" w:color="auto" w:fill="00B0F0"/>
          </w:tcPr>
          <w:p w14:paraId="32A64A2E" w14:textId="77777777" w:rsidR="00332DA0" w:rsidRPr="00461559" w:rsidRDefault="00332DA0" w:rsidP="005B1D84">
            <w:pPr>
              <w:rPr>
                <w:rFonts w:asciiTheme="majorHAnsi" w:hAnsiTheme="majorHAnsi" w:cstheme="majorHAnsi"/>
                <w:sz w:val="22"/>
                <w:szCs w:val="22"/>
              </w:rPr>
            </w:pPr>
            <w:r w:rsidRPr="00461559">
              <w:rPr>
                <w:rFonts w:asciiTheme="majorHAnsi" w:hAnsiTheme="majorHAnsi" w:cstheme="majorHAnsi"/>
                <w:sz w:val="22"/>
                <w:szCs w:val="22"/>
              </w:rPr>
              <w:t xml:space="preserve">EPDP Team to discuss – the proposed change would change the intent of the proposed language to the opposite. </w:t>
            </w:r>
          </w:p>
        </w:tc>
      </w:tr>
      <w:tr w:rsidR="00332DA0" w:rsidRPr="00461559" w14:paraId="2E9E75B1" w14:textId="77777777" w:rsidTr="00332DA0">
        <w:trPr>
          <w:trHeight w:val="277"/>
        </w:trPr>
        <w:tc>
          <w:tcPr>
            <w:tcW w:w="1965" w:type="dxa"/>
            <w:tcBorders>
              <w:top w:val="single" w:sz="4" w:space="0" w:color="000000"/>
              <w:left w:val="single" w:sz="4" w:space="0" w:color="000000"/>
              <w:bottom w:val="single" w:sz="4" w:space="0" w:color="000000"/>
              <w:right w:val="single" w:sz="4" w:space="0" w:color="000000"/>
            </w:tcBorders>
            <w:shd w:val="clear" w:color="auto" w:fill="00B0F0"/>
          </w:tcPr>
          <w:p w14:paraId="721E65EF" w14:textId="3E4EA712" w:rsidR="00332DA0" w:rsidRPr="00332DA0" w:rsidRDefault="00332DA0" w:rsidP="00332DA0">
            <w:pPr>
              <w:pStyle w:val="ListParagraph"/>
              <w:numPr>
                <w:ilvl w:val="0"/>
                <w:numId w:val="4"/>
              </w:numPr>
              <w:rPr>
                <w:rFonts w:asciiTheme="majorHAnsi" w:hAnsiTheme="majorHAnsi" w:cstheme="majorHAnsi"/>
                <w:bCs/>
                <w:sz w:val="22"/>
                <w:szCs w:val="22"/>
              </w:rPr>
            </w:pPr>
            <w:r w:rsidRPr="00332DA0">
              <w:rPr>
                <w:rFonts w:asciiTheme="majorHAnsi" w:hAnsiTheme="majorHAnsi" w:cstheme="majorHAnsi"/>
                <w:bCs/>
                <w:sz w:val="22"/>
                <w:szCs w:val="22"/>
              </w:rPr>
              <w:lastRenderedPageBreak/>
              <w:t>288</w:t>
            </w:r>
          </w:p>
        </w:tc>
        <w:tc>
          <w:tcPr>
            <w:tcW w:w="1007" w:type="dxa"/>
            <w:tcBorders>
              <w:top w:val="single" w:sz="4" w:space="0" w:color="000000"/>
              <w:left w:val="single" w:sz="4" w:space="0" w:color="000000"/>
              <w:bottom w:val="single" w:sz="4" w:space="0" w:color="000000"/>
              <w:right w:val="single" w:sz="4" w:space="0" w:color="000000"/>
            </w:tcBorders>
            <w:shd w:val="clear" w:color="auto" w:fill="00B0F0"/>
          </w:tcPr>
          <w:p w14:paraId="133966C1" w14:textId="77777777" w:rsidR="00332DA0" w:rsidRPr="00461559" w:rsidRDefault="00332DA0" w:rsidP="005B1D84">
            <w:pPr>
              <w:rPr>
                <w:rFonts w:asciiTheme="majorHAnsi" w:hAnsiTheme="majorHAnsi" w:cstheme="majorHAnsi"/>
                <w:sz w:val="22"/>
                <w:szCs w:val="22"/>
              </w:rPr>
            </w:pPr>
            <w:r w:rsidRPr="00461559">
              <w:rPr>
                <w:rFonts w:asciiTheme="majorHAnsi" w:hAnsiTheme="majorHAnsi" w:cstheme="majorHAnsi"/>
                <w:sz w:val="22"/>
                <w:szCs w:val="22"/>
              </w:rPr>
              <w:t>BC, ALAC, GAC</w:t>
            </w:r>
          </w:p>
        </w:tc>
        <w:tc>
          <w:tcPr>
            <w:tcW w:w="2876" w:type="dxa"/>
            <w:tcBorders>
              <w:top w:val="single" w:sz="4" w:space="0" w:color="000000"/>
              <w:left w:val="single" w:sz="4" w:space="0" w:color="000000"/>
              <w:bottom w:val="single" w:sz="4" w:space="0" w:color="000000"/>
              <w:right w:val="single" w:sz="4" w:space="0" w:color="000000"/>
            </w:tcBorders>
            <w:shd w:val="clear" w:color="auto" w:fill="00B0F0"/>
          </w:tcPr>
          <w:p w14:paraId="1C27C75E" w14:textId="77777777" w:rsidR="00332DA0" w:rsidRPr="00461559" w:rsidRDefault="00332DA0" w:rsidP="005B1D84">
            <w:pPr>
              <w:rPr>
                <w:rFonts w:asciiTheme="majorHAnsi" w:hAnsiTheme="majorHAnsi" w:cstheme="majorHAnsi"/>
                <w:sz w:val="22"/>
                <w:szCs w:val="22"/>
              </w:rPr>
            </w:pPr>
            <w:r w:rsidRPr="00461559">
              <w:rPr>
                <w:rFonts w:asciiTheme="majorHAnsi" w:hAnsiTheme="majorHAnsi" w:cstheme="majorHAnsi"/>
                <w:sz w:val="22"/>
                <w:szCs w:val="22"/>
              </w:rPr>
              <w:t>Formatting</w:t>
            </w:r>
          </w:p>
          <w:p w14:paraId="3D181F0A" w14:textId="77777777" w:rsidR="00332DA0" w:rsidRPr="00461559" w:rsidRDefault="00332DA0" w:rsidP="005B1D84">
            <w:pPr>
              <w:rPr>
                <w:rFonts w:asciiTheme="majorHAnsi" w:hAnsiTheme="majorHAnsi" w:cstheme="majorHAnsi"/>
                <w:sz w:val="22"/>
                <w:szCs w:val="22"/>
              </w:rPr>
            </w:pPr>
          </w:p>
          <w:p w14:paraId="616B9DD2" w14:textId="77777777" w:rsidR="00332DA0" w:rsidRPr="00461559" w:rsidRDefault="00332DA0" w:rsidP="005B1D84">
            <w:pPr>
              <w:rPr>
                <w:rFonts w:asciiTheme="majorHAnsi" w:hAnsiTheme="majorHAnsi" w:cstheme="majorHAnsi"/>
                <w:sz w:val="22"/>
                <w:szCs w:val="22"/>
              </w:rPr>
            </w:pPr>
            <w:r w:rsidRPr="00461559">
              <w:rPr>
                <w:rFonts w:asciiTheme="majorHAnsi" w:hAnsiTheme="majorHAnsi" w:cstheme="majorHAnsi"/>
                <w:sz w:val="22"/>
                <w:szCs w:val="22"/>
              </w:rPr>
              <w:t>ALAC Note: It is unclear why there are square brackets. If a registrant has self-declared and confirms no personal data, there is no reason not to mark the registration as such. This is comparable to the Phase 1 Rec. #6 REQUIREMENT that a registrant be allowed to specify that their data not be redacted.</w:t>
            </w:r>
          </w:p>
        </w:tc>
        <w:tc>
          <w:tcPr>
            <w:tcW w:w="3603" w:type="dxa"/>
            <w:tcBorders>
              <w:top w:val="single" w:sz="4" w:space="0" w:color="000000"/>
              <w:left w:val="single" w:sz="4" w:space="0" w:color="000000"/>
              <w:bottom w:val="single" w:sz="4" w:space="0" w:color="000000"/>
              <w:right w:val="single" w:sz="4" w:space="0" w:color="000000"/>
            </w:tcBorders>
            <w:shd w:val="clear" w:color="auto" w:fill="00B0F0"/>
          </w:tcPr>
          <w:p w14:paraId="78925D4C" w14:textId="77777777" w:rsidR="00332DA0" w:rsidRPr="00461559" w:rsidRDefault="00332DA0" w:rsidP="005B1D84">
            <w:pPr>
              <w:rPr>
                <w:rFonts w:asciiTheme="majorHAnsi" w:hAnsiTheme="majorHAnsi" w:cstheme="majorHAnsi"/>
                <w:sz w:val="22"/>
                <w:szCs w:val="22"/>
              </w:rPr>
            </w:pPr>
            <w:r w:rsidRPr="00461559">
              <w:rPr>
                <w:rFonts w:asciiTheme="majorHAnsi" w:hAnsiTheme="majorHAnsi" w:cstheme="majorHAnsi"/>
                <w:sz w:val="22"/>
                <w:szCs w:val="22"/>
              </w:rPr>
              <w:t>remove square brackets</w:t>
            </w:r>
          </w:p>
        </w:tc>
        <w:tc>
          <w:tcPr>
            <w:tcW w:w="4531" w:type="dxa"/>
            <w:tcBorders>
              <w:top w:val="single" w:sz="4" w:space="0" w:color="000000"/>
              <w:left w:val="single" w:sz="4" w:space="0" w:color="000000"/>
              <w:bottom w:val="single" w:sz="4" w:space="0" w:color="000000"/>
              <w:right w:val="single" w:sz="4" w:space="0" w:color="000000"/>
            </w:tcBorders>
            <w:shd w:val="clear" w:color="auto" w:fill="00B0F0"/>
          </w:tcPr>
          <w:p w14:paraId="22122EE9" w14:textId="77777777" w:rsidR="00332DA0" w:rsidRPr="00461559" w:rsidRDefault="00332DA0" w:rsidP="005B1D84">
            <w:pPr>
              <w:rPr>
                <w:rFonts w:asciiTheme="majorHAnsi" w:hAnsiTheme="majorHAnsi" w:cstheme="majorHAnsi"/>
                <w:sz w:val="22"/>
                <w:szCs w:val="22"/>
              </w:rPr>
            </w:pPr>
            <w:r w:rsidRPr="00461559">
              <w:rPr>
                <w:rFonts w:asciiTheme="majorHAnsi" w:hAnsiTheme="majorHAnsi" w:cstheme="majorHAnsi"/>
                <w:sz w:val="22"/>
                <w:szCs w:val="22"/>
              </w:rPr>
              <w:t xml:space="preserve">Change not applied yet – awaiting input from others. As noted in the instruction email, this language is in brackets because it was proposed after the deadine for input. </w:t>
            </w:r>
          </w:p>
        </w:tc>
      </w:tr>
      <w:tr w:rsidR="003140A8" w:rsidRPr="00461559" w14:paraId="58ED63C0" w14:textId="77777777" w:rsidTr="003140A8">
        <w:trPr>
          <w:trHeight w:val="277"/>
        </w:trPr>
        <w:tc>
          <w:tcPr>
            <w:tcW w:w="1965" w:type="dxa"/>
            <w:tcBorders>
              <w:top w:val="single" w:sz="4" w:space="0" w:color="000000"/>
              <w:left w:val="single" w:sz="4" w:space="0" w:color="000000"/>
              <w:bottom w:val="single" w:sz="4" w:space="0" w:color="000000"/>
              <w:right w:val="single" w:sz="4" w:space="0" w:color="000000"/>
            </w:tcBorders>
            <w:shd w:val="clear" w:color="auto" w:fill="00B0F0"/>
          </w:tcPr>
          <w:p w14:paraId="353D64EE" w14:textId="77777777" w:rsidR="003140A8" w:rsidRPr="003140A8" w:rsidRDefault="003140A8" w:rsidP="003140A8">
            <w:pPr>
              <w:pStyle w:val="ListParagraph"/>
              <w:numPr>
                <w:ilvl w:val="0"/>
                <w:numId w:val="1"/>
              </w:numPr>
              <w:rPr>
                <w:rFonts w:asciiTheme="majorHAnsi" w:hAnsiTheme="majorHAnsi" w:cstheme="majorHAnsi"/>
                <w:bCs/>
                <w:sz w:val="22"/>
                <w:szCs w:val="22"/>
              </w:rPr>
            </w:pPr>
            <w:r w:rsidRPr="003140A8">
              <w:rPr>
                <w:rFonts w:asciiTheme="majorHAnsi" w:hAnsiTheme="majorHAnsi" w:cstheme="majorHAnsi"/>
                <w:bCs/>
                <w:sz w:val="22"/>
                <w:szCs w:val="22"/>
              </w:rPr>
              <w:t>288-290</w:t>
            </w:r>
          </w:p>
        </w:tc>
        <w:tc>
          <w:tcPr>
            <w:tcW w:w="1007" w:type="dxa"/>
            <w:tcBorders>
              <w:top w:val="single" w:sz="4" w:space="0" w:color="000000"/>
              <w:left w:val="single" w:sz="4" w:space="0" w:color="000000"/>
              <w:bottom w:val="single" w:sz="4" w:space="0" w:color="000000"/>
              <w:right w:val="single" w:sz="4" w:space="0" w:color="000000"/>
            </w:tcBorders>
            <w:shd w:val="clear" w:color="auto" w:fill="00B0F0"/>
          </w:tcPr>
          <w:p w14:paraId="0F55C8B8" w14:textId="77777777" w:rsidR="003140A8" w:rsidRPr="00461559" w:rsidRDefault="003140A8" w:rsidP="005B1D84">
            <w:pPr>
              <w:rPr>
                <w:rFonts w:asciiTheme="majorHAnsi" w:hAnsiTheme="majorHAnsi" w:cstheme="majorHAnsi"/>
                <w:sz w:val="22"/>
                <w:szCs w:val="22"/>
              </w:rPr>
            </w:pPr>
            <w:r w:rsidRPr="00461559">
              <w:rPr>
                <w:rFonts w:asciiTheme="majorHAnsi" w:hAnsiTheme="majorHAnsi" w:cstheme="majorHAnsi"/>
                <w:sz w:val="22"/>
                <w:szCs w:val="22"/>
              </w:rPr>
              <w:t>NCSG</w:t>
            </w:r>
          </w:p>
        </w:tc>
        <w:tc>
          <w:tcPr>
            <w:tcW w:w="2876" w:type="dxa"/>
            <w:tcBorders>
              <w:top w:val="single" w:sz="4" w:space="0" w:color="000000"/>
              <w:left w:val="single" w:sz="4" w:space="0" w:color="000000"/>
              <w:bottom w:val="single" w:sz="4" w:space="0" w:color="000000"/>
              <w:right w:val="single" w:sz="4" w:space="0" w:color="000000"/>
            </w:tcBorders>
            <w:shd w:val="clear" w:color="auto" w:fill="00B0F0"/>
          </w:tcPr>
          <w:p w14:paraId="6901EE8B" w14:textId="77777777" w:rsidR="003140A8" w:rsidRPr="00461559" w:rsidRDefault="003140A8" w:rsidP="003140A8">
            <w:pPr>
              <w:numPr>
                <w:ilvl w:val="0"/>
                <w:numId w:val="9"/>
              </w:numPr>
              <w:pBdr>
                <w:top w:val="nil"/>
                <w:left w:val="nil"/>
                <w:bottom w:val="nil"/>
                <w:right w:val="nil"/>
                <w:between w:val="nil"/>
              </w:pBdr>
              <w:ind w:left="283" w:hanging="283"/>
              <w:rPr>
                <w:rFonts w:asciiTheme="majorHAnsi" w:hAnsiTheme="majorHAnsi" w:cstheme="majorHAnsi"/>
                <w:sz w:val="22"/>
                <w:szCs w:val="22"/>
              </w:rPr>
            </w:pPr>
            <w:r w:rsidRPr="00461559">
              <w:rPr>
                <w:rFonts w:asciiTheme="majorHAnsi" w:hAnsiTheme="majorHAnsi" w:cstheme="majorHAnsi"/>
                <w:sz w:val="22"/>
                <w:szCs w:val="22"/>
              </w:rPr>
              <w:t>The team has not agreed on the way of disclosing the data.</w:t>
            </w:r>
          </w:p>
          <w:p w14:paraId="0A293114" w14:textId="77777777" w:rsidR="003140A8" w:rsidRPr="00461559" w:rsidRDefault="003140A8" w:rsidP="005B1D84">
            <w:pPr>
              <w:rPr>
                <w:rFonts w:asciiTheme="majorHAnsi" w:hAnsiTheme="majorHAnsi" w:cstheme="majorHAnsi"/>
                <w:sz w:val="22"/>
                <w:szCs w:val="22"/>
              </w:rPr>
            </w:pPr>
            <w:r w:rsidRPr="00461559">
              <w:rPr>
                <w:rFonts w:asciiTheme="majorHAnsi" w:hAnsiTheme="majorHAnsi" w:cstheme="majorHAnsi"/>
                <w:sz w:val="22"/>
                <w:szCs w:val="22"/>
              </w:rPr>
              <w:t xml:space="preserve"> The guidance is not a requirement. We should avoid mandatory languages such as ‘must’. </w:t>
            </w:r>
          </w:p>
        </w:tc>
        <w:tc>
          <w:tcPr>
            <w:tcW w:w="3603" w:type="dxa"/>
            <w:tcBorders>
              <w:top w:val="single" w:sz="4" w:space="0" w:color="000000"/>
              <w:left w:val="single" w:sz="4" w:space="0" w:color="000000"/>
              <w:bottom w:val="single" w:sz="4" w:space="0" w:color="000000"/>
              <w:right w:val="single" w:sz="4" w:space="0" w:color="000000"/>
            </w:tcBorders>
            <w:shd w:val="clear" w:color="auto" w:fill="00B0F0"/>
          </w:tcPr>
          <w:p w14:paraId="694C72ED" w14:textId="77777777" w:rsidR="003140A8" w:rsidRPr="00461559" w:rsidRDefault="003140A8" w:rsidP="005B1D84">
            <w:pPr>
              <w:rPr>
                <w:rFonts w:asciiTheme="majorHAnsi" w:hAnsiTheme="majorHAnsi" w:cstheme="majorHAnsi"/>
                <w:sz w:val="22"/>
                <w:szCs w:val="22"/>
              </w:rPr>
            </w:pPr>
            <w:r w:rsidRPr="00461559">
              <w:rPr>
                <w:rFonts w:asciiTheme="majorHAnsi" w:hAnsiTheme="majorHAnsi" w:cstheme="majorHAnsi"/>
                <w:sz w:val="22"/>
                <w:szCs w:val="22"/>
              </w:rPr>
              <w:t>Remove text marked in yellow</w:t>
            </w:r>
          </w:p>
        </w:tc>
        <w:tc>
          <w:tcPr>
            <w:tcW w:w="4531" w:type="dxa"/>
            <w:tcBorders>
              <w:top w:val="single" w:sz="4" w:space="0" w:color="000000"/>
              <w:left w:val="single" w:sz="4" w:space="0" w:color="000000"/>
              <w:bottom w:val="single" w:sz="4" w:space="0" w:color="000000"/>
              <w:right w:val="single" w:sz="4" w:space="0" w:color="000000"/>
            </w:tcBorders>
            <w:shd w:val="clear" w:color="auto" w:fill="00B0F0"/>
          </w:tcPr>
          <w:p w14:paraId="34E1E3D0" w14:textId="77777777" w:rsidR="003140A8" w:rsidRPr="00461559" w:rsidRDefault="003140A8" w:rsidP="005B1D84">
            <w:pPr>
              <w:rPr>
                <w:rFonts w:asciiTheme="majorHAnsi" w:hAnsiTheme="majorHAnsi" w:cstheme="majorHAnsi"/>
                <w:sz w:val="22"/>
                <w:szCs w:val="22"/>
              </w:rPr>
            </w:pPr>
            <w:r w:rsidRPr="00461559">
              <w:rPr>
                <w:rFonts w:asciiTheme="majorHAnsi" w:hAnsiTheme="majorHAnsi" w:cstheme="majorHAnsi"/>
                <w:sz w:val="22"/>
                <w:szCs w:val="22"/>
              </w:rPr>
              <w:t>EPDP Team to discuss</w:t>
            </w:r>
          </w:p>
        </w:tc>
      </w:tr>
    </w:tbl>
    <w:p w14:paraId="533F51D7" w14:textId="77777777" w:rsidR="00332DA0" w:rsidRPr="00332DA0" w:rsidRDefault="00332DA0" w:rsidP="00332DA0">
      <w:pPr>
        <w:rPr>
          <w:lang w:val="en-US"/>
        </w:rPr>
      </w:pPr>
    </w:p>
    <w:p w14:paraId="63B2AF17" w14:textId="3C335ED0" w:rsidR="00332DA0" w:rsidRPr="003140A8" w:rsidRDefault="00332DA0" w:rsidP="00332DA0">
      <w:pPr>
        <w:pStyle w:val="ListParagraph"/>
        <w:numPr>
          <w:ilvl w:val="0"/>
          <w:numId w:val="2"/>
        </w:numPr>
        <w:rPr>
          <w:b/>
          <w:bCs/>
        </w:rPr>
      </w:pPr>
      <w:r w:rsidRPr="003140A8">
        <w:rPr>
          <w:b/>
          <w:bCs/>
        </w:rPr>
        <w:t>Web-form proposal (circulated on the mailing list):</w:t>
      </w:r>
    </w:p>
    <w:p w14:paraId="19C928B5" w14:textId="7553EFE4" w:rsidR="00332DA0" w:rsidRDefault="00332DA0" w:rsidP="00332DA0"/>
    <w:p w14:paraId="147CF00E" w14:textId="77777777" w:rsidR="00332DA0" w:rsidRPr="00332DA0" w:rsidRDefault="00332DA0" w:rsidP="00332DA0">
      <w:pPr>
        <w:rPr>
          <w:rFonts w:eastAsia="Calibri"/>
        </w:rPr>
      </w:pPr>
      <w:r w:rsidRPr="00332DA0">
        <w:rPr>
          <w:rFonts w:eastAsia="Calibri"/>
        </w:rPr>
        <w:t>Recommendation</w:t>
      </w:r>
      <w:r w:rsidRPr="00332DA0">
        <w:rPr>
          <w:rFonts w:eastAsia="Calibri"/>
        </w:rPr>
        <w:br/>
      </w:r>
      <w:r w:rsidRPr="00332DA0">
        <w:rPr>
          <w:rFonts w:eastAsia="Calibri"/>
        </w:rPr>
        <w:br/>
        <w:t>The Phase 1 Recommendation 13 should be amended to include:  Should a Registrar choose to use a web form, that form must allow at the requester to specify the Subject of the email to be send (up to 64 characters) and a free-form text message of up to 512 characters to be included in the communication to the registrant.</w:t>
      </w:r>
    </w:p>
    <w:p w14:paraId="3026F471" w14:textId="77777777" w:rsidR="00332DA0" w:rsidRDefault="00332DA0" w:rsidP="00332DA0"/>
    <w:tbl>
      <w:tblPr>
        <w:tblW w:w="139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992"/>
        <w:gridCol w:w="2835"/>
        <w:gridCol w:w="3686"/>
        <w:gridCol w:w="4489"/>
      </w:tblGrid>
      <w:tr w:rsidR="00332DA0" w:rsidRPr="00461559" w14:paraId="012A0293" w14:textId="77777777" w:rsidTr="005B1D84">
        <w:trPr>
          <w:trHeight w:val="277"/>
        </w:trPr>
        <w:tc>
          <w:tcPr>
            <w:tcW w:w="1980" w:type="dxa"/>
            <w:shd w:val="clear" w:color="auto" w:fill="00B0F0"/>
          </w:tcPr>
          <w:p w14:paraId="32EA277B" w14:textId="5F72AFCF" w:rsidR="00332DA0" w:rsidRPr="00332DA0" w:rsidRDefault="00332DA0" w:rsidP="00332DA0">
            <w:pPr>
              <w:pStyle w:val="ListParagraph"/>
              <w:numPr>
                <w:ilvl w:val="0"/>
                <w:numId w:val="6"/>
              </w:numPr>
              <w:rPr>
                <w:rFonts w:asciiTheme="majorHAnsi" w:hAnsiTheme="majorHAnsi" w:cstheme="majorHAnsi"/>
                <w:bCs/>
                <w:sz w:val="22"/>
                <w:szCs w:val="22"/>
              </w:rPr>
            </w:pPr>
            <w:r w:rsidRPr="00332DA0">
              <w:rPr>
                <w:rFonts w:asciiTheme="majorHAnsi" w:hAnsiTheme="majorHAnsi" w:cstheme="majorHAnsi"/>
                <w:bCs/>
                <w:sz w:val="22"/>
                <w:szCs w:val="22"/>
              </w:rPr>
              <w:lastRenderedPageBreak/>
              <w:t>391</w:t>
            </w:r>
          </w:p>
        </w:tc>
        <w:tc>
          <w:tcPr>
            <w:tcW w:w="992" w:type="dxa"/>
            <w:shd w:val="clear" w:color="auto" w:fill="00B0F0"/>
          </w:tcPr>
          <w:p w14:paraId="5BF969DB" w14:textId="77777777" w:rsidR="00332DA0" w:rsidRPr="00461559" w:rsidRDefault="00332DA0" w:rsidP="005B1D84">
            <w:pPr>
              <w:rPr>
                <w:rFonts w:asciiTheme="majorHAnsi" w:hAnsiTheme="majorHAnsi" w:cstheme="majorHAnsi"/>
                <w:sz w:val="22"/>
                <w:szCs w:val="22"/>
              </w:rPr>
            </w:pPr>
            <w:r w:rsidRPr="00461559">
              <w:rPr>
                <w:rFonts w:asciiTheme="majorHAnsi" w:hAnsiTheme="majorHAnsi" w:cstheme="majorHAnsi"/>
                <w:sz w:val="22"/>
                <w:szCs w:val="22"/>
              </w:rPr>
              <w:t>IPC</w:t>
            </w:r>
          </w:p>
        </w:tc>
        <w:tc>
          <w:tcPr>
            <w:tcW w:w="2835" w:type="dxa"/>
            <w:shd w:val="clear" w:color="auto" w:fill="00B0F0"/>
          </w:tcPr>
          <w:p w14:paraId="0A5EDE0A" w14:textId="77777777" w:rsidR="00332DA0" w:rsidRPr="00461559" w:rsidRDefault="00332DA0" w:rsidP="005B1D84">
            <w:pPr>
              <w:rPr>
                <w:rFonts w:asciiTheme="majorHAnsi" w:hAnsiTheme="majorHAnsi" w:cstheme="majorHAnsi"/>
                <w:sz w:val="22"/>
                <w:szCs w:val="22"/>
              </w:rPr>
            </w:pPr>
            <w:r w:rsidRPr="00461559">
              <w:rPr>
                <w:rFonts w:asciiTheme="majorHAnsi" w:hAnsiTheme="majorHAnsi" w:cstheme="majorHAnsi"/>
                <w:sz w:val="22"/>
                <w:szCs w:val="22"/>
              </w:rPr>
              <w:t>Include the BC/ALAC proposal</w:t>
            </w:r>
          </w:p>
        </w:tc>
        <w:tc>
          <w:tcPr>
            <w:tcW w:w="3686" w:type="dxa"/>
            <w:shd w:val="clear" w:color="auto" w:fill="00B0F0"/>
          </w:tcPr>
          <w:p w14:paraId="7478D330" w14:textId="77777777" w:rsidR="00332DA0" w:rsidRPr="00461559" w:rsidRDefault="00332DA0" w:rsidP="005B1D84">
            <w:pPr>
              <w:rPr>
                <w:rFonts w:asciiTheme="majorHAnsi" w:hAnsiTheme="majorHAnsi" w:cstheme="majorHAnsi"/>
                <w:sz w:val="22"/>
                <w:szCs w:val="22"/>
              </w:rPr>
            </w:pPr>
            <w:r w:rsidRPr="00461559">
              <w:rPr>
                <w:rFonts w:asciiTheme="majorHAnsi" w:hAnsiTheme="majorHAnsi" w:cstheme="majorHAnsi"/>
                <w:sz w:val="22"/>
                <w:szCs w:val="22"/>
              </w:rPr>
              <w:t>Add the proposal in its entirety in this section.</w:t>
            </w:r>
          </w:p>
        </w:tc>
        <w:tc>
          <w:tcPr>
            <w:tcW w:w="4489" w:type="dxa"/>
            <w:shd w:val="clear" w:color="auto" w:fill="00B0F0"/>
          </w:tcPr>
          <w:p w14:paraId="5A4AC30F" w14:textId="77777777" w:rsidR="00332DA0" w:rsidRPr="00461559" w:rsidRDefault="00332DA0" w:rsidP="005B1D84">
            <w:pPr>
              <w:rPr>
                <w:rFonts w:asciiTheme="majorHAnsi" w:hAnsiTheme="majorHAnsi" w:cstheme="majorHAnsi"/>
                <w:sz w:val="22"/>
                <w:szCs w:val="22"/>
              </w:rPr>
            </w:pPr>
            <w:r w:rsidRPr="00461559">
              <w:rPr>
                <w:rFonts w:asciiTheme="majorHAnsi" w:hAnsiTheme="majorHAnsi" w:cstheme="majorHAnsi"/>
                <w:sz w:val="22"/>
                <w:szCs w:val="22"/>
              </w:rPr>
              <w:t xml:space="preserve">There does not seem to be support for inclusion of this proposal based on feedback on the mailing list. EPDP Team to discuss. </w:t>
            </w:r>
          </w:p>
        </w:tc>
      </w:tr>
      <w:tr w:rsidR="00332DA0" w:rsidRPr="00461559" w14:paraId="6509D1FA" w14:textId="77777777" w:rsidTr="00332DA0">
        <w:trPr>
          <w:trHeight w:val="277"/>
        </w:trPr>
        <w:tc>
          <w:tcPr>
            <w:tcW w:w="1980" w:type="dxa"/>
            <w:tcBorders>
              <w:top w:val="single" w:sz="4" w:space="0" w:color="000000"/>
              <w:left w:val="single" w:sz="4" w:space="0" w:color="000000"/>
              <w:bottom w:val="single" w:sz="4" w:space="0" w:color="000000"/>
              <w:right w:val="single" w:sz="4" w:space="0" w:color="000000"/>
            </w:tcBorders>
            <w:shd w:val="clear" w:color="auto" w:fill="00B0F0"/>
          </w:tcPr>
          <w:p w14:paraId="5F540192" w14:textId="357D3B00" w:rsidR="00332DA0" w:rsidRPr="00332DA0" w:rsidRDefault="00332DA0" w:rsidP="00332DA0">
            <w:pPr>
              <w:pStyle w:val="ListParagraph"/>
              <w:numPr>
                <w:ilvl w:val="0"/>
                <w:numId w:val="8"/>
              </w:numPr>
              <w:rPr>
                <w:rFonts w:asciiTheme="majorHAnsi" w:hAnsiTheme="majorHAnsi" w:cstheme="majorHAnsi"/>
                <w:bCs/>
                <w:sz w:val="22"/>
                <w:szCs w:val="22"/>
              </w:rPr>
            </w:pPr>
            <w:r w:rsidRPr="00332DA0">
              <w:rPr>
                <w:rFonts w:asciiTheme="majorHAnsi" w:hAnsiTheme="majorHAnsi" w:cstheme="majorHAnsi"/>
                <w:bCs/>
                <w:sz w:val="22"/>
                <w:szCs w:val="22"/>
              </w:rPr>
              <w:t>524</w:t>
            </w:r>
          </w:p>
        </w:tc>
        <w:tc>
          <w:tcPr>
            <w:tcW w:w="992" w:type="dxa"/>
            <w:tcBorders>
              <w:top w:val="single" w:sz="4" w:space="0" w:color="000000"/>
              <w:left w:val="single" w:sz="4" w:space="0" w:color="000000"/>
              <w:bottom w:val="single" w:sz="4" w:space="0" w:color="000000"/>
              <w:right w:val="single" w:sz="4" w:space="0" w:color="000000"/>
            </w:tcBorders>
            <w:shd w:val="clear" w:color="auto" w:fill="00B0F0"/>
          </w:tcPr>
          <w:p w14:paraId="34CD2272" w14:textId="77777777" w:rsidR="00332DA0" w:rsidRPr="00461559" w:rsidRDefault="00332DA0" w:rsidP="005B1D84">
            <w:pPr>
              <w:rPr>
                <w:rFonts w:asciiTheme="majorHAnsi" w:hAnsiTheme="majorHAnsi" w:cstheme="majorHAnsi"/>
                <w:sz w:val="22"/>
                <w:szCs w:val="22"/>
              </w:rPr>
            </w:pPr>
            <w:r w:rsidRPr="00461559">
              <w:rPr>
                <w:rFonts w:asciiTheme="majorHAnsi" w:hAnsiTheme="majorHAnsi" w:cstheme="majorHAnsi"/>
                <w:sz w:val="22"/>
                <w:szCs w:val="22"/>
              </w:rPr>
              <w:t>ALAC, IPC</w:t>
            </w:r>
          </w:p>
        </w:tc>
        <w:tc>
          <w:tcPr>
            <w:tcW w:w="2835" w:type="dxa"/>
            <w:tcBorders>
              <w:top w:val="single" w:sz="4" w:space="0" w:color="000000"/>
              <w:left w:val="single" w:sz="4" w:space="0" w:color="000000"/>
              <w:bottom w:val="single" w:sz="4" w:space="0" w:color="000000"/>
              <w:right w:val="single" w:sz="4" w:space="0" w:color="000000"/>
            </w:tcBorders>
            <w:shd w:val="clear" w:color="auto" w:fill="00B0F0"/>
          </w:tcPr>
          <w:p w14:paraId="3CAF322D" w14:textId="77777777" w:rsidR="00332DA0" w:rsidRPr="00461559" w:rsidRDefault="00332DA0" w:rsidP="005B1D84">
            <w:pPr>
              <w:rPr>
                <w:rFonts w:asciiTheme="majorHAnsi" w:hAnsiTheme="majorHAnsi" w:cstheme="majorHAnsi"/>
                <w:sz w:val="22"/>
                <w:szCs w:val="22"/>
              </w:rPr>
            </w:pPr>
            <w:r w:rsidRPr="00461559">
              <w:rPr>
                <w:rFonts w:asciiTheme="majorHAnsi" w:hAnsiTheme="majorHAnsi" w:cstheme="majorHAnsi"/>
                <w:sz w:val="22"/>
                <w:szCs w:val="22"/>
              </w:rPr>
              <w:t>Many web forms do not allow functional communications with the registrant. It has been suggested that this matter be referred to the Phase 1 IRT, but without a recommendation saying that the policy may set web form content, there is no way for the IRT to establish such enforceable rules.</w:t>
            </w:r>
          </w:p>
        </w:tc>
        <w:tc>
          <w:tcPr>
            <w:tcW w:w="3686" w:type="dxa"/>
            <w:tcBorders>
              <w:top w:val="single" w:sz="4" w:space="0" w:color="000000"/>
              <w:left w:val="single" w:sz="4" w:space="0" w:color="000000"/>
              <w:bottom w:val="single" w:sz="4" w:space="0" w:color="000000"/>
              <w:right w:val="single" w:sz="4" w:space="0" w:color="000000"/>
            </w:tcBorders>
            <w:shd w:val="clear" w:color="auto" w:fill="00B0F0"/>
          </w:tcPr>
          <w:p w14:paraId="2824BC1F" w14:textId="77777777" w:rsidR="00332DA0" w:rsidRPr="00461559" w:rsidRDefault="00332DA0" w:rsidP="005B1D84">
            <w:pPr>
              <w:rPr>
                <w:rFonts w:asciiTheme="majorHAnsi" w:hAnsiTheme="majorHAnsi" w:cstheme="majorHAnsi"/>
                <w:sz w:val="22"/>
                <w:szCs w:val="22"/>
              </w:rPr>
            </w:pPr>
            <w:r w:rsidRPr="00461559">
              <w:rPr>
                <w:rFonts w:asciiTheme="majorHAnsi" w:hAnsiTheme="majorHAnsi" w:cstheme="majorHAnsi"/>
                <w:sz w:val="22"/>
                <w:szCs w:val="22"/>
              </w:rPr>
              <w:t>Add:</w:t>
            </w:r>
          </w:p>
          <w:p w14:paraId="2451A796" w14:textId="77777777" w:rsidR="00332DA0" w:rsidRPr="00461559" w:rsidRDefault="00332DA0" w:rsidP="005B1D84">
            <w:pPr>
              <w:rPr>
                <w:rFonts w:asciiTheme="majorHAnsi" w:hAnsiTheme="majorHAnsi" w:cstheme="majorHAnsi"/>
                <w:sz w:val="22"/>
                <w:szCs w:val="22"/>
              </w:rPr>
            </w:pPr>
          </w:p>
          <w:p w14:paraId="6B96F36A" w14:textId="77777777" w:rsidR="00332DA0" w:rsidRPr="00461559" w:rsidRDefault="00332DA0" w:rsidP="005B1D84">
            <w:pPr>
              <w:rPr>
                <w:rFonts w:asciiTheme="majorHAnsi" w:hAnsiTheme="majorHAnsi" w:cstheme="majorHAnsi"/>
                <w:sz w:val="22"/>
                <w:szCs w:val="22"/>
              </w:rPr>
            </w:pPr>
            <w:r w:rsidRPr="00461559">
              <w:rPr>
                <w:rFonts w:asciiTheme="majorHAnsi" w:hAnsiTheme="majorHAnsi" w:cstheme="majorHAnsi"/>
                <w:sz w:val="22"/>
                <w:szCs w:val="22"/>
              </w:rPr>
              <w:t>As it stands, the EPDP Recommendation #13 which is supposed to facilitate communications with the registrant does not achieve its goal. Many registrars are using web forms, and in many cases, they are effectively useless. As an example, one common example is a form that simply lets the requestor select one of three messages (Domain name or content is being used in malware, or for spam or abuse; Domain name or content is infringing on a trademark or violating local laws or regulations; or Research or other purpose).</w:t>
            </w:r>
          </w:p>
          <w:p w14:paraId="1905261E" w14:textId="77777777" w:rsidR="00332DA0" w:rsidRPr="00461559" w:rsidRDefault="00332DA0" w:rsidP="005B1D84">
            <w:pPr>
              <w:rPr>
                <w:rFonts w:asciiTheme="majorHAnsi" w:hAnsiTheme="majorHAnsi" w:cstheme="majorHAnsi"/>
                <w:sz w:val="22"/>
                <w:szCs w:val="22"/>
              </w:rPr>
            </w:pPr>
          </w:p>
          <w:p w14:paraId="75940312" w14:textId="77777777" w:rsidR="00332DA0" w:rsidRPr="00461559" w:rsidRDefault="00332DA0" w:rsidP="005B1D84">
            <w:pPr>
              <w:rPr>
                <w:rFonts w:asciiTheme="majorHAnsi" w:hAnsiTheme="majorHAnsi" w:cstheme="majorHAnsi"/>
                <w:sz w:val="22"/>
                <w:szCs w:val="22"/>
              </w:rPr>
            </w:pPr>
            <w:r w:rsidRPr="00461559">
              <w:rPr>
                <w:rFonts w:asciiTheme="majorHAnsi" w:hAnsiTheme="majorHAnsi" w:cstheme="majorHAnsi"/>
                <w:sz w:val="22"/>
                <w:szCs w:val="22"/>
              </w:rPr>
              <w:t xml:space="preserve">Since this Initial Report is not recommending that emails addresses of some form be published in the public RDDS, it is important to ensure that the web form allows sufficient communications with the registrant. As it stands, the EPDP Recommendation #13 which is supposed to facilitate communications with the registrant does not achieve its goal. Many registrars are using web forms, and in many cases, they are </w:t>
            </w:r>
            <w:r w:rsidRPr="00461559">
              <w:rPr>
                <w:rFonts w:asciiTheme="majorHAnsi" w:hAnsiTheme="majorHAnsi" w:cstheme="majorHAnsi"/>
                <w:sz w:val="22"/>
                <w:szCs w:val="22"/>
              </w:rPr>
              <w:lastRenderedPageBreak/>
              <w:t>effectively useless. As an example, one common example is a form that simply lets the requestor select one of three messages (Domain name or content is being used in malware, or for spam or abuse; Domain name or content is infringing on a trademark or violating local laws or regulations; or Research or other purpose).</w:t>
            </w:r>
          </w:p>
          <w:p w14:paraId="4A46AFE4" w14:textId="77777777" w:rsidR="00332DA0" w:rsidRPr="00461559" w:rsidRDefault="00332DA0" w:rsidP="005B1D84">
            <w:pPr>
              <w:rPr>
                <w:rFonts w:asciiTheme="majorHAnsi" w:hAnsiTheme="majorHAnsi" w:cstheme="majorHAnsi"/>
                <w:sz w:val="22"/>
                <w:szCs w:val="22"/>
              </w:rPr>
            </w:pPr>
          </w:p>
          <w:p w14:paraId="14D69C77" w14:textId="77777777" w:rsidR="00332DA0" w:rsidRPr="00461559" w:rsidRDefault="00332DA0" w:rsidP="005B1D84">
            <w:pPr>
              <w:rPr>
                <w:rFonts w:asciiTheme="majorHAnsi" w:hAnsiTheme="majorHAnsi" w:cstheme="majorHAnsi"/>
                <w:sz w:val="22"/>
                <w:szCs w:val="22"/>
              </w:rPr>
            </w:pPr>
            <w:r w:rsidRPr="00461559">
              <w:rPr>
                <w:rFonts w:asciiTheme="majorHAnsi" w:hAnsiTheme="majorHAnsi" w:cstheme="majorHAnsi"/>
                <w:sz w:val="22"/>
                <w:szCs w:val="22"/>
              </w:rPr>
              <w:t>Accordingly, the EPDP Team recommends:</w:t>
            </w:r>
          </w:p>
          <w:p w14:paraId="083D4485" w14:textId="77777777" w:rsidR="00332DA0" w:rsidRPr="00461559" w:rsidRDefault="00332DA0" w:rsidP="005B1D84">
            <w:pPr>
              <w:rPr>
                <w:rFonts w:asciiTheme="majorHAnsi" w:hAnsiTheme="majorHAnsi" w:cstheme="majorHAnsi"/>
                <w:sz w:val="22"/>
                <w:szCs w:val="22"/>
              </w:rPr>
            </w:pPr>
          </w:p>
          <w:p w14:paraId="317A5A24" w14:textId="77777777" w:rsidR="00332DA0" w:rsidRPr="00461559" w:rsidRDefault="00332DA0" w:rsidP="005B1D84">
            <w:pPr>
              <w:rPr>
                <w:rFonts w:asciiTheme="majorHAnsi" w:hAnsiTheme="majorHAnsi" w:cstheme="majorHAnsi"/>
                <w:sz w:val="22"/>
                <w:szCs w:val="22"/>
              </w:rPr>
            </w:pPr>
            <w:r w:rsidRPr="00461559">
              <w:rPr>
                <w:rFonts w:asciiTheme="majorHAnsi" w:hAnsiTheme="majorHAnsi" w:cstheme="majorHAnsi"/>
                <w:sz w:val="22"/>
                <w:szCs w:val="22"/>
              </w:rPr>
              <w:t>Preliminary Recommendation #4</w:t>
            </w:r>
          </w:p>
          <w:p w14:paraId="3DE0D6EB" w14:textId="77777777" w:rsidR="00332DA0" w:rsidRPr="00461559" w:rsidRDefault="00332DA0" w:rsidP="005B1D84">
            <w:pPr>
              <w:rPr>
                <w:rFonts w:asciiTheme="majorHAnsi" w:hAnsiTheme="majorHAnsi" w:cstheme="majorHAnsi"/>
                <w:sz w:val="22"/>
                <w:szCs w:val="22"/>
              </w:rPr>
            </w:pPr>
          </w:p>
          <w:p w14:paraId="75A1C5EB" w14:textId="77777777" w:rsidR="00332DA0" w:rsidRPr="00461559" w:rsidRDefault="00332DA0" w:rsidP="005B1D84">
            <w:pPr>
              <w:rPr>
                <w:rFonts w:asciiTheme="majorHAnsi" w:hAnsiTheme="majorHAnsi" w:cstheme="majorHAnsi"/>
                <w:sz w:val="22"/>
                <w:szCs w:val="22"/>
              </w:rPr>
            </w:pPr>
            <w:r w:rsidRPr="00461559">
              <w:rPr>
                <w:rFonts w:asciiTheme="majorHAnsi" w:hAnsiTheme="majorHAnsi" w:cstheme="majorHAnsi"/>
                <w:sz w:val="22"/>
                <w:szCs w:val="22"/>
              </w:rPr>
              <w:t>The Phase 1 Recommendation 13 should be amended to include:  Should a Registrar choose to use a web form, that form must allow the requester to specify, at a minimum, the Subject of the email to be sent (up to 64 characters) and a free-form text message of up to 512 characters to be included in the communication to the registrant.</w:t>
            </w:r>
          </w:p>
        </w:tc>
        <w:tc>
          <w:tcPr>
            <w:tcW w:w="4489" w:type="dxa"/>
            <w:tcBorders>
              <w:top w:val="single" w:sz="4" w:space="0" w:color="000000"/>
              <w:left w:val="single" w:sz="4" w:space="0" w:color="000000"/>
              <w:bottom w:val="single" w:sz="4" w:space="0" w:color="000000"/>
              <w:right w:val="single" w:sz="4" w:space="0" w:color="000000"/>
            </w:tcBorders>
            <w:shd w:val="clear" w:color="auto" w:fill="00B0F0"/>
          </w:tcPr>
          <w:p w14:paraId="5A32AC53" w14:textId="77777777" w:rsidR="00332DA0" w:rsidRPr="00461559" w:rsidRDefault="00332DA0" w:rsidP="005B1D84">
            <w:pPr>
              <w:rPr>
                <w:rFonts w:asciiTheme="majorHAnsi" w:hAnsiTheme="majorHAnsi" w:cstheme="majorHAnsi"/>
                <w:sz w:val="22"/>
                <w:szCs w:val="22"/>
              </w:rPr>
            </w:pPr>
            <w:r w:rsidRPr="00461559">
              <w:rPr>
                <w:rFonts w:asciiTheme="majorHAnsi" w:hAnsiTheme="majorHAnsi" w:cstheme="majorHAnsi"/>
                <w:sz w:val="22"/>
                <w:szCs w:val="22"/>
              </w:rPr>
              <w:lastRenderedPageBreak/>
              <w:t xml:space="preserve">Change not applied yet – objections raised on the mailing list to add this recommendation. EPDP Team to discuss. </w:t>
            </w:r>
          </w:p>
        </w:tc>
      </w:tr>
      <w:tr w:rsidR="003140A8" w:rsidRPr="00461559" w14:paraId="0FC8BEA6" w14:textId="77777777" w:rsidTr="003140A8">
        <w:trPr>
          <w:trHeight w:val="277"/>
        </w:trPr>
        <w:tc>
          <w:tcPr>
            <w:tcW w:w="1980" w:type="dxa"/>
            <w:tcBorders>
              <w:top w:val="single" w:sz="4" w:space="0" w:color="000000"/>
              <w:left w:val="single" w:sz="4" w:space="0" w:color="000000"/>
              <w:bottom w:val="single" w:sz="4" w:space="0" w:color="000000"/>
              <w:right w:val="single" w:sz="4" w:space="0" w:color="000000"/>
            </w:tcBorders>
            <w:shd w:val="clear" w:color="auto" w:fill="00B0F0"/>
          </w:tcPr>
          <w:p w14:paraId="570D94AB" w14:textId="75F6AAEA" w:rsidR="003140A8" w:rsidRPr="003140A8" w:rsidRDefault="003140A8" w:rsidP="003140A8">
            <w:pPr>
              <w:pStyle w:val="ListParagraph"/>
              <w:numPr>
                <w:ilvl w:val="0"/>
                <w:numId w:val="11"/>
              </w:numPr>
              <w:rPr>
                <w:rFonts w:asciiTheme="majorHAnsi" w:hAnsiTheme="majorHAnsi" w:cstheme="majorHAnsi"/>
                <w:bCs/>
                <w:sz w:val="22"/>
                <w:szCs w:val="22"/>
              </w:rPr>
            </w:pPr>
            <w:r w:rsidRPr="003140A8">
              <w:rPr>
                <w:rFonts w:asciiTheme="majorHAnsi" w:hAnsiTheme="majorHAnsi" w:cstheme="majorHAnsi"/>
                <w:bCs/>
                <w:sz w:val="22"/>
                <w:szCs w:val="22"/>
              </w:rPr>
              <w:lastRenderedPageBreak/>
              <w:t>NOT YET INCLUDED</w:t>
            </w:r>
          </w:p>
        </w:tc>
        <w:tc>
          <w:tcPr>
            <w:tcW w:w="992" w:type="dxa"/>
            <w:tcBorders>
              <w:top w:val="single" w:sz="4" w:space="0" w:color="000000"/>
              <w:left w:val="single" w:sz="4" w:space="0" w:color="000000"/>
              <w:bottom w:val="single" w:sz="4" w:space="0" w:color="000000"/>
              <w:right w:val="single" w:sz="4" w:space="0" w:color="000000"/>
            </w:tcBorders>
            <w:shd w:val="clear" w:color="auto" w:fill="00B0F0"/>
          </w:tcPr>
          <w:p w14:paraId="3F0D4707" w14:textId="77777777" w:rsidR="003140A8" w:rsidRPr="00461559" w:rsidRDefault="003140A8" w:rsidP="005B1D84">
            <w:pPr>
              <w:rPr>
                <w:rFonts w:asciiTheme="majorHAnsi" w:hAnsiTheme="majorHAnsi" w:cstheme="majorHAnsi"/>
                <w:sz w:val="22"/>
                <w:szCs w:val="22"/>
              </w:rPr>
            </w:pPr>
            <w:r w:rsidRPr="00461559">
              <w:rPr>
                <w:rFonts w:asciiTheme="majorHAnsi" w:hAnsiTheme="majorHAnsi" w:cstheme="majorHAnsi"/>
                <w:sz w:val="22"/>
                <w:szCs w:val="22"/>
              </w:rPr>
              <w:t>RySG</w:t>
            </w:r>
          </w:p>
        </w:tc>
        <w:tc>
          <w:tcPr>
            <w:tcW w:w="2835" w:type="dxa"/>
            <w:tcBorders>
              <w:top w:val="single" w:sz="4" w:space="0" w:color="000000"/>
              <w:left w:val="single" w:sz="4" w:space="0" w:color="000000"/>
              <w:bottom w:val="single" w:sz="4" w:space="0" w:color="000000"/>
              <w:right w:val="single" w:sz="4" w:space="0" w:color="000000"/>
            </w:tcBorders>
            <w:shd w:val="clear" w:color="auto" w:fill="00B0F0"/>
          </w:tcPr>
          <w:p w14:paraId="7B6AA863" w14:textId="77777777" w:rsidR="003140A8" w:rsidRPr="00461559" w:rsidRDefault="003140A8" w:rsidP="005B1D84">
            <w:pPr>
              <w:rPr>
                <w:rFonts w:asciiTheme="majorHAnsi" w:hAnsiTheme="majorHAnsi" w:cstheme="majorHAnsi"/>
                <w:sz w:val="22"/>
                <w:szCs w:val="22"/>
              </w:rPr>
            </w:pPr>
            <w:r w:rsidRPr="00461559">
              <w:rPr>
                <w:rFonts w:asciiTheme="majorHAnsi" w:hAnsiTheme="majorHAnsi" w:cstheme="majorHAnsi"/>
                <w:sz w:val="22"/>
                <w:szCs w:val="22"/>
              </w:rPr>
              <w:t xml:space="preserve">Noting the discussions relating to webforms, in the interest of time, the RYSG would like to preempt any inclusion of this concept, purporting to dictate what should be included in any such webforms. </w:t>
            </w:r>
          </w:p>
          <w:p w14:paraId="45CADDCB" w14:textId="77777777" w:rsidR="003140A8" w:rsidRPr="00461559" w:rsidRDefault="003140A8" w:rsidP="005B1D84">
            <w:pPr>
              <w:rPr>
                <w:rFonts w:asciiTheme="majorHAnsi" w:hAnsiTheme="majorHAnsi" w:cstheme="majorHAnsi"/>
                <w:sz w:val="22"/>
                <w:szCs w:val="22"/>
              </w:rPr>
            </w:pPr>
          </w:p>
          <w:p w14:paraId="12AB8A18" w14:textId="77777777" w:rsidR="003140A8" w:rsidRPr="00461559" w:rsidRDefault="003140A8" w:rsidP="005B1D84">
            <w:pPr>
              <w:rPr>
                <w:rFonts w:asciiTheme="majorHAnsi" w:hAnsiTheme="majorHAnsi" w:cstheme="majorHAnsi"/>
                <w:sz w:val="22"/>
                <w:szCs w:val="22"/>
              </w:rPr>
            </w:pPr>
            <w:r w:rsidRPr="00461559">
              <w:rPr>
                <w:rFonts w:asciiTheme="majorHAnsi" w:hAnsiTheme="majorHAnsi" w:cstheme="majorHAnsi"/>
                <w:sz w:val="22"/>
                <w:szCs w:val="22"/>
              </w:rPr>
              <w:t xml:space="preserve">We have not been tasked with the consideration of webforms by the GNSO.  The deliberations of the team have been limited intentionally by the GNSO, and we have provided an answer to the GNSO question posed - i.e.  that consensus is not likely on whether a policy change regarding feasibility of unique contacts (whether anonymized or pseudonymized) is appropriate. </w:t>
            </w:r>
          </w:p>
          <w:p w14:paraId="59DD69EC" w14:textId="77777777" w:rsidR="003140A8" w:rsidRPr="00461559" w:rsidRDefault="003140A8" w:rsidP="005B1D84">
            <w:pPr>
              <w:rPr>
                <w:rFonts w:asciiTheme="majorHAnsi" w:hAnsiTheme="majorHAnsi" w:cstheme="majorHAnsi"/>
                <w:sz w:val="22"/>
                <w:szCs w:val="22"/>
              </w:rPr>
            </w:pPr>
          </w:p>
          <w:p w14:paraId="1E356D36" w14:textId="77777777" w:rsidR="003140A8" w:rsidRPr="00461559" w:rsidRDefault="003140A8" w:rsidP="005B1D84">
            <w:pPr>
              <w:rPr>
                <w:rFonts w:asciiTheme="majorHAnsi" w:hAnsiTheme="majorHAnsi" w:cstheme="majorHAnsi"/>
                <w:sz w:val="22"/>
                <w:szCs w:val="22"/>
              </w:rPr>
            </w:pPr>
            <w:r w:rsidRPr="00461559">
              <w:rPr>
                <w:rFonts w:asciiTheme="majorHAnsi" w:hAnsiTheme="majorHAnsi" w:cstheme="majorHAnsi"/>
                <w:sz w:val="22"/>
                <w:szCs w:val="22"/>
              </w:rPr>
              <w:t xml:space="preserve">The RYSG does not agree with the assertion made by our colleagues, that this lack of consensus on the feasibility of unique contacts, somehow results in leaving ‘webforms’ as the singular option for Recommendation 13 i.e.  ‘to facilitate email communication with the relevant contact’ . To clarify, our lack of consensus is NOT a statement that such means or methods cannot be used, but rather that ICANN should not insist on prescribing the </w:t>
            </w:r>
            <w:r w:rsidRPr="00461559">
              <w:rPr>
                <w:rFonts w:asciiTheme="majorHAnsi" w:hAnsiTheme="majorHAnsi" w:cstheme="majorHAnsi"/>
                <w:sz w:val="22"/>
                <w:szCs w:val="22"/>
              </w:rPr>
              <w:lastRenderedPageBreak/>
              <w:t xml:space="preserve">means by which unique contacts MUST be used, and subsequently enforcing such expectations on contracted parties. As we have always maintained, CPs should be free to control their own risk in the application of such a choice as presented in Rec 13; this freedom supports innovation and problem solving at source, by experts in the field. As such, stating that as a result of our lack of consensus in the task at hand, that this somehow results in rendering webforms as the only viable option within recommendation 13, is simply incorrect. </w:t>
            </w:r>
          </w:p>
          <w:p w14:paraId="02AB685E" w14:textId="77777777" w:rsidR="003140A8" w:rsidRPr="00461559" w:rsidRDefault="003140A8" w:rsidP="005B1D84">
            <w:pPr>
              <w:rPr>
                <w:rFonts w:asciiTheme="majorHAnsi" w:hAnsiTheme="majorHAnsi" w:cstheme="majorHAnsi"/>
                <w:sz w:val="22"/>
                <w:szCs w:val="22"/>
              </w:rPr>
            </w:pPr>
          </w:p>
          <w:p w14:paraId="04CF9706" w14:textId="77777777" w:rsidR="003140A8" w:rsidRPr="00461559" w:rsidRDefault="003140A8" w:rsidP="003140A8">
            <w:pPr>
              <w:numPr>
                <w:ilvl w:val="0"/>
                <w:numId w:val="10"/>
              </w:numPr>
              <w:pBdr>
                <w:top w:val="nil"/>
                <w:left w:val="nil"/>
                <w:bottom w:val="nil"/>
                <w:right w:val="nil"/>
                <w:between w:val="nil"/>
              </w:pBdr>
              <w:ind w:left="283" w:hanging="283"/>
              <w:rPr>
                <w:rFonts w:asciiTheme="majorHAnsi" w:hAnsiTheme="majorHAnsi" w:cstheme="majorHAnsi"/>
                <w:sz w:val="22"/>
                <w:szCs w:val="22"/>
              </w:rPr>
            </w:pPr>
            <w:r w:rsidRPr="00461559">
              <w:rPr>
                <w:rFonts w:asciiTheme="majorHAnsi" w:hAnsiTheme="majorHAnsi" w:cstheme="majorHAnsi"/>
                <w:sz w:val="22"/>
                <w:szCs w:val="22"/>
              </w:rPr>
              <w:t xml:space="preserve">Noting this, the RYSG does not support any unilateral modification to the scope of Phase 2a in the manner described.  Notwithstanding this, and even were it to be an option, we still do not find any compelling reasons, based on the arguments made, to even suggest </w:t>
            </w:r>
            <w:r w:rsidRPr="00461559">
              <w:rPr>
                <w:rFonts w:asciiTheme="majorHAnsi" w:hAnsiTheme="majorHAnsi" w:cstheme="majorHAnsi"/>
                <w:sz w:val="22"/>
                <w:szCs w:val="22"/>
              </w:rPr>
              <w:lastRenderedPageBreak/>
              <w:t xml:space="preserve">including webforms in our scope.  </w:t>
            </w:r>
          </w:p>
        </w:tc>
        <w:tc>
          <w:tcPr>
            <w:tcW w:w="3686" w:type="dxa"/>
            <w:tcBorders>
              <w:top w:val="single" w:sz="4" w:space="0" w:color="000000"/>
              <w:left w:val="single" w:sz="4" w:space="0" w:color="000000"/>
              <w:bottom w:val="single" w:sz="4" w:space="0" w:color="000000"/>
              <w:right w:val="single" w:sz="4" w:space="0" w:color="000000"/>
            </w:tcBorders>
            <w:shd w:val="clear" w:color="auto" w:fill="00B0F0"/>
          </w:tcPr>
          <w:p w14:paraId="2AE16F7D" w14:textId="77777777" w:rsidR="003140A8" w:rsidRPr="00461559" w:rsidRDefault="003140A8" w:rsidP="005B1D84">
            <w:pPr>
              <w:rPr>
                <w:rFonts w:asciiTheme="majorHAnsi" w:hAnsiTheme="majorHAnsi" w:cstheme="majorHAnsi"/>
                <w:sz w:val="22"/>
                <w:szCs w:val="22"/>
              </w:rPr>
            </w:pPr>
          </w:p>
        </w:tc>
        <w:tc>
          <w:tcPr>
            <w:tcW w:w="4489" w:type="dxa"/>
            <w:tcBorders>
              <w:top w:val="single" w:sz="4" w:space="0" w:color="000000"/>
              <w:left w:val="single" w:sz="4" w:space="0" w:color="000000"/>
              <w:bottom w:val="single" w:sz="4" w:space="0" w:color="000000"/>
              <w:right w:val="single" w:sz="4" w:space="0" w:color="000000"/>
            </w:tcBorders>
            <w:shd w:val="clear" w:color="auto" w:fill="00B0F0"/>
          </w:tcPr>
          <w:p w14:paraId="257EE29F" w14:textId="77777777" w:rsidR="003140A8" w:rsidRPr="00461559" w:rsidRDefault="003140A8" w:rsidP="005B1D84">
            <w:pPr>
              <w:rPr>
                <w:rFonts w:asciiTheme="majorHAnsi" w:hAnsiTheme="majorHAnsi" w:cstheme="majorHAnsi"/>
                <w:sz w:val="22"/>
                <w:szCs w:val="22"/>
              </w:rPr>
            </w:pPr>
            <w:r w:rsidRPr="00461559">
              <w:rPr>
                <w:rFonts w:asciiTheme="majorHAnsi" w:hAnsiTheme="majorHAnsi" w:cstheme="majorHAnsi"/>
                <w:sz w:val="22"/>
                <w:szCs w:val="22"/>
              </w:rPr>
              <w:t>EPDP Team do discuss</w:t>
            </w:r>
          </w:p>
        </w:tc>
      </w:tr>
    </w:tbl>
    <w:p w14:paraId="15FE479A" w14:textId="77777777" w:rsidR="003140A8" w:rsidRDefault="003140A8">
      <w:pPr>
        <w:rPr>
          <w:lang w:val="en-US"/>
        </w:rPr>
      </w:pPr>
    </w:p>
    <w:p w14:paraId="197DD87F" w14:textId="17D5FE63" w:rsidR="00332DA0" w:rsidRPr="003140A8" w:rsidRDefault="00332DA0" w:rsidP="00332DA0">
      <w:pPr>
        <w:pStyle w:val="ListParagraph"/>
        <w:numPr>
          <w:ilvl w:val="0"/>
          <w:numId w:val="2"/>
        </w:numPr>
        <w:rPr>
          <w:b/>
          <w:bCs/>
        </w:rPr>
      </w:pPr>
      <w:r w:rsidRPr="003140A8">
        <w:rPr>
          <w:b/>
          <w:bCs/>
        </w:rPr>
        <w:t>New recommendation (feasibility)</w:t>
      </w:r>
    </w:p>
    <w:p w14:paraId="1ACDA7F9" w14:textId="77777777" w:rsidR="00332DA0" w:rsidRDefault="00332DA0">
      <w:pPr>
        <w:rPr>
          <w:color w:val="3B4043"/>
          <w:sz w:val="21"/>
          <w:szCs w:val="21"/>
        </w:rPr>
      </w:pPr>
    </w:p>
    <w:p w14:paraId="37CADAB6" w14:textId="07BFFBEC" w:rsidR="00332DA0" w:rsidRDefault="00332DA0" w:rsidP="00332DA0">
      <w:pPr>
        <w:rPr>
          <w:highlight w:val="yellow"/>
        </w:rPr>
      </w:pPr>
      <w:r w:rsidRPr="00332DA0">
        <w:rPr>
          <w:highlight w:val="yellow"/>
        </w:rPr>
        <w:t xml:space="preserve">[Registrars are encouraged to publish the following in the publicly accessible Registration Data Directory Services (RDDS): A Registrant-based email contact where the Registrar can ensure appropriate safeguards for the data subject in line with relevant guidance on anonymisation techniques provided by </w:t>
      </w:r>
      <w:r w:rsidRPr="00332DA0">
        <w:rPr>
          <w:rFonts w:ascii="Calibri" w:hAnsi="Calibri" w:cs="Calibri"/>
          <w:highlight w:val="yellow"/>
        </w:rPr>
        <w:t xml:space="preserve">516 </w:t>
      </w:r>
      <w:r w:rsidRPr="00332DA0">
        <w:rPr>
          <w:highlight w:val="yellow"/>
        </w:rPr>
        <w:t>their data protection authorities and the appended legal guidance in this recommendation.]</w:t>
      </w:r>
    </w:p>
    <w:p w14:paraId="3D2B9A9F" w14:textId="4CD79676" w:rsidR="00332DA0" w:rsidRDefault="00332DA0" w:rsidP="00332DA0">
      <w:pPr>
        <w:rPr>
          <w:highlight w:val="yellow"/>
        </w:rPr>
      </w:pPr>
    </w:p>
    <w:tbl>
      <w:tblPr>
        <w:tblW w:w="139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992"/>
        <w:gridCol w:w="2835"/>
        <w:gridCol w:w="3686"/>
        <w:gridCol w:w="4489"/>
      </w:tblGrid>
      <w:tr w:rsidR="00332DA0" w:rsidRPr="00461559" w14:paraId="21C65BEE" w14:textId="77777777" w:rsidTr="005B1D84">
        <w:trPr>
          <w:trHeight w:val="277"/>
        </w:trPr>
        <w:tc>
          <w:tcPr>
            <w:tcW w:w="1980" w:type="dxa"/>
            <w:shd w:val="clear" w:color="auto" w:fill="00B0F0"/>
          </w:tcPr>
          <w:p w14:paraId="032A183E" w14:textId="0E1FD291" w:rsidR="00332DA0" w:rsidRPr="00332DA0" w:rsidRDefault="00332DA0" w:rsidP="00332DA0">
            <w:pPr>
              <w:pStyle w:val="ListParagraph"/>
              <w:numPr>
                <w:ilvl w:val="0"/>
                <w:numId w:val="7"/>
              </w:numPr>
              <w:rPr>
                <w:rFonts w:asciiTheme="majorHAnsi" w:hAnsiTheme="majorHAnsi" w:cstheme="majorHAnsi"/>
                <w:sz w:val="22"/>
                <w:szCs w:val="22"/>
              </w:rPr>
            </w:pPr>
            <w:r w:rsidRPr="00332DA0">
              <w:rPr>
                <w:rFonts w:asciiTheme="majorHAnsi" w:hAnsiTheme="majorHAnsi" w:cstheme="majorHAnsi"/>
                <w:sz w:val="22"/>
                <w:szCs w:val="22"/>
              </w:rPr>
              <w:t>513-517</w:t>
            </w:r>
            <w:r>
              <w:rPr>
                <w:rFonts w:asciiTheme="majorHAnsi" w:hAnsiTheme="majorHAnsi" w:cstheme="majorHAnsi"/>
                <w:sz w:val="22"/>
                <w:szCs w:val="22"/>
              </w:rPr>
              <w:t xml:space="preserve"> (579 – 583 updated version)</w:t>
            </w:r>
          </w:p>
        </w:tc>
        <w:tc>
          <w:tcPr>
            <w:tcW w:w="992" w:type="dxa"/>
            <w:shd w:val="clear" w:color="auto" w:fill="00B0F0"/>
          </w:tcPr>
          <w:p w14:paraId="00F0C729" w14:textId="77777777" w:rsidR="00332DA0" w:rsidRPr="00461559" w:rsidRDefault="00332DA0" w:rsidP="005B1D84">
            <w:pPr>
              <w:rPr>
                <w:rFonts w:asciiTheme="majorHAnsi" w:hAnsiTheme="majorHAnsi" w:cstheme="majorHAnsi"/>
                <w:sz w:val="22"/>
                <w:szCs w:val="22"/>
              </w:rPr>
            </w:pPr>
            <w:r w:rsidRPr="00461559">
              <w:rPr>
                <w:rFonts w:asciiTheme="majorHAnsi" w:hAnsiTheme="majorHAnsi" w:cstheme="majorHAnsi"/>
                <w:sz w:val="22"/>
                <w:szCs w:val="22"/>
              </w:rPr>
              <w:t>RySG</w:t>
            </w:r>
          </w:p>
        </w:tc>
        <w:tc>
          <w:tcPr>
            <w:tcW w:w="2835" w:type="dxa"/>
            <w:shd w:val="clear" w:color="auto" w:fill="00B0F0"/>
          </w:tcPr>
          <w:p w14:paraId="3015320F" w14:textId="77777777" w:rsidR="00332DA0" w:rsidRPr="00461559" w:rsidRDefault="00332DA0" w:rsidP="005B1D84">
            <w:pPr>
              <w:rPr>
                <w:rFonts w:asciiTheme="majorHAnsi" w:hAnsiTheme="majorHAnsi" w:cstheme="majorHAnsi"/>
                <w:sz w:val="22"/>
                <w:szCs w:val="22"/>
              </w:rPr>
            </w:pPr>
            <w:r w:rsidRPr="00461559">
              <w:rPr>
                <w:rFonts w:asciiTheme="majorHAnsi" w:hAnsiTheme="majorHAnsi" w:cstheme="majorHAnsi"/>
                <w:sz w:val="22"/>
                <w:szCs w:val="22"/>
              </w:rPr>
              <w:t>The RySG disagrees with the text.  This was not discussed or agreed to by the working group.</w:t>
            </w:r>
          </w:p>
        </w:tc>
        <w:tc>
          <w:tcPr>
            <w:tcW w:w="3686" w:type="dxa"/>
            <w:shd w:val="clear" w:color="auto" w:fill="00B0F0"/>
          </w:tcPr>
          <w:p w14:paraId="382E42D5" w14:textId="77777777" w:rsidR="00332DA0" w:rsidRPr="00461559" w:rsidRDefault="00332DA0" w:rsidP="005B1D84">
            <w:pPr>
              <w:rPr>
                <w:rFonts w:asciiTheme="majorHAnsi" w:hAnsiTheme="majorHAnsi" w:cstheme="majorHAnsi"/>
                <w:sz w:val="22"/>
                <w:szCs w:val="22"/>
              </w:rPr>
            </w:pPr>
            <w:r w:rsidRPr="00461559">
              <w:rPr>
                <w:rFonts w:asciiTheme="majorHAnsi" w:hAnsiTheme="majorHAnsi" w:cstheme="majorHAnsi"/>
                <w:sz w:val="22"/>
                <w:szCs w:val="22"/>
              </w:rPr>
              <w:t>Delete text</w:t>
            </w:r>
          </w:p>
        </w:tc>
        <w:tc>
          <w:tcPr>
            <w:tcW w:w="4489" w:type="dxa"/>
            <w:shd w:val="clear" w:color="auto" w:fill="00B0F0"/>
          </w:tcPr>
          <w:p w14:paraId="61C6C6D2" w14:textId="77777777" w:rsidR="00332DA0" w:rsidRPr="00461559" w:rsidRDefault="00332DA0" w:rsidP="005B1D84">
            <w:pPr>
              <w:rPr>
                <w:rFonts w:asciiTheme="majorHAnsi" w:hAnsiTheme="majorHAnsi" w:cstheme="majorHAnsi"/>
                <w:sz w:val="22"/>
                <w:szCs w:val="22"/>
              </w:rPr>
            </w:pPr>
            <w:r w:rsidRPr="00461559">
              <w:rPr>
                <w:rFonts w:asciiTheme="majorHAnsi" w:hAnsiTheme="majorHAnsi" w:cstheme="majorHAnsi"/>
                <w:sz w:val="22"/>
                <w:szCs w:val="22"/>
              </w:rPr>
              <w:t>EPDP Team to discuss</w:t>
            </w:r>
          </w:p>
        </w:tc>
      </w:tr>
    </w:tbl>
    <w:p w14:paraId="05B3F866" w14:textId="77777777" w:rsidR="00332DA0" w:rsidRPr="00332DA0" w:rsidRDefault="00332DA0" w:rsidP="00332DA0">
      <w:pPr>
        <w:rPr>
          <w:highlight w:val="yellow"/>
          <w:lang w:val="en-US"/>
        </w:rPr>
      </w:pPr>
    </w:p>
    <w:sectPr w:rsidR="00332DA0" w:rsidRPr="00332DA0" w:rsidSect="00C02486">
      <w:pgSz w:w="1682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MT"/>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541A7"/>
    <w:multiLevelType w:val="hybridMultilevel"/>
    <w:tmpl w:val="D33AD83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3072F7D"/>
    <w:multiLevelType w:val="hybridMultilevel"/>
    <w:tmpl w:val="8F8EE204"/>
    <w:lvl w:ilvl="0" w:tplc="0809000F">
      <w:start w:val="77"/>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04C4E49"/>
    <w:multiLevelType w:val="hybridMultilevel"/>
    <w:tmpl w:val="EF7C19A4"/>
    <w:lvl w:ilvl="0" w:tplc="0809000F">
      <w:start w:val="6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A4021A6"/>
    <w:multiLevelType w:val="multilevel"/>
    <w:tmpl w:val="1B502E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C456E7B"/>
    <w:multiLevelType w:val="hybridMultilevel"/>
    <w:tmpl w:val="CE5079B6"/>
    <w:lvl w:ilvl="0" w:tplc="0809000F">
      <w:start w:val="60"/>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DCE2F89"/>
    <w:multiLevelType w:val="hybridMultilevel"/>
    <w:tmpl w:val="A16E77CC"/>
    <w:lvl w:ilvl="0" w:tplc="0809000F">
      <w:start w:val="58"/>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60B5521A"/>
    <w:multiLevelType w:val="hybridMultilevel"/>
    <w:tmpl w:val="7584E2D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2D37FCD"/>
    <w:multiLevelType w:val="hybridMultilevel"/>
    <w:tmpl w:val="7F16E3B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65024147"/>
    <w:multiLevelType w:val="multilevel"/>
    <w:tmpl w:val="144E36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6F317F4B"/>
    <w:multiLevelType w:val="hybridMultilevel"/>
    <w:tmpl w:val="684CBB6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2AD3217"/>
    <w:multiLevelType w:val="hybridMultilevel"/>
    <w:tmpl w:val="D6B47436"/>
    <w:lvl w:ilvl="0" w:tplc="0809000F">
      <w:start w:val="4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6"/>
  </w:num>
  <w:num w:numId="3">
    <w:abstractNumId w:val="0"/>
  </w:num>
  <w:num w:numId="4">
    <w:abstractNumId w:val="10"/>
  </w:num>
  <w:num w:numId="5">
    <w:abstractNumId w:val="9"/>
  </w:num>
  <w:num w:numId="6">
    <w:abstractNumId w:val="5"/>
  </w:num>
  <w:num w:numId="7">
    <w:abstractNumId w:val="4"/>
  </w:num>
  <w:num w:numId="8">
    <w:abstractNumId w:val="2"/>
  </w:num>
  <w:num w:numId="9">
    <w:abstractNumId w:val="8"/>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486"/>
    <w:rsid w:val="001E336B"/>
    <w:rsid w:val="003140A8"/>
    <w:rsid w:val="00332DA0"/>
    <w:rsid w:val="004774BF"/>
    <w:rsid w:val="00932C23"/>
    <w:rsid w:val="00C02486"/>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ecimalSymbol w:val=","/>
  <w:listSeparator w:val=","/>
  <w14:docId w14:val="44F35CC5"/>
  <w15:chartTrackingRefBased/>
  <w15:docId w15:val="{89D573E0-66AD-C042-B952-F145C8AD5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2486"/>
    <w:pPr>
      <w:ind w:left="720"/>
      <w:contextualSpacing/>
    </w:pPr>
    <w:rPr>
      <w:rFonts w:ascii="Calibri" w:eastAsia="Calibri" w:hAnsi="Calibri" w:cs="Calibri"/>
      <w:lang w:val="en-US" w:eastAsia="en-GB"/>
    </w:rPr>
  </w:style>
  <w:style w:type="paragraph" w:customStyle="1" w:styleId="Default">
    <w:name w:val="Default"/>
    <w:rsid w:val="00332DA0"/>
    <w:pPr>
      <w:autoSpaceDE w:val="0"/>
      <w:autoSpaceDN w:val="0"/>
      <w:adjustRightInd w:val="0"/>
    </w:pPr>
    <w:rPr>
      <w:rFonts w:ascii="Calibri" w:hAnsi="Calibri" w:cs="Calibri"/>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626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8</Pages>
  <Words>1418</Words>
  <Characters>7350</Characters>
  <Application>Microsoft Office Word</Application>
  <DocSecurity>0</DocSecurity>
  <Lines>170</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2021-05-26T15:26:00Z</dcterms:created>
  <dcterms:modified xsi:type="dcterms:W3CDTF">2021-05-26T16:11:00Z</dcterms:modified>
</cp:coreProperties>
</file>