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75"/>
        <w:gridCol w:w="4675"/>
      </w:tblGrid>
      <w:tr w:rsidR="00005EF6" w14:paraId="0689A87E" w14:textId="77777777" w:rsidTr="00005EF6">
        <w:tc>
          <w:tcPr>
            <w:tcW w:w="4675" w:type="dxa"/>
            <w:shd w:val="clear" w:color="auto" w:fill="E7E6E6" w:themeFill="background2"/>
          </w:tcPr>
          <w:p w14:paraId="44D4F3B8" w14:textId="490595F5" w:rsidR="00005EF6" w:rsidRPr="007B6F65" w:rsidRDefault="00005EF6">
            <w:pPr>
              <w:rPr>
                <w:b/>
                <w:bCs/>
                <w:sz w:val="22"/>
                <w:szCs w:val="22"/>
              </w:rPr>
            </w:pPr>
            <w:bookmarkStart w:id="0" w:name="_GoBack"/>
            <w:bookmarkEnd w:id="0"/>
            <w:r w:rsidRPr="007B6F65">
              <w:rPr>
                <w:b/>
                <w:bCs/>
                <w:sz w:val="22"/>
                <w:szCs w:val="22"/>
              </w:rPr>
              <w:t>Third Party Legitimate Interest</w:t>
            </w:r>
          </w:p>
        </w:tc>
        <w:tc>
          <w:tcPr>
            <w:tcW w:w="4675" w:type="dxa"/>
            <w:shd w:val="clear" w:color="auto" w:fill="E7E6E6" w:themeFill="background2"/>
          </w:tcPr>
          <w:p w14:paraId="3896A6CC" w14:textId="7920B2FB" w:rsidR="00005EF6" w:rsidRPr="007B6F65" w:rsidRDefault="00005EF6">
            <w:pPr>
              <w:rPr>
                <w:b/>
                <w:bCs/>
                <w:sz w:val="22"/>
                <w:szCs w:val="22"/>
              </w:rPr>
            </w:pPr>
            <w:r w:rsidRPr="007B6F65">
              <w:rPr>
                <w:b/>
                <w:bCs/>
                <w:sz w:val="22"/>
                <w:szCs w:val="22"/>
              </w:rPr>
              <w:t>Comments received</w:t>
            </w:r>
          </w:p>
        </w:tc>
      </w:tr>
      <w:tr w:rsidR="00005EF6" w14:paraId="36F7B61A" w14:textId="77777777" w:rsidTr="00005EF6">
        <w:trPr>
          <w:trHeight w:val="494"/>
        </w:trPr>
        <w:tc>
          <w:tcPr>
            <w:tcW w:w="4675" w:type="dxa"/>
          </w:tcPr>
          <w:p w14:paraId="7EA0C15C" w14:textId="77777777" w:rsidR="00005EF6" w:rsidRPr="00F010C5" w:rsidRDefault="00005EF6" w:rsidP="00005EF6">
            <w:pPr>
              <w:pStyle w:val="ListParagraph"/>
              <w:numPr>
                <w:ilvl w:val="0"/>
                <w:numId w:val="1"/>
              </w:numPr>
              <w:spacing w:after="0" w:afterAutospacing="0"/>
              <w:ind w:hanging="112"/>
              <w:rPr>
                <w:rFonts w:ascii="Calibri" w:hAnsi="Calibri" w:cs="Calibri"/>
                <w:b/>
                <w:bCs/>
                <w:color w:val="000000"/>
                <w:sz w:val="22"/>
                <w:szCs w:val="22"/>
              </w:rPr>
            </w:pPr>
            <w:r w:rsidRPr="00F010C5">
              <w:rPr>
                <w:rFonts w:ascii="Calibri" w:hAnsi="Calibri" w:cs="Calibri"/>
                <w:b/>
                <w:bCs/>
                <w:color w:val="000000"/>
                <w:sz w:val="22"/>
                <w:szCs w:val="22"/>
              </w:rPr>
              <w:t>Carry out the obligations and responsibilities of a law enforcement agency</w:t>
            </w:r>
          </w:p>
          <w:p w14:paraId="19D32627" w14:textId="77777777" w:rsidR="00D858FF" w:rsidRDefault="00D858FF" w:rsidP="00D858FF">
            <w:pPr>
              <w:rPr>
                <w:rFonts w:ascii="Calibri" w:hAnsi="Calibri" w:cs="Calibri"/>
                <w:color w:val="000000"/>
                <w:sz w:val="22"/>
                <w:szCs w:val="22"/>
              </w:rPr>
            </w:pPr>
          </w:p>
          <w:p w14:paraId="642D414A" w14:textId="77777777" w:rsidR="00D858FF" w:rsidRDefault="00D858FF" w:rsidP="00D858FF">
            <w:pPr>
              <w:autoSpaceDE w:val="0"/>
              <w:autoSpaceDN w:val="0"/>
              <w:adjustRightInd w:val="0"/>
              <w:rPr>
                <w:rFonts w:ascii="PΩá˛" w:hAnsi="PΩá˛" w:cs="PΩá˛"/>
                <w:color w:val="000000"/>
                <w:sz w:val="22"/>
                <w:szCs w:val="22"/>
              </w:rPr>
            </w:pPr>
            <w:r>
              <w:rPr>
                <w:rFonts w:ascii="PΩá˛" w:hAnsi="PΩá˛" w:cs="PΩá˛"/>
                <w:color w:val="000000"/>
                <w:sz w:val="22"/>
                <w:szCs w:val="22"/>
              </w:rPr>
              <w:t>Examples:</w:t>
            </w:r>
          </w:p>
          <w:p w14:paraId="10532022" w14:textId="270BA908" w:rsidR="00D858FF" w:rsidRPr="00D858FF" w:rsidRDefault="00D858FF" w:rsidP="00D858FF">
            <w:pPr>
              <w:pStyle w:val="ListParagraph"/>
              <w:numPr>
                <w:ilvl w:val="0"/>
                <w:numId w:val="3"/>
              </w:numPr>
              <w:autoSpaceDE w:val="0"/>
              <w:autoSpaceDN w:val="0"/>
              <w:adjustRightInd w:val="0"/>
              <w:spacing w:before="0" w:beforeAutospacing="0" w:after="0" w:afterAutospacing="0"/>
              <w:rPr>
                <w:rFonts w:ascii="PΩá˛" w:hAnsi="PΩá˛" w:cs="PΩá˛"/>
                <w:color w:val="000000"/>
                <w:sz w:val="22"/>
                <w:szCs w:val="22"/>
              </w:rPr>
            </w:pPr>
            <w:r w:rsidRPr="00D858FF">
              <w:rPr>
                <w:rFonts w:ascii="PΩá˛" w:hAnsi="PΩá˛" w:cs="PΩá˛"/>
                <w:color w:val="000000"/>
                <w:sz w:val="22"/>
                <w:szCs w:val="22"/>
              </w:rPr>
              <w:t>To identify contact point for domain name and to gather investigative leads related to the</w:t>
            </w:r>
            <w:r>
              <w:rPr>
                <w:rFonts w:ascii="PΩá˛" w:hAnsi="PΩá˛" w:cs="PΩá˛"/>
                <w:color w:val="000000"/>
                <w:sz w:val="22"/>
                <w:szCs w:val="22"/>
              </w:rPr>
              <w:t xml:space="preserve"> </w:t>
            </w:r>
            <w:r w:rsidRPr="00D858FF">
              <w:rPr>
                <w:rFonts w:ascii="PΩá˛" w:hAnsi="PΩá˛" w:cs="PΩá˛"/>
                <w:color w:val="000000"/>
                <w:sz w:val="22"/>
                <w:szCs w:val="22"/>
              </w:rPr>
              <w:t>owner/purchaser of the domain;</w:t>
            </w:r>
          </w:p>
          <w:p w14:paraId="600466F5" w14:textId="5C386941" w:rsidR="00D858FF" w:rsidRPr="00D858FF" w:rsidRDefault="00D858FF" w:rsidP="00D858FF">
            <w:pPr>
              <w:pStyle w:val="ListParagraph"/>
              <w:numPr>
                <w:ilvl w:val="0"/>
                <w:numId w:val="3"/>
              </w:numPr>
              <w:autoSpaceDE w:val="0"/>
              <w:autoSpaceDN w:val="0"/>
              <w:adjustRightInd w:val="0"/>
              <w:spacing w:before="0" w:beforeAutospacing="0" w:after="0" w:afterAutospacing="0"/>
              <w:rPr>
                <w:rFonts w:ascii="PΩá˛" w:hAnsi="PΩá˛" w:cs="PΩá˛"/>
                <w:color w:val="000000"/>
                <w:sz w:val="22"/>
                <w:szCs w:val="22"/>
              </w:rPr>
            </w:pPr>
            <w:r w:rsidRPr="00D858FF">
              <w:rPr>
                <w:rFonts w:ascii="PΩá˛" w:hAnsi="PΩá˛" w:cs="PΩá˛"/>
                <w:color w:val="000000"/>
                <w:sz w:val="22"/>
                <w:szCs w:val="22"/>
              </w:rPr>
              <w:t>In order to identify for example, the sources of supply for counterfeit and misbranded</w:t>
            </w:r>
          </w:p>
          <w:p w14:paraId="23DC9990" w14:textId="6BFA9B4E" w:rsidR="00D858FF" w:rsidRPr="00D858FF" w:rsidRDefault="00D858FF" w:rsidP="004210BD">
            <w:pPr>
              <w:pStyle w:val="ListParagraph"/>
              <w:autoSpaceDE w:val="0"/>
              <w:autoSpaceDN w:val="0"/>
              <w:adjustRightInd w:val="0"/>
              <w:spacing w:before="0" w:beforeAutospacing="0" w:after="0" w:afterAutospacing="0"/>
              <w:ind w:left="360"/>
              <w:rPr>
                <w:rFonts w:ascii="PΩá˛" w:hAnsi="PΩá˛" w:cs="PΩá˛"/>
                <w:color w:val="000000"/>
                <w:sz w:val="22"/>
                <w:szCs w:val="22"/>
              </w:rPr>
            </w:pPr>
            <w:r w:rsidRPr="00D858FF">
              <w:rPr>
                <w:rFonts w:ascii="PΩá˛" w:hAnsi="PΩá˛" w:cs="PΩá˛"/>
                <w:color w:val="000000"/>
                <w:sz w:val="22"/>
                <w:szCs w:val="22"/>
              </w:rPr>
              <w:t>medications; individuals engaging in illegal sales of online drugs the individuals responsible</w:t>
            </w:r>
            <w:r>
              <w:rPr>
                <w:rFonts w:ascii="PΩá˛" w:hAnsi="PΩá˛" w:cs="PΩá˛"/>
                <w:color w:val="000000"/>
                <w:sz w:val="22"/>
                <w:szCs w:val="22"/>
              </w:rPr>
              <w:t xml:space="preserve"> </w:t>
            </w:r>
            <w:r w:rsidRPr="00D858FF">
              <w:rPr>
                <w:rFonts w:ascii="PΩá˛" w:hAnsi="PΩá˛" w:cs="PΩá˛"/>
                <w:color w:val="000000"/>
                <w:sz w:val="22"/>
                <w:szCs w:val="22"/>
              </w:rPr>
              <w:t>for operation of illicit websites associated with counterfeit, misbranded and adulterated</w:t>
            </w:r>
            <w:r>
              <w:rPr>
                <w:rFonts w:ascii="PΩá˛" w:hAnsi="PΩá˛" w:cs="PΩá˛"/>
                <w:color w:val="000000"/>
                <w:sz w:val="22"/>
                <w:szCs w:val="22"/>
              </w:rPr>
              <w:t xml:space="preserve"> </w:t>
            </w:r>
            <w:r w:rsidRPr="00D858FF">
              <w:rPr>
                <w:rFonts w:ascii="PΩá˛" w:hAnsi="PΩá˛" w:cs="PΩá˛"/>
                <w:color w:val="000000"/>
                <w:sz w:val="22"/>
                <w:szCs w:val="22"/>
              </w:rPr>
              <w:t>Botox.</w:t>
            </w:r>
          </w:p>
          <w:p w14:paraId="3CC47B5A" w14:textId="584D23CE" w:rsidR="00D858FF" w:rsidRPr="00D858FF" w:rsidRDefault="00D858FF" w:rsidP="00D858FF">
            <w:pPr>
              <w:pStyle w:val="ListParagraph"/>
              <w:numPr>
                <w:ilvl w:val="0"/>
                <w:numId w:val="3"/>
              </w:numPr>
              <w:autoSpaceDE w:val="0"/>
              <w:autoSpaceDN w:val="0"/>
              <w:adjustRightInd w:val="0"/>
              <w:spacing w:before="0" w:beforeAutospacing="0" w:after="0" w:afterAutospacing="0"/>
              <w:rPr>
                <w:rFonts w:ascii="PΩá˛" w:hAnsi="PΩá˛" w:cs="PΩá˛"/>
                <w:color w:val="000000"/>
                <w:sz w:val="22"/>
                <w:szCs w:val="22"/>
              </w:rPr>
            </w:pPr>
            <w:r w:rsidRPr="00D858FF">
              <w:rPr>
                <w:rFonts w:ascii="PΩá˛" w:hAnsi="PΩá˛" w:cs="PΩá˛"/>
                <w:color w:val="000000"/>
                <w:sz w:val="22"/>
                <w:szCs w:val="22"/>
              </w:rPr>
              <w:t>For the purpose of discovering who operates a given domain and how I can communicate</w:t>
            </w:r>
            <w:r>
              <w:rPr>
                <w:rFonts w:ascii="PΩá˛" w:hAnsi="PΩá˛" w:cs="PΩá˛"/>
                <w:color w:val="000000"/>
                <w:sz w:val="22"/>
                <w:szCs w:val="22"/>
              </w:rPr>
              <w:t xml:space="preserve"> </w:t>
            </w:r>
            <w:r w:rsidRPr="00D858FF">
              <w:rPr>
                <w:rFonts w:ascii="PΩá˛" w:hAnsi="PΩá˛" w:cs="PΩá˛"/>
                <w:color w:val="000000"/>
                <w:sz w:val="22"/>
                <w:szCs w:val="22"/>
              </w:rPr>
              <w:t>with and/or serve legal process on them in the form of subpoenas and search warrants</w:t>
            </w:r>
          </w:p>
          <w:p w14:paraId="6A11AF14" w14:textId="43EE174E" w:rsidR="00D858FF" w:rsidRPr="00D858FF" w:rsidRDefault="00D858FF" w:rsidP="00D858FF">
            <w:pPr>
              <w:pStyle w:val="ListParagraph"/>
              <w:numPr>
                <w:ilvl w:val="0"/>
                <w:numId w:val="3"/>
              </w:numPr>
              <w:autoSpaceDE w:val="0"/>
              <w:autoSpaceDN w:val="0"/>
              <w:adjustRightInd w:val="0"/>
              <w:spacing w:before="0" w:beforeAutospacing="0" w:after="0" w:afterAutospacing="0"/>
              <w:rPr>
                <w:rFonts w:ascii="PΩá˛" w:hAnsi="PΩá˛" w:cs="PΩá˛"/>
                <w:color w:val="000000"/>
                <w:sz w:val="22"/>
                <w:szCs w:val="22"/>
              </w:rPr>
            </w:pPr>
            <w:r w:rsidRPr="00D858FF">
              <w:rPr>
                <w:rFonts w:ascii="PΩá˛" w:hAnsi="PΩá˛" w:cs="PΩá˛"/>
                <w:color w:val="000000"/>
                <w:sz w:val="22"/>
                <w:szCs w:val="22"/>
              </w:rPr>
              <w:t>In a major fraud investigation, WHOIS lookups were critical to identifying conspirators</w:t>
            </w:r>
            <w:r>
              <w:rPr>
                <w:rFonts w:ascii="PΩá˛" w:hAnsi="PΩá˛" w:cs="PΩá˛"/>
                <w:color w:val="000000"/>
                <w:sz w:val="22"/>
                <w:szCs w:val="22"/>
              </w:rPr>
              <w:t xml:space="preserve"> </w:t>
            </w:r>
            <w:r w:rsidRPr="00D858FF">
              <w:rPr>
                <w:rFonts w:ascii="PΩá˛" w:hAnsi="PΩá˛" w:cs="PΩá˛"/>
                <w:color w:val="000000"/>
                <w:sz w:val="22"/>
                <w:szCs w:val="22"/>
              </w:rPr>
              <w:t>responsible for registering fraudulent domains. We also have had several groups of</w:t>
            </w:r>
            <w:r>
              <w:rPr>
                <w:rFonts w:ascii="PΩá˛" w:hAnsi="PΩá˛" w:cs="PΩá˛"/>
                <w:color w:val="000000"/>
                <w:sz w:val="22"/>
                <w:szCs w:val="22"/>
              </w:rPr>
              <w:t xml:space="preserve"> </w:t>
            </w:r>
            <w:r w:rsidRPr="00D858FF">
              <w:rPr>
                <w:rFonts w:ascii="PΩá˛" w:hAnsi="PΩá˛" w:cs="PΩá˛"/>
                <w:color w:val="000000"/>
                <w:sz w:val="22"/>
                <w:szCs w:val="22"/>
              </w:rPr>
              <w:t>individuals using Internet services to lure victims to robberies. Using a WHOIS lookup is</w:t>
            </w:r>
            <w:r>
              <w:rPr>
                <w:rFonts w:ascii="PΩá˛" w:hAnsi="PΩá˛" w:cs="PΩá˛"/>
                <w:color w:val="000000"/>
                <w:sz w:val="22"/>
                <w:szCs w:val="22"/>
              </w:rPr>
              <w:t xml:space="preserve"> </w:t>
            </w:r>
            <w:r w:rsidRPr="00D858FF">
              <w:rPr>
                <w:rFonts w:ascii="PΩá˛" w:hAnsi="PΩá˛" w:cs="PΩá˛"/>
                <w:color w:val="000000"/>
                <w:sz w:val="22"/>
                <w:szCs w:val="22"/>
              </w:rPr>
              <w:t xml:space="preserve">critical to quickly aid us in finding the locations where these defendants are operating </w:t>
            </w:r>
            <w:proofErr w:type="gramStart"/>
            <w:r w:rsidRPr="00D858FF">
              <w:rPr>
                <w:rFonts w:ascii="PΩá˛" w:hAnsi="PΩá˛" w:cs="PΩá˛"/>
                <w:color w:val="000000"/>
                <w:sz w:val="22"/>
                <w:szCs w:val="22"/>
              </w:rPr>
              <w:t>from,</w:t>
            </w:r>
            <w:r>
              <w:rPr>
                <w:rFonts w:ascii="PΩá˛" w:hAnsi="PΩá˛" w:cs="PΩá˛"/>
                <w:color w:val="000000"/>
                <w:sz w:val="22"/>
                <w:szCs w:val="22"/>
              </w:rPr>
              <w:t xml:space="preserve"> </w:t>
            </w:r>
            <w:r w:rsidRPr="00D858FF">
              <w:rPr>
                <w:rFonts w:ascii="PΩá˛" w:hAnsi="PΩá˛" w:cs="PΩá˛"/>
                <w:color w:val="000000"/>
                <w:sz w:val="22"/>
                <w:szCs w:val="22"/>
              </w:rPr>
              <w:t>and</w:t>
            </w:r>
            <w:proofErr w:type="gramEnd"/>
            <w:r w:rsidRPr="00D858FF">
              <w:rPr>
                <w:rFonts w:ascii="PΩá˛" w:hAnsi="PΩá˛" w:cs="PΩá˛"/>
                <w:color w:val="000000"/>
                <w:sz w:val="22"/>
                <w:szCs w:val="22"/>
              </w:rPr>
              <w:t xml:space="preserve"> have led to subpoenas and eventually to search warrants.</w:t>
            </w:r>
          </w:p>
        </w:tc>
        <w:tc>
          <w:tcPr>
            <w:tcW w:w="4675" w:type="dxa"/>
          </w:tcPr>
          <w:p w14:paraId="29826E01" w14:textId="77777777" w:rsidR="00005EF6" w:rsidRDefault="00005EF6">
            <w:r w:rsidRPr="00005EF6">
              <w:rPr>
                <w:b/>
                <w:bCs/>
                <w:sz w:val="22"/>
                <w:szCs w:val="22"/>
              </w:rPr>
              <w:t>Contracted Party House</w:t>
            </w:r>
            <w:r>
              <w:t>:</w:t>
            </w:r>
          </w:p>
          <w:p w14:paraId="43769324" w14:textId="265A4BE3"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The CPH has significant concerns around providing specific examples of circumstances where</w:t>
            </w:r>
            <w:r>
              <w:rPr>
                <w:rFonts w:cstheme="minorHAnsi"/>
                <w:color w:val="000000" w:themeColor="text1"/>
                <w:sz w:val="22"/>
                <w:szCs w:val="22"/>
              </w:rPr>
              <w:t xml:space="preserve"> </w:t>
            </w:r>
            <w:r w:rsidRPr="00005EF6">
              <w:rPr>
                <w:rFonts w:cstheme="minorHAnsi"/>
                <w:color w:val="000000" w:themeColor="text1"/>
                <w:sz w:val="22"/>
                <w:szCs w:val="22"/>
              </w:rPr>
              <w:t>law enforcement may get access. It is enough to simply state that law enforcement MUST</w:t>
            </w:r>
            <w:r>
              <w:rPr>
                <w:rFonts w:cstheme="minorHAnsi"/>
                <w:color w:val="000000" w:themeColor="text1"/>
                <w:sz w:val="22"/>
                <w:szCs w:val="22"/>
              </w:rPr>
              <w:t xml:space="preserve"> </w:t>
            </w:r>
            <w:r w:rsidRPr="00005EF6">
              <w:rPr>
                <w:rFonts w:cstheme="minorHAnsi"/>
                <w:color w:val="000000" w:themeColor="text1"/>
                <w:sz w:val="22"/>
                <w:szCs w:val="22"/>
              </w:rPr>
              <w:t>assert a specific legal right for access; providing examples is unnecessary. The sole exception</w:t>
            </w:r>
            <w:r>
              <w:rPr>
                <w:rFonts w:cstheme="minorHAnsi"/>
                <w:color w:val="000000" w:themeColor="text1"/>
                <w:sz w:val="22"/>
                <w:szCs w:val="22"/>
              </w:rPr>
              <w:t xml:space="preserve"> </w:t>
            </w:r>
            <w:r w:rsidRPr="00005EF6">
              <w:rPr>
                <w:rFonts w:cstheme="minorHAnsi"/>
                <w:color w:val="000000" w:themeColor="text1"/>
                <w:sz w:val="22"/>
                <w:szCs w:val="22"/>
              </w:rPr>
              <w:t>to requiring a 'legal' basis is when there are vital interests, and as per ICO this means threat to</w:t>
            </w:r>
            <w:r>
              <w:rPr>
                <w:rFonts w:cstheme="minorHAnsi"/>
                <w:color w:val="000000" w:themeColor="text1"/>
                <w:sz w:val="22"/>
                <w:szCs w:val="22"/>
              </w:rPr>
              <w:t xml:space="preserve"> </w:t>
            </w:r>
            <w:r w:rsidRPr="00005EF6">
              <w:rPr>
                <w:rFonts w:cstheme="minorHAnsi"/>
                <w:color w:val="000000" w:themeColor="text1"/>
                <w:sz w:val="22"/>
                <w:szCs w:val="22"/>
              </w:rPr>
              <w:t>life, which has not been referenced here.</w:t>
            </w:r>
          </w:p>
        </w:tc>
      </w:tr>
      <w:tr w:rsidR="00005EF6" w14:paraId="6FB7BCFC" w14:textId="77777777" w:rsidTr="00005EF6">
        <w:tc>
          <w:tcPr>
            <w:tcW w:w="4675" w:type="dxa"/>
          </w:tcPr>
          <w:p w14:paraId="5811DE1B" w14:textId="0501DEF0" w:rsidR="00005EF6" w:rsidRPr="00F010C5" w:rsidRDefault="00005EF6" w:rsidP="00005EF6">
            <w:pPr>
              <w:pStyle w:val="ListParagraph"/>
              <w:numPr>
                <w:ilvl w:val="0"/>
                <w:numId w:val="1"/>
              </w:numPr>
              <w:spacing w:after="0" w:afterAutospacing="0"/>
              <w:ind w:hanging="112"/>
              <w:rPr>
                <w:rFonts w:ascii="Calibri" w:hAnsi="Calibri" w:cs="Calibri"/>
                <w:b/>
                <w:bCs/>
                <w:color w:val="000000"/>
                <w:sz w:val="22"/>
                <w:szCs w:val="22"/>
              </w:rPr>
            </w:pPr>
            <w:r w:rsidRPr="00F010C5">
              <w:rPr>
                <w:rFonts w:ascii="Calibri" w:hAnsi="Calibri" w:cs="Calibri"/>
                <w:b/>
                <w:bCs/>
                <w:color w:val="000000"/>
                <w:sz w:val="22"/>
                <w:szCs w:val="22"/>
              </w:rPr>
              <w:t>Confirm the identity of an entity before completing an online purchase/acquisition</w:t>
            </w:r>
          </w:p>
        </w:tc>
        <w:tc>
          <w:tcPr>
            <w:tcW w:w="4675" w:type="dxa"/>
          </w:tcPr>
          <w:p w14:paraId="0B133EDB" w14:textId="63378C76" w:rsidR="00005EF6" w:rsidRPr="00005EF6" w:rsidRDefault="00005EF6" w:rsidP="00005EF6">
            <w:r w:rsidRPr="00005EF6">
              <w:rPr>
                <w:b/>
                <w:bCs/>
                <w:sz w:val="22"/>
                <w:szCs w:val="22"/>
              </w:rPr>
              <w:t>Contracted Party House</w:t>
            </w:r>
            <w:r>
              <w:t>:</w:t>
            </w:r>
          </w:p>
          <w:p w14:paraId="4B5FA6E6" w14:textId="01A752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The CPH does not support this being listed as a purpose. The issue can be solved through EV or</w:t>
            </w:r>
          </w:p>
          <w:p w14:paraId="2F929BB9"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OV SSL certificates, or a TXT record in the DNS. With regards to ownership of a domain name,</w:t>
            </w:r>
          </w:p>
          <w:p w14:paraId="266CDDB4"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an online store could for example be owned by someone entirely different &amp; thus disclosure is</w:t>
            </w:r>
          </w:p>
          <w:p w14:paraId="3981FF88"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 xml:space="preserve">invalid for this purpose. How would the requestor demonstrate that they are actually </w:t>
            </w:r>
            <w:proofErr w:type="gramStart"/>
            <w:r w:rsidRPr="00005EF6">
              <w:rPr>
                <w:rFonts w:cstheme="minorHAnsi"/>
                <w:color w:val="000000" w:themeColor="text1"/>
                <w:sz w:val="22"/>
                <w:szCs w:val="22"/>
              </w:rPr>
              <w:t>purchasing</w:t>
            </w:r>
            <w:proofErr w:type="gramEnd"/>
          </w:p>
          <w:p w14:paraId="4B34E6A3"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from that website? The legitimate purpose relates to the individual request and not a class of</w:t>
            </w:r>
          </w:p>
          <w:p w14:paraId="4082A9C5" w14:textId="4780DA13" w:rsidR="00005EF6" w:rsidRDefault="00005EF6" w:rsidP="00005EF6">
            <w:pPr>
              <w:autoSpaceDE w:val="0"/>
              <w:autoSpaceDN w:val="0"/>
              <w:adjustRightInd w:val="0"/>
            </w:pPr>
            <w:r w:rsidRPr="00005EF6">
              <w:rPr>
                <w:rFonts w:cstheme="minorHAnsi"/>
                <w:color w:val="000000" w:themeColor="text1"/>
                <w:sz w:val="22"/>
                <w:szCs w:val="22"/>
              </w:rPr>
              <w:t>requests.</w:t>
            </w:r>
          </w:p>
        </w:tc>
      </w:tr>
      <w:tr w:rsidR="00005EF6" w14:paraId="116D2D82" w14:textId="77777777" w:rsidTr="00005EF6">
        <w:tc>
          <w:tcPr>
            <w:tcW w:w="4675" w:type="dxa"/>
          </w:tcPr>
          <w:p w14:paraId="76DA0841" w14:textId="04C5BBA1" w:rsidR="00005EF6" w:rsidRPr="00F010C5" w:rsidRDefault="00005EF6" w:rsidP="00005EF6">
            <w:pPr>
              <w:pStyle w:val="ListParagraph"/>
              <w:numPr>
                <w:ilvl w:val="0"/>
                <w:numId w:val="1"/>
              </w:numPr>
              <w:spacing w:after="0" w:afterAutospacing="0"/>
              <w:ind w:hanging="112"/>
              <w:rPr>
                <w:rFonts w:ascii="Calibri" w:hAnsi="Calibri" w:cs="Calibri"/>
                <w:b/>
                <w:bCs/>
                <w:color w:val="000000"/>
                <w:sz w:val="22"/>
                <w:szCs w:val="22"/>
              </w:rPr>
            </w:pPr>
            <w:r w:rsidRPr="00F010C5">
              <w:rPr>
                <w:rFonts w:ascii="Calibri" w:hAnsi="Calibri" w:cs="Calibri"/>
                <w:b/>
                <w:bCs/>
                <w:color w:val="000000"/>
                <w:sz w:val="22"/>
                <w:szCs w:val="22"/>
              </w:rPr>
              <w:t>Report a technical issue with the domain name</w:t>
            </w:r>
          </w:p>
        </w:tc>
        <w:tc>
          <w:tcPr>
            <w:tcW w:w="4675" w:type="dxa"/>
          </w:tcPr>
          <w:p w14:paraId="68875454" w14:textId="62EF2533" w:rsidR="00005EF6" w:rsidRPr="00005EF6" w:rsidRDefault="00005EF6" w:rsidP="00005EF6">
            <w:r w:rsidRPr="00005EF6">
              <w:rPr>
                <w:b/>
                <w:bCs/>
                <w:sz w:val="22"/>
                <w:szCs w:val="22"/>
              </w:rPr>
              <w:t>Contracted Party House</w:t>
            </w:r>
            <w:r>
              <w:t>:</w:t>
            </w:r>
          </w:p>
          <w:p w14:paraId="4AE5115C" w14:textId="476AD55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The CPH does not support this being listed as a purpose. Unlike in the 80s and 90s, Registrars</w:t>
            </w:r>
          </w:p>
          <w:p w14:paraId="438A2C95" w14:textId="1D0E7820"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 xml:space="preserve">are obligated to have a contact form or forwarding email in the public RDS response, so </w:t>
            </w:r>
            <w:r w:rsidRPr="00005EF6">
              <w:rPr>
                <w:rFonts w:cstheme="minorHAnsi"/>
                <w:color w:val="000000" w:themeColor="text1"/>
                <w:sz w:val="22"/>
                <w:szCs w:val="22"/>
              </w:rPr>
              <w:lastRenderedPageBreak/>
              <w:t>there is</w:t>
            </w:r>
            <w:r>
              <w:rPr>
                <w:rFonts w:cstheme="minorHAnsi"/>
                <w:color w:val="000000" w:themeColor="text1"/>
                <w:sz w:val="22"/>
                <w:szCs w:val="22"/>
              </w:rPr>
              <w:t xml:space="preserve"> </w:t>
            </w:r>
            <w:r w:rsidRPr="00005EF6">
              <w:rPr>
                <w:rFonts w:cstheme="minorHAnsi"/>
                <w:color w:val="000000" w:themeColor="text1"/>
                <w:sz w:val="22"/>
                <w:szCs w:val="22"/>
              </w:rPr>
              <w:t>no need to disclose personal data in order to facilitate reporting of technical issues to the</w:t>
            </w:r>
            <w:r>
              <w:rPr>
                <w:rFonts w:cstheme="minorHAnsi"/>
                <w:color w:val="000000" w:themeColor="text1"/>
                <w:sz w:val="22"/>
                <w:szCs w:val="22"/>
              </w:rPr>
              <w:t xml:space="preserve"> </w:t>
            </w:r>
            <w:r w:rsidRPr="00005EF6">
              <w:rPr>
                <w:rFonts w:cstheme="minorHAnsi"/>
                <w:color w:val="000000" w:themeColor="text1"/>
                <w:sz w:val="22"/>
                <w:szCs w:val="22"/>
              </w:rPr>
              <w:t>domain owner</w:t>
            </w:r>
          </w:p>
          <w:p w14:paraId="26DD3AC1"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The inclusion of this as a suggested purpose demonstrates the need to assess necessity as a</w:t>
            </w:r>
          </w:p>
          <w:p w14:paraId="1023CF44"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part of the balancing test. Release of personal data for this purpose, where a path for the</w:t>
            </w:r>
          </w:p>
          <w:p w14:paraId="48D30C50"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forwarding of a communication to that contact already exists, must defeat the disclosure</w:t>
            </w:r>
          </w:p>
          <w:p w14:paraId="638C4422"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request, unless it can be shown that this path was first followed, but the issue still persists (and</w:t>
            </w:r>
          </w:p>
          <w:p w14:paraId="257B976E" w14:textId="136D4D43"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even then the issue must be of a quality to necessitate disclosure - a simple and non-important</w:t>
            </w:r>
            <w:r>
              <w:rPr>
                <w:rFonts w:cstheme="minorHAnsi"/>
                <w:color w:val="000000" w:themeColor="text1"/>
                <w:sz w:val="22"/>
                <w:szCs w:val="22"/>
              </w:rPr>
              <w:t xml:space="preserve"> </w:t>
            </w:r>
            <w:r w:rsidRPr="00005EF6">
              <w:rPr>
                <w:rFonts w:cstheme="minorHAnsi"/>
                <w:color w:val="000000" w:themeColor="text1"/>
                <w:sz w:val="22"/>
                <w:szCs w:val="22"/>
              </w:rPr>
              <w:t>error may still result in a denial of disclosure).</w:t>
            </w:r>
          </w:p>
        </w:tc>
      </w:tr>
      <w:tr w:rsidR="00005EF6" w14:paraId="3F488EAF" w14:textId="77777777" w:rsidTr="00005EF6">
        <w:tc>
          <w:tcPr>
            <w:tcW w:w="4675" w:type="dxa"/>
          </w:tcPr>
          <w:p w14:paraId="24777FD6" w14:textId="2DD4C8EF" w:rsidR="00005EF6" w:rsidRPr="00F010C5" w:rsidRDefault="00005EF6" w:rsidP="00005EF6">
            <w:pPr>
              <w:pStyle w:val="ListParagraph"/>
              <w:numPr>
                <w:ilvl w:val="0"/>
                <w:numId w:val="1"/>
              </w:numPr>
              <w:spacing w:after="0" w:afterAutospacing="0"/>
              <w:ind w:hanging="112"/>
              <w:rPr>
                <w:rFonts w:ascii="Calibri" w:hAnsi="Calibri" w:cs="Calibri"/>
                <w:b/>
                <w:bCs/>
                <w:color w:val="000000"/>
                <w:sz w:val="22"/>
                <w:szCs w:val="22"/>
              </w:rPr>
            </w:pPr>
            <w:r w:rsidRPr="00F010C5">
              <w:rPr>
                <w:rFonts w:ascii="Calibri" w:hAnsi="Calibri" w:cs="Calibri"/>
                <w:b/>
                <w:bCs/>
                <w:color w:val="000000"/>
                <w:sz w:val="22"/>
                <w:szCs w:val="22"/>
              </w:rPr>
              <w:lastRenderedPageBreak/>
              <w:t>Fulfill a licensing or regulatory requirement</w:t>
            </w:r>
          </w:p>
        </w:tc>
        <w:tc>
          <w:tcPr>
            <w:tcW w:w="4675" w:type="dxa"/>
          </w:tcPr>
          <w:p w14:paraId="618F09CE" w14:textId="66256FA6" w:rsidR="00005EF6" w:rsidRPr="00005EF6" w:rsidRDefault="00005EF6" w:rsidP="00005EF6">
            <w:r w:rsidRPr="00005EF6">
              <w:rPr>
                <w:b/>
                <w:bCs/>
                <w:sz w:val="22"/>
                <w:szCs w:val="22"/>
              </w:rPr>
              <w:t>Contracted Party House</w:t>
            </w:r>
            <w:r>
              <w:t>:</w:t>
            </w:r>
          </w:p>
          <w:p w14:paraId="27913F88" w14:textId="6AB94B6A"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The CPH does not support this being listed as a purpose. A domain owner can publish the data</w:t>
            </w:r>
          </w:p>
          <w:p w14:paraId="56C9BB99" w14:textId="33E67358"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(and registrars are obligated to offer that option) or they can disclose it to the licensing /regulatory board themselves. This is another example of the legal basis is a 6(1)f and does not</w:t>
            </w:r>
            <w:r>
              <w:rPr>
                <w:rFonts w:cstheme="minorHAnsi"/>
                <w:color w:val="000000" w:themeColor="text1"/>
                <w:sz w:val="22"/>
                <w:szCs w:val="22"/>
              </w:rPr>
              <w:t xml:space="preserve"> </w:t>
            </w:r>
            <w:r w:rsidRPr="00005EF6">
              <w:rPr>
                <w:rFonts w:cstheme="minorHAnsi"/>
                <w:color w:val="000000" w:themeColor="text1"/>
                <w:sz w:val="22"/>
                <w:szCs w:val="22"/>
              </w:rPr>
              <w:t>need to be a user group.</w:t>
            </w:r>
          </w:p>
          <w:p w14:paraId="142EB8F9"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The focus when reviewing these third-party purposes should be the rights of the data subject</w:t>
            </w:r>
          </w:p>
          <w:p w14:paraId="177003A5" w14:textId="5F7ADA82" w:rsidR="00005EF6" w:rsidRDefault="00005EF6" w:rsidP="00005EF6">
            <w:pPr>
              <w:autoSpaceDE w:val="0"/>
              <w:autoSpaceDN w:val="0"/>
              <w:adjustRightInd w:val="0"/>
            </w:pPr>
            <w:r w:rsidRPr="00005EF6">
              <w:rPr>
                <w:rFonts w:cstheme="minorHAnsi"/>
                <w:color w:val="000000" w:themeColor="text1"/>
                <w:sz w:val="22"/>
                <w:szCs w:val="22"/>
              </w:rPr>
              <w:t>and not the needs of 3rd parties.</w:t>
            </w:r>
          </w:p>
        </w:tc>
      </w:tr>
      <w:tr w:rsidR="00005EF6" w14:paraId="26135579" w14:textId="77777777" w:rsidTr="00005EF6">
        <w:tc>
          <w:tcPr>
            <w:tcW w:w="4675" w:type="dxa"/>
          </w:tcPr>
          <w:p w14:paraId="5D969CD3" w14:textId="7D95DA49" w:rsidR="00005EF6" w:rsidRPr="00F010C5" w:rsidRDefault="00005EF6" w:rsidP="00005EF6">
            <w:pPr>
              <w:pStyle w:val="ListParagraph"/>
              <w:numPr>
                <w:ilvl w:val="0"/>
                <w:numId w:val="1"/>
              </w:numPr>
              <w:spacing w:after="0" w:afterAutospacing="0"/>
              <w:ind w:hanging="112"/>
              <w:rPr>
                <w:rFonts w:ascii="Calibri" w:hAnsi="Calibri" w:cs="Calibri"/>
                <w:b/>
                <w:bCs/>
                <w:color w:val="000000"/>
                <w:sz w:val="22"/>
                <w:szCs w:val="22"/>
              </w:rPr>
            </w:pPr>
            <w:r w:rsidRPr="00F010C5">
              <w:rPr>
                <w:rFonts w:ascii="Calibri" w:hAnsi="Calibri" w:cs="Calibri"/>
                <w:b/>
                <w:bCs/>
                <w:color w:val="000000"/>
                <w:sz w:val="22"/>
                <w:szCs w:val="22"/>
              </w:rPr>
              <w:t>Carry out academic research, a study and/or statistical analysis</w:t>
            </w:r>
          </w:p>
        </w:tc>
        <w:tc>
          <w:tcPr>
            <w:tcW w:w="4675" w:type="dxa"/>
          </w:tcPr>
          <w:p w14:paraId="546F9780" w14:textId="674473EE" w:rsidR="00F010C5" w:rsidRDefault="00F010C5" w:rsidP="00005EF6">
            <w:pPr>
              <w:rPr>
                <w:b/>
                <w:bCs/>
                <w:sz w:val="22"/>
                <w:szCs w:val="22"/>
              </w:rPr>
            </w:pPr>
            <w:r>
              <w:rPr>
                <w:b/>
                <w:bCs/>
                <w:sz w:val="22"/>
                <w:szCs w:val="22"/>
              </w:rPr>
              <w:t>SSAC:</w:t>
            </w:r>
          </w:p>
          <w:p w14:paraId="48206B5E" w14:textId="1EC3E34C" w:rsidR="00F010C5" w:rsidRPr="00F010C5" w:rsidRDefault="00F010C5" w:rsidP="00F010C5">
            <w:pPr>
              <w:autoSpaceDE w:val="0"/>
              <w:autoSpaceDN w:val="0"/>
              <w:adjustRightInd w:val="0"/>
              <w:rPr>
                <w:rFonts w:cstheme="minorHAnsi"/>
                <w:color w:val="000000" w:themeColor="text1"/>
                <w:sz w:val="22"/>
                <w:szCs w:val="22"/>
              </w:rPr>
            </w:pPr>
            <w:r w:rsidRPr="00F010C5">
              <w:rPr>
                <w:rFonts w:cstheme="minorHAnsi"/>
                <w:color w:val="000000" w:themeColor="text1"/>
                <w:sz w:val="22"/>
                <w:szCs w:val="22"/>
              </w:rPr>
              <w:t>Includes research on topics such as DNS traffic, data accuracy, botnets, distributed denial of service (DDoS) attacks, and Internet adoption and use.  Some are relevant to security and stability purposes.</w:t>
            </w:r>
          </w:p>
          <w:p w14:paraId="0FDCBD12" w14:textId="77777777" w:rsidR="00F010C5" w:rsidRDefault="00F010C5" w:rsidP="00005EF6">
            <w:pPr>
              <w:rPr>
                <w:b/>
                <w:bCs/>
                <w:sz w:val="22"/>
                <w:szCs w:val="22"/>
              </w:rPr>
            </w:pPr>
          </w:p>
          <w:p w14:paraId="284BE363" w14:textId="5813EFA0" w:rsidR="00005EF6" w:rsidRPr="00005EF6" w:rsidRDefault="00005EF6" w:rsidP="00005EF6">
            <w:r w:rsidRPr="00005EF6">
              <w:rPr>
                <w:b/>
                <w:bCs/>
                <w:sz w:val="22"/>
                <w:szCs w:val="22"/>
              </w:rPr>
              <w:t>Contracted Party House</w:t>
            </w:r>
            <w:r>
              <w:t>:</w:t>
            </w:r>
          </w:p>
          <w:p w14:paraId="30FB55A8" w14:textId="4E442BA9"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The CPH does not support this being listed as a purpose. The terms 'academic research, study</w:t>
            </w:r>
          </w:p>
          <w:p w14:paraId="3511DBBC"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 xml:space="preserve">and/or statistical </w:t>
            </w:r>
            <w:proofErr w:type="gramStart"/>
            <w:r w:rsidRPr="00005EF6">
              <w:rPr>
                <w:rFonts w:cstheme="minorHAnsi"/>
                <w:color w:val="000000" w:themeColor="text1"/>
                <w:sz w:val="22"/>
                <w:szCs w:val="22"/>
              </w:rPr>
              <w:t>analysis'</w:t>
            </w:r>
            <w:proofErr w:type="gramEnd"/>
            <w:r w:rsidRPr="00005EF6">
              <w:rPr>
                <w:rFonts w:cstheme="minorHAnsi"/>
                <w:color w:val="000000" w:themeColor="text1"/>
                <w:sz w:val="22"/>
                <w:szCs w:val="22"/>
              </w:rPr>
              <w:t xml:space="preserve"> are too non-specific, there is no way to authenticate those involved. It</w:t>
            </w:r>
          </w:p>
          <w:p w14:paraId="09277CA3"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may also include commercial data which is not appropriate for publication.</w:t>
            </w:r>
          </w:p>
          <w:p w14:paraId="4AE53BAD"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It is up to the requester to establish that they have a legitimate basis (research), with a valid</w:t>
            </w:r>
          </w:p>
          <w:p w14:paraId="572F3A1B"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legal basis, and that the disclosure of data is necessary in the context of that particular study.</w:t>
            </w:r>
          </w:p>
          <w:p w14:paraId="49D50AFB"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Being a researcher does not give any special pass (even accredited); if the research represents</w:t>
            </w:r>
          </w:p>
          <w:p w14:paraId="0D130B9D"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lastRenderedPageBreak/>
              <w:t>an unnecessary interference with the data subject's rights, the disclosure must be denied</w:t>
            </w:r>
          </w:p>
          <w:p w14:paraId="2EB14401"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Research done by the data controller itself has a special place in data protection - this is not the</w:t>
            </w:r>
          </w:p>
          <w:p w14:paraId="618A9628"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research of a 3rd party. Research would therefore just be a 6(1)f request.</w:t>
            </w:r>
          </w:p>
          <w:p w14:paraId="1CAF546D" w14:textId="77777777"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This user group does not help make this process any more streamlined; it just creates a false</w:t>
            </w:r>
          </w:p>
          <w:p w14:paraId="760B2EE7" w14:textId="0D468F8D" w:rsidR="00005EF6" w:rsidRDefault="00005EF6" w:rsidP="00005EF6">
            <w:pPr>
              <w:autoSpaceDE w:val="0"/>
              <w:autoSpaceDN w:val="0"/>
              <w:adjustRightInd w:val="0"/>
            </w:pPr>
            <w:r w:rsidRPr="00005EF6">
              <w:rPr>
                <w:rFonts w:cstheme="minorHAnsi"/>
                <w:color w:val="000000" w:themeColor="text1"/>
                <w:sz w:val="22"/>
                <w:szCs w:val="22"/>
              </w:rPr>
              <w:t>impression of such requests being somewhat more privileged, which they are not.</w:t>
            </w:r>
          </w:p>
        </w:tc>
      </w:tr>
      <w:tr w:rsidR="00005EF6" w14:paraId="217725C0" w14:textId="77777777" w:rsidTr="00005EF6">
        <w:tc>
          <w:tcPr>
            <w:tcW w:w="4675" w:type="dxa"/>
          </w:tcPr>
          <w:p w14:paraId="4687CD21" w14:textId="77777777" w:rsidR="00005EF6" w:rsidRPr="00F010C5" w:rsidRDefault="00005EF6" w:rsidP="00005EF6">
            <w:pPr>
              <w:pStyle w:val="ListParagraph"/>
              <w:numPr>
                <w:ilvl w:val="0"/>
                <w:numId w:val="1"/>
              </w:numPr>
              <w:spacing w:after="0" w:afterAutospacing="0"/>
              <w:ind w:hanging="112"/>
              <w:rPr>
                <w:rFonts w:ascii="Calibri" w:hAnsi="Calibri" w:cs="Calibri"/>
                <w:b/>
                <w:bCs/>
                <w:color w:val="000000"/>
                <w:sz w:val="22"/>
                <w:szCs w:val="22"/>
              </w:rPr>
            </w:pPr>
            <w:r w:rsidRPr="00F010C5">
              <w:rPr>
                <w:rFonts w:ascii="Calibri" w:hAnsi="Calibri" w:cs="Calibri"/>
                <w:b/>
                <w:bCs/>
                <w:color w:val="000000"/>
                <w:sz w:val="22"/>
                <w:szCs w:val="22"/>
              </w:rPr>
              <w:lastRenderedPageBreak/>
              <w:t>Carry out security operations, investigation, and research</w:t>
            </w:r>
          </w:p>
          <w:p w14:paraId="53279A01" w14:textId="77777777" w:rsidR="00D858FF" w:rsidRDefault="00D858FF" w:rsidP="00D858FF">
            <w:pPr>
              <w:rPr>
                <w:rFonts w:ascii="Calibri" w:hAnsi="Calibri" w:cs="Calibri"/>
                <w:color w:val="000000"/>
                <w:sz w:val="22"/>
                <w:szCs w:val="22"/>
              </w:rPr>
            </w:pPr>
          </w:p>
          <w:p w14:paraId="70E9A772" w14:textId="49786374" w:rsidR="00D858FF" w:rsidRDefault="00D858FF" w:rsidP="00D858FF">
            <w:pPr>
              <w:autoSpaceDE w:val="0"/>
              <w:autoSpaceDN w:val="0"/>
              <w:adjustRightInd w:val="0"/>
              <w:rPr>
                <w:rFonts w:ascii="PΩá˛" w:hAnsi="PΩá˛" w:cs="PΩá˛"/>
                <w:color w:val="000000"/>
                <w:sz w:val="22"/>
                <w:szCs w:val="22"/>
              </w:rPr>
            </w:pPr>
            <w:r>
              <w:rPr>
                <w:rFonts w:ascii="PΩá˛" w:hAnsi="PΩá˛" w:cs="PΩá˛"/>
                <w:color w:val="000000"/>
                <w:sz w:val="22"/>
                <w:szCs w:val="22"/>
              </w:rPr>
              <w:t>Examples:</w:t>
            </w:r>
          </w:p>
          <w:p w14:paraId="4EC9A498" w14:textId="34AC24FC" w:rsidR="00D858FF" w:rsidRPr="00D858FF" w:rsidRDefault="00D858FF" w:rsidP="00D858FF">
            <w:pPr>
              <w:pStyle w:val="ListParagraph"/>
              <w:numPr>
                <w:ilvl w:val="0"/>
                <w:numId w:val="2"/>
              </w:numPr>
              <w:autoSpaceDE w:val="0"/>
              <w:autoSpaceDN w:val="0"/>
              <w:adjustRightInd w:val="0"/>
              <w:spacing w:before="0" w:beforeAutospacing="0" w:after="0" w:afterAutospacing="0"/>
              <w:rPr>
                <w:rFonts w:ascii="PΩá˛" w:hAnsi="PΩá˛" w:cs="PΩá˛"/>
                <w:color w:val="000000"/>
                <w:sz w:val="22"/>
                <w:szCs w:val="22"/>
              </w:rPr>
            </w:pPr>
            <w:r w:rsidRPr="00D858FF">
              <w:rPr>
                <w:rFonts w:ascii="PΩá˛" w:hAnsi="PΩá˛" w:cs="PΩá˛"/>
                <w:color w:val="000000"/>
                <w:sz w:val="22"/>
                <w:szCs w:val="22"/>
              </w:rPr>
              <w:t>A security researcher may use data elements of known malicious sites to build a map of</w:t>
            </w:r>
          </w:p>
          <w:p w14:paraId="4BA61DE4" w14:textId="2E1109F3" w:rsidR="00A95DB4" w:rsidRDefault="00D858FF" w:rsidP="00A95DB4">
            <w:pPr>
              <w:pStyle w:val="ListParagraph"/>
              <w:autoSpaceDE w:val="0"/>
              <w:autoSpaceDN w:val="0"/>
              <w:adjustRightInd w:val="0"/>
              <w:spacing w:before="0" w:beforeAutospacing="0" w:after="0" w:afterAutospacing="0"/>
              <w:ind w:left="360"/>
              <w:rPr>
                <w:rFonts w:ascii="PΩá˛" w:hAnsi="PΩá˛" w:cs="PΩá˛"/>
                <w:color w:val="FFFFFF"/>
                <w:sz w:val="22"/>
                <w:szCs w:val="22"/>
              </w:rPr>
            </w:pPr>
            <w:r w:rsidRPr="00D858FF">
              <w:rPr>
                <w:rFonts w:ascii="PΩá˛" w:hAnsi="PΩá˛" w:cs="PΩá˛"/>
                <w:color w:val="000000"/>
                <w:sz w:val="22"/>
                <w:szCs w:val="22"/>
              </w:rPr>
              <w:t>entities and how they are linked, adding additional related public external information, e.g.,</w:t>
            </w:r>
            <w:r w:rsidR="00A95DB4">
              <w:rPr>
                <w:rFonts w:ascii="PΩá˛" w:hAnsi="PΩá˛" w:cs="PΩá˛"/>
                <w:color w:val="000000"/>
                <w:sz w:val="22"/>
                <w:szCs w:val="22"/>
              </w:rPr>
              <w:t xml:space="preserve"> </w:t>
            </w:r>
            <w:r w:rsidRPr="004210BD">
              <w:rPr>
                <w:rFonts w:ascii="PΩá˛" w:hAnsi="PΩá˛" w:cs="PΩá˛"/>
                <w:color w:val="000000"/>
                <w:sz w:val="22"/>
                <w:szCs w:val="22"/>
              </w:rPr>
              <w:t>autonomous system numbers (ASNs), in search of related domains that will have a high</w:t>
            </w:r>
            <w:r w:rsidR="00A95DB4" w:rsidRPr="004210BD">
              <w:rPr>
                <w:rFonts w:ascii="PΩá˛" w:hAnsi="PΩá˛" w:cs="PΩá˛"/>
                <w:color w:val="000000"/>
                <w:sz w:val="22"/>
                <w:szCs w:val="22"/>
              </w:rPr>
              <w:t xml:space="preserve"> </w:t>
            </w:r>
            <w:r w:rsidRPr="004210BD">
              <w:rPr>
                <w:rFonts w:ascii="PΩá˛" w:hAnsi="PΩá˛" w:cs="PΩá˛"/>
                <w:color w:val="000000"/>
                <w:sz w:val="22"/>
                <w:szCs w:val="22"/>
              </w:rPr>
              <w:t xml:space="preserve">probability of being </w:t>
            </w:r>
            <w:proofErr w:type="gramStart"/>
            <w:r w:rsidRPr="004210BD">
              <w:rPr>
                <w:rFonts w:ascii="PΩá˛" w:hAnsi="PΩá˛" w:cs="PΩá˛"/>
                <w:color w:val="000000"/>
                <w:sz w:val="22"/>
                <w:szCs w:val="22"/>
              </w:rPr>
              <w:t>malicious.</w:t>
            </w:r>
            <w:r w:rsidRPr="00D858FF">
              <w:rPr>
                <w:rFonts w:ascii="PΩá˛" w:hAnsi="PΩá˛" w:cs="PΩá˛"/>
                <w:color w:val="FFFFFF"/>
                <w:sz w:val="22"/>
                <w:szCs w:val="22"/>
              </w:rPr>
              <w:t>●</w:t>
            </w:r>
            <w:proofErr w:type="gramEnd"/>
            <w:r w:rsidRPr="00D858FF">
              <w:rPr>
                <w:rFonts w:ascii="PΩá˛" w:hAnsi="PΩá˛" w:cs="PΩá˛"/>
                <w:color w:val="FFFFFF"/>
                <w:sz w:val="22"/>
                <w:szCs w:val="22"/>
              </w:rPr>
              <w:t xml:space="preserve"> </w:t>
            </w:r>
          </w:p>
          <w:p w14:paraId="4EC2B8AE" w14:textId="5EB77A6E" w:rsidR="00D858FF" w:rsidRPr="004210BD" w:rsidRDefault="00D858FF" w:rsidP="004210BD">
            <w:pPr>
              <w:pStyle w:val="ListParagraph"/>
              <w:numPr>
                <w:ilvl w:val="0"/>
                <w:numId w:val="2"/>
              </w:numPr>
              <w:autoSpaceDE w:val="0"/>
              <w:autoSpaceDN w:val="0"/>
              <w:adjustRightInd w:val="0"/>
              <w:spacing w:before="0" w:beforeAutospacing="0" w:after="0" w:afterAutospacing="0"/>
              <w:rPr>
                <w:rFonts w:ascii="Calibri" w:hAnsi="Calibri" w:cs="Calibri"/>
                <w:color w:val="000000"/>
                <w:sz w:val="22"/>
                <w:szCs w:val="22"/>
              </w:rPr>
            </w:pPr>
            <w:r w:rsidRPr="00D858FF">
              <w:rPr>
                <w:rFonts w:ascii="PΩá˛" w:hAnsi="PΩá˛" w:cs="PΩá˛"/>
                <w:color w:val="000000"/>
                <w:sz w:val="22"/>
                <w:szCs w:val="22"/>
              </w:rPr>
              <w:t>A security researcher may use data elements of an unknown site to calculate a score based</w:t>
            </w:r>
            <w:r w:rsidR="00A95DB4">
              <w:rPr>
                <w:rFonts w:ascii="PΩá˛" w:hAnsi="PΩá˛" w:cs="PΩá˛"/>
                <w:color w:val="000000"/>
                <w:sz w:val="22"/>
                <w:szCs w:val="22"/>
              </w:rPr>
              <w:t xml:space="preserve"> </w:t>
            </w:r>
            <w:r w:rsidRPr="004210BD">
              <w:rPr>
                <w:rFonts w:ascii="PΩá˛" w:hAnsi="PΩá˛" w:cs="PΩá˛"/>
                <w:color w:val="000000"/>
                <w:sz w:val="22"/>
                <w:szCs w:val="22"/>
              </w:rPr>
              <w:t>on a proprietary algorithm that identifies sites with a high probability of being malicious.</w:t>
            </w:r>
          </w:p>
        </w:tc>
        <w:tc>
          <w:tcPr>
            <w:tcW w:w="4675" w:type="dxa"/>
          </w:tcPr>
          <w:p w14:paraId="6C1F4984" w14:textId="4F3B9C4C" w:rsidR="00F010C5" w:rsidRDefault="00F010C5" w:rsidP="00005EF6">
            <w:pPr>
              <w:rPr>
                <w:b/>
                <w:bCs/>
                <w:sz w:val="22"/>
                <w:szCs w:val="22"/>
              </w:rPr>
            </w:pPr>
            <w:r>
              <w:rPr>
                <w:b/>
                <w:bCs/>
                <w:sz w:val="22"/>
                <w:szCs w:val="22"/>
              </w:rPr>
              <w:t>SSAC:</w:t>
            </w:r>
          </w:p>
          <w:p w14:paraId="2A883B43" w14:textId="77777777" w:rsidR="00F010C5" w:rsidRPr="00F010C5" w:rsidRDefault="00F010C5" w:rsidP="00F010C5">
            <w:pPr>
              <w:spacing w:before="40" w:after="40"/>
              <w:outlineLvl w:val="1"/>
              <w:rPr>
                <w:rFonts w:cstheme="minorHAnsi"/>
                <w:color w:val="000000" w:themeColor="text1"/>
                <w:sz w:val="22"/>
                <w:szCs w:val="22"/>
              </w:rPr>
            </w:pPr>
            <w:r w:rsidRPr="00F010C5">
              <w:rPr>
                <w:rFonts w:cstheme="minorHAnsi"/>
                <w:color w:val="000000" w:themeColor="text1"/>
                <w:sz w:val="22"/>
                <w:szCs w:val="22"/>
              </w:rPr>
              <w:t xml:space="preserve">Examples include but are not limited to: </w:t>
            </w:r>
          </w:p>
          <w:p w14:paraId="4756519B" w14:textId="77777777" w:rsidR="00F010C5" w:rsidRPr="00F010C5" w:rsidRDefault="00F010C5" w:rsidP="00F010C5">
            <w:pPr>
              <w:pStyle w:val="ListParagraph"/>
              <w:numPr>
                <w:ilvl w:val="0"/>
                <w:numId w:val="6"/>
              </w:numPr>
              <w:spacing w:before="40" w:beforeAutospacing="0" w:after="40" w:afterAutospacing="0"/>
              <w:contextualSpacing/>
              <w:outlineLvl w:val="1"/>
              <w:rPr>
                <w:rFonts w:asciiTheme="minorHAnsi" w:hAnsiTheme="minorHAnsi" w:cstheme="minorHAnsi"/>
                <w:sz w:val="22"/>
                <w:szCs w:val="22"/>
              </w:rPr>
            </w:pPr>
            <w:r w:rsidRPr="00F010C5">
              <w:rPr>
                <w:rFonts w:asciiTheme="minorHAnsi" w:hAnsiTheme="minorHAnsi" w:cstheme="minorHAnsi"/>
                <w:color w:val="000000" w:themeColor="text1"/>
                <w:sz w:val="22"/>
                <w:szCs w:val="22"/>
              </w:rPr>
              <w:t>“</w:t>
            </w:r>
            <w:r w:rsidRPr="00F010C5">
              <w:rPr>
                <w:rFonts w:asciiTheme="minorHAnsi" w:hAnsiTheme="minorHAnsi" w:cstheme="minorHAnsi"/>
                <w:sz w:val="22"/>
                <w:szCs w:val="22"/>
              </w:rPr>
              <w:t>ensuring network and information security, i.e. the ability of a network or an information system to resist, at a given level of confidence, accidental events or unlawful or malicious actions that compromise the availability, authenticity, integrity and confidentiality of stored or transmitted personal data, and the security of the related services offered by, or accessible via, those networks and systems….This could, for example, include preventing unauthorised access to electronic communications networks and malicious code distribution and stopping ‘denial of service’ attacks and damage to computer and electronic communication systems“ (Recital 47)</w:t>
            </w:r>
          </w:p>
          <w:p w14:paraId="55858019" w14:textId="77777777" w:rsidR="00F010C5" w:rsidRPr="00F010C5" w:rsidRDefault="00F010C5" w:rsidP="00F010C5">
            <w:pPr>
              <w:pStyle w:val="ListParagraph"/>
              <w:numPr>
                <w:ilvl w:val="0"/>
                <w:numId w:val="6"/>
              </w:numPr>
              <w:spacing w:before="40" w:beforeAutospacing="0" w:after="40" w:afterAutospacing="0"/>
              <w:contextualSpacing/>
              <w:outlineLvl w:val="1"/>
              <w:rPr>
                <w:rFonts w:asciiTheme="minorHAnsi" w:hAnsiTheme="minorHAnsi" w:cstheme="minorHAnsi"/>
                <w:b/>
                <w:bCs/>
                <w:sz w:val="22"/>
                <w:szCs w:val="22"/>
              </w:rPr>
            </w:pPr>
            <w:r w:rsidRPr="00F010C5">
              <w:rPr>
                <w:rFonts w:asciiTheme="minorHAnsi" w:hAnsiTheme="minorHAnsi" w:cstheme="minorHAnsi"/>
                <w:sz w:val="22"/>
                <w:szCs w:val="22"/>
              </w:rPr>
              <w:t xml:space="preserve">Use data elements of known malicious sites to find correlations between entities and </w:t>
            </w:r>
            <w:proofErr w:type="spellStart"/>
            <w:r w:rsidRPr="00F010C5">
              <w:rPr>
                <w:rFonts w:asciiTheme="minorHAnsi" w:hAnsiTheme="minorHAnsi" w:cstheme="minorHAnsi"/>
                <w:sz w:val="22"/>
                <w:szCs w:val="22"/>
              </w:rPr>
              <w:t>and</w:t>
            </w:r>
            <w:proofErr w:type="spellEnd"/>
            <w:r w:rsidRPr="00F010C5">
              <w:rPr>
                <w:rFonts w:asciiTheme="minorHAnsi" w:hAnsiTheme="minorHAnsi" w:cstheme="minorHAnsi"/>
                <w:sz w:val="22"/>
                <w:szCs w:val="22"/>
              </w:rPr>
              <w:t xml:space="preserve"> domains how they are linked; calculate a score based on an algorithm that identifies sites with a high probability of being </w:t>
            </w:r>
            <w:proofErr w:type="gramStart"/>
            <w:r w:rsidRPr="00F010C5">
              <w:rPr>
                <w:rFonts w:asciiTheme="minorHAnsi" w:hAnsiTheme="minorHAnsi" w:cstheme="minorHAnsi"/>
                <w:sz w:val="22"/>
                <w:szCs w:val="22"/>
              </w:rPr>
              <w:t>malicious</w:t>
            </w:r>
            <w:r w:rsidRPr="00F010C5" w:rsidDel="002A0484">
              <w:rPr>
                <w:rFonts w:asciiTheme="minorHAnsi" w:hAnsiTheme="minorHAnsi" w:cstheme="minorHAnsi"/>
                <w:sz w:val="22"/>
                <w:szCs w:val="22"/>
              </w:rPr>
              <w:t xml:space="preserve"> </w:t>
            </w:r>
            <w:r w:rsidRPr="00F010C5">
              <w:rPr>
                <w:rFonts w:asciiTheme="minorHAnsi" w:hAnsiTheme="minorHAnsi" w:cstheme="minorHAnsi"/>
                <w:sz w:val="22"/>
                <w:szCs w:val="22"/>
              </w:rPr>
              <w:t>;</w:t>
            </w:r>
            <w:proofErr w:type="gramEnd"/>
            <w:r w:rsidRPr="00F010C5">
              <w:rPr>
                <w:rFonts w:asciiTheme="minorHAnsi" w:hAnsiTheme="minorHAnsi" w:cstheme="minorHAnsi"/>
                <w:sz w:val="22"/>
                <w:szCs w:val="22"/>
              </w:rPr>
              <w:t xml:space="preserve"> maintain Reputation Block Lists (RBLs) and domain reputation scoring mechanisms</w:t>
            </w:r>
          </w:p>
          <w:p w14:paraId="7D902249" w14:textId="77777777" w:rsidR="00F010C5" w:rsidRPr="00F010C5" w:rsidRDefault="00F010C5" w:rsidP="00F010C5">
            <w:pPr>
              <w:pStyle w:val="ListParagraph"/>
              <w:numPr>
                <w:ilvl w:val="0"/>
                <w:numId w:val="6"/>
              </w:numPr>
              <w:spacing w:before="40" w:beforeAutospacing="0" w:after="40" w:afterAutospacing="0"/>
              <w:contextualSpacing/>
              <w:outlineLvl w:val="1"/>
              <w:rPr>
                <w:rFonts w:asciiTheme="minorHAnsi" w:hAnsiTheme="minorHAnsi" w:cstheme="minorHAnsi"/>
                <w:sz w:val="22"/>
                <w:szCs w:val="22"/>
              </w:rPr>
            </w:pPr>
            <w:r w:rsidRPr="00F010C5">
              <w:rPr>
                <w:rFonts w:asciiTheme="minorHAnsi" w:hAnsiTheme="minorHAnsi" w:cstheme="minorHAnsi"/>
                <w:sz w:val="22"/>
                <w:szCs w:val="22"/>
              </w:rPr>
              <w:t>Maintain protective systems, such as firewalls.</w:t>
            </w:r>
          </w:p>
          <w:p w14:paraId="1D80373E" w14:textId="77777777" w:rsidR="00F010C5" w:rsidRPr="00F010C5" w:rsidRDefault="00F010C5" w:rsidP="00F010C5">
            <w:pPr>
              <w:pStyle w:val="ListParagraph"/>
              <w:numPr>
                <w:ilvl w:val="0"/>
                <w:numId w:val="6"/>
              </w:numPr>
              <w:spacing w:before="40" w:beforeAutospacing="0" w:after="40" w:afterAutospacing="0"/>
              <w:contextualSpacing/>
              <w:outlineLvl w:val="1"/>
              <w:rPr>
                <w:rFonts w:asciiTheme="minorHAnsi" w:hAnsiTheme="minorHAnsi" w:cstheme="minorHAnsi"/>
                <w:bCs/>
                <w:sz w:val="22"/>
                <w:szCs w:val="22"/>
              </w:rPr>
            </w:pPr>
            <w:r w:rsidRPr="00F010C5">
              <w:rPr>
                <w:rFonts w:asciiTheme="minorHAnsi" w:hAnsiTheme="minorHAnsi" w:cstheme="minorHAnsi"/>
                <w:sz w:val="22"/>
                <w:szCs w:val="22"/>
              </w:rPr>
              <w:t>Find, investigate, and mitigate DNS abuse</w:t>
            </w:r>
          </w:p>
          <w:p w14:paraId="5AD40E94" w14:textId="77777777" w:rsidR="00F010C5" w:rsidRPr="00F010C5" w:rsidRDefault="00F010C5" w:rsidP="00F010C5">
            <w:pPr>
              <w:pStyle w:val="ListParagraph"/>
              <w:numPr>
                <w:ilvl w:val="0"/>
                <w:numId w:val="6"/>
              </w:numPr>
              <w:spacing w:before="40" w:beforeAutospacing="0" w:after="40" w:afterAutospacing="0"/>
              <w:contextualSpacing/>
              <w:outlineLvl w:val="1"/>
              <w:rPr>
                <w:rFonts w:asciiTheme="minorHAnsi" w:hAnsiTheme="minorHAnsi" w:cstheme="minorHAnsi"/>
                <w:sz w:val="22"/>
                <w:szCs w:val="22"/>
              </w:rPr>
            </w:pPr>
            <w:r w:rsidRPr="00F010C5">
              <w:rPr>
                <w:rFonts w:asciiTheme="minorHAnsi" w:hAnsiTheme="minorHAnsi" w:cstheme="minorHAnsi"/>
                <w:sz w:val="22"/>
                <w:szCs w:val="22"/>
              </w:rPr>
              <w:t>Determine identity of malicious actor, or determine identity of a victim</w:t>
            </w:r>
          </w:p>
          <w:p w14:paraId="1440216E" w14:textId="77777777" w:rsidR="00F010C5" w:rsidRPr="00F010C5" w:rsidRDefault="00F010C5" w:rsidP="00F010C5">
            <w:pPr>
              <w:pStyle w:val="ListParagraph"/>
              <w:numPr>
                <w:ilvl w:val="0"/>
                <w:numId w:val="6"/>
              </w:numPr>
              <w:spacing w:before="40" w:beforeAutospacing="0" w:after="40" w:afterAutospacing="0"/>
              <w:contextualSpacing/>
              <w:outlineLvl w:val="1"/>
              <w:rPr>
                <w:rFonts w:asciiTheme="minorHAnsi" w:hAnsiTheme="minorHAnsi" w:cstheme="minorHAnsi"/>
                <w:bCs/>
                <w:color w:val="000000" w:themeColor="text1"/>
                <w:sz w:val="22"/>
                <w:szCs w:val="22"/>
              </w:rPr>
            </w:pPr>
            <w:r w:rsidRPr="00F010C5">
              <w:rPr>
                <w:rFonts w:asciiTheme="minorHAnsi" w:hAnsiTheme="minorHAnsi" w:cstheme="minorHAnsi"/>
                <w:color w:val="000000" w:themeColor="text1"/>
                <w:sz w:val="22"/>
                <w:szCs w:val="22"/>
              </w:rPr>
              <w:t xml:space="preserve">Investigate </w:t>
            </w:r>
            <w:proofErr w:type="gramStart"/>
            <w:r w:rsidRPr="00F010C5">
              <w:rPr>
                <w:rFonts w:asciiTheme="minorHAnsi" w:hAnsiTheme="minorHAnsi" w:cstheme="minorHAnsi"/>
                <w:color w:val="000000" w:themeColor="text1"/>
                <w:sz w:val="22"/>
                <w:szCs w:val="22"/>
              </w:rPr>
              <w:t>crimes, and</w:t>
            </w:r>
            <w:proofErr w:type="gramEnd"/>
            <w:r w:rsidRPr="00F010C5">
              <w:rPr>
                <w:rFonts w:asciiTheme="minorHAnsi" w:hAnsiTheme="minorHAnsi" w:cstheme="minorHAnsi"/>
                <w:color w:val="000000" w:themeColor="text1"/>
                <w:sz w:val="22"/>
                <w:szCs w:val="22"/>
              </w:rPr>
              <w:t xml:space="preserve"> report possible criminal acts or threats to public security to authorities.  </w:t>
            </w:r>
          </w:p>
          <w:p w14:paraId="374C4BBA" w14:textId="77777777" w:rsidR="00F010C5" w:rsidRPr="00F010C5" w:rsidRDefault="00F010C5" w:rsidP="00F010C5">
            <w:pPr>
              <w:pStyle w:val="ListParagraph"/>
              <w:numPr>
                <w:ilvl w:val="0"/>
                <w:numId w:val="6"/>
              </w:numPr>
              <w:spacing w:before="40" w:beforeAutospacing="0" w:after="40" w:afterAutospacing="0"/>
              <w:contextualSpacing/>
              <w:outlineLvl w:val="1"/>
              <w:rPr>
                <w:rFonts w:asciiTheme="minorHAnsi" w:hAnsiTheme="minorHAnsi" w:cstheme="minorHAnsi"/>
                <w:bCs/>
                <w:color w:val="000000" w:themeColor="text1"/>
                <w:sz w:val="22"/>
                <w:szCs w:val="22"/>
              </w:rPr>
            </w:pPr>
            <w:r w:rsidRPr="00F010C5">
              <w:rPr>
                <w:rFonts w:asciiTheme="minorHAnsi" w:hAnsiTheme="minorHAnsi" w:cstheme="minorHAnsi"/>
                <w:color w:val="000000" w:themeColor="text1"/>
                <w:sz w:val="22"/>
                <w:szCs w:val="22"/>
              </w:rPr>
              <w:t>Detect fraud.  Evaluate data accuracy.</w:t>
            </w:r>
          </w:p>
          <w:p w14:paraId="3CE7F583" w14:textId="44B38D9B" w:rsidR="00F010C5" w:rsidRPr="00F010C5" w:rsidRDefault="00F010C5" w:rsidP="00F010C5">
            <w:pPr>
              <w:pStyle w:val="ListParagraph"/>
              <w:numPr>
                <w:ilvl w:val="0"/>
                <w:numId w:val="6"/>
              </w:numPr>
              <w:spacing w:before="40" w:beforeAutospacing="0" w:after="40" w:afterAutospacing="0"/>
              <w:contextualSpacing/>
              <w:outlineLvl w:val="1"/>
              <w:rPr>
                <w:rFonts w:asciiTheme="minorHAnsi" w:hAnsiTheme="minorHAnsi" w:cstheme="minorHAnsi"/>
                <w:bCs/>
                <w:color w:val="000000" w:themeColor="text1"/>
                <w:sz w:val="22"/>
                <w:szCs w:val="22"/>
              </w:rPr>
            </w:pPr>
            <w:r w:rsidRPr="00F010C5">
              <w:rPr>
                <w:rFonts w:asciiTheme="minorHAnsi" w:hAnsiTheme="minorHAnsi" w:cstheme="minorHAnsi"/>
                <w:color w:val="000000" w:themeColor="text1"/>
                <w:sz w:val="22"/>
                <w:szCs w:val="22"/>
              </w:rPr>
              <w:t xml:space="preserve">Security investigations and operations are often undertaken by or on behalf of data </w:t>
            </w:r>
            <w:r w:rsidRPr="00F010C5">
              <w:rPr>
                <w:rFonts w:asciiTheme="minorHAnsi" w:hAnsiTheme="minorHAnsi" w:cstheme="minorHAnsi"/>
                <w:color w:val="000000" w:themeColor="text1"/>
                <w:sz w:val="22"/>
                <w:szCs w:val="22"/>
              </w:rPr>
              <w:lastRenderedPageBreak/>
              <w:t>controllers. Others are undertaken by or on behalf of affected parties.</w:t>
            </w:r>
          </w:p>
          <w:p w14:paraId="1BFE85EC" w14:textId="77777777" w:rsidR="00F010C5" w:rsidRDefault="00F010C5" w:rsidP="00005EF6">
            <w:pPr>
              <w:rPr>
                <w:b/>
                <w:bCs/>
                <w:sz w:val="22"/>
                <w:szCs w:val="22"/>
              </w:rPr>
            </w:pPr>
          </w:p>
          <w:p w14:paraId="6E170455" w14:textId="07543F13" w:rsidR="00005EF6" w:rsidRPr="00005EF6" w:rsidRDefault="00005EF6" w:rsidP="00005EF6">
            <w:r w:rsidRPr="00005EF6">
              <w:rPr>
                <w:b/>
                <w:bCs/>
                <w:sz w:val="22"/>
                <w:szCs w:val="22"/>
              </w:rPr>
              <w:t>Contracted Party House</w:t>
            </w:r>
            <w:r>
              <w:t>:</w:t>
            </w:r>
          </w:p>
          <w:p w14:paraId="4D8C7064" w14:textId="4BBB5E21"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The CPH does not support this being listed as a purpose. There is no standalone legal basis for</w:t>
            </w:r>
          </w:p>
          <w:p w14:paraId="1F33CE1E" w14:textId="3240645D" w:rsidR="00005EF6" w:rsidRPr="00005EF6" w:rsidRDefault="00005EF6" w:rsidP="00005EF6">
            <w:pPr>
              <w:autoSpaceDE w:val="0"/>
              <w:autoSpaceDN w:val="0"/>
              <w:adjustRightInd w:val="0"/>
              <w:rPr>
                <w:rFonts w:cstheme="minorHAnsi"/>
                <w:color w:val="000000" w:themeColor="text1"/>
                <w:sz w:val="22"/>
                <w:szCs w:val="22"/>
              </w:rPr>
            </w:pPr>
            <w:r w:rsidRPr="00005EF6">
              <w:rPr>
                <w:rFonts w:cstheme="minorHAnsi"/>
                <w:color w:val="000000" w:themeColor="text1"/>
                <w:sz w:val="22"/>
                <w:szCs w:val="22"/>
              </w:rPr>
              <w:t>requesting personal data for the purpose of security research; such a request would still need to</w:t>
            </w:r>
            <w:r>
              <w:rPr>
                <w:rFonts w:cstheme="minorHAnsi"/>
                <w:color w:val="000000" w:themeColor="text1"/>
                <w:sz w:val="22"/>
                <w:szCs w:val="22"/>
              </w:rPr>
              <w:t xml:space="preserve"> </w:t>
            </w:r>
            <w:r w:rsidRPr="00005EF6">
              <w:rPr>
                <w:rFonts w:cstheme="minorHAnsi"/>
                <w:color w:val="000000" w:themeColor="text1"/>
                <w:sz w:val="22"/>
                <w:szCs w:val="22"/>
              </w:rPr>
              <w:t>pass the 6(1)f balancing test.</w:t>
            </w:r>
          </w:p>
        </w:tc>
      </w:tr>
      <w:tr w:rsidR="00005EF6" w14:paraId="6DDC5EA1" w14:textId="77777777" w:rsidTr="00005EF6">
        <w:tc>
          <w:tcPr>
            <w:tcW w:w="4675" w:type="dxa"/>
          </w:tcPr>
          <w:p w14:paraId="26697CD0" w14:textId="77777777" w:rsidR="00005EF6" w:rsidRPr="00F010C5" w:rsidRDefault="00005EF6" w:rsidP="00005EF6">
            <w:pPr>
              <w:pStyle w:val="ListParagraph"/>
              <w:numPr>
                <w:ilvl w:val="0"/>
                <w:numId w:val="1"/>
              </w:numPr>
              <w:spacing w:after="0" w:afterAutospacing="0"/>
              <w:ind w:hanging="112"/>
              <w:rPr>
                <w:rFonts w:ascii="Calibri" w:hAnsi="Calibri" w:cs="Calibri"/>
                <w:b/>
                <w:bCs/>
                <w:color w:val="000000"/>
                <w:sz w:val="22"/>
                <w:szCs w:val="22"/>
              </w:rPr>
            </w:pPr>
            <w:r w:rsidRPr="00F010C5">
              <w:rPr>
                <w:rFonts w:ascii="Calibri" w:hAnsi="Calibri" w:cs="Calibri"/>
                <w:b/>
                <w:bCs/>
                <w:color w:val="000000"/>
                <w:sz w:val="22"/>
                <w:szCs w:val="22"/>
              </w:rPr>
              <w:lastRenderedPageBreak/>
              <w:t>Prevent intellectual property infringement</w:t>
            </w:r>
          </w:p>
          <w:p w14:paraId="0A2BB30B" w14:textId="77777777" w:rsidR="00D858FF" w:rsidRDefault="00D858FF" w:rsidP="00D858FF">
            <w:pPr>
              <w:rPr>
                <w:rFonts w:ascii="Calibri" w:hAnsi="Calibri" w:cs="Calibri"/>
                <w:color w:val="000000"/>
                <w:sz w:val="22"/>
                <w:szCs w:val="22"/>
              </w:rPr>
            </w:pPr>
          </w:p>
          <w:p w14:paraId="2A7DE51E" w14:textId="77777777" w:rsidR="00D858FF" w:rsidRDefault="00D858FF" w:rsidP="00D858FF">
            <w:pPr>
              <w:autoSpaceDE w:val="0"/>
              <w:autoSpaceDN w:val="0"/>
              <w:adjustRightInd w:val="0"/>
              <w:rPr>
                <w:rFonts w:ascii="PΩá˛" w:hAnsi="PΩá˛" w:cs="PΩá˛"/>
                <w:color w:val="000000"/>
                <w:sz w:val="22"/>
                <w:szCs w:val="22"/>
              </w:rPr>
            </w:pPr>
            <w:r>
              <w:rPr>
                <w:rFonts w:ascii="PΩá˛" w:hAnsi="PΩá˛" w:cs="PΩá˛"/>
                <w:color w:val="000000"/>
                <w:sz w:val="22"/>
                <w:szCs w:val="22"/>
              </w:rPr>
              <w:t>Examples:</w:t>
            </w:r>
          </w:p>
          <w:p w14:paraId="55B8AE40" w14:textId="77777777" w:rsidR="00D858FF" w:rsidRDefault="00D858FF" w:rsidP="00D858FF">
            <w:pPr>
              <w:pStyle w:val="ListParagraph"/>
              <w:numPr>
                <w:ilvl w:val="0"/>
                <w:numId w:val="4"/>
              </w:numPr>
              <w:autoSpaceDE w:val="0"/>
              <w:autoSpaceDN w:val="0"/>
              <w:adjustRightInd w:val="0"/>
              <w:spacing w:before="0" w:beforeAutospacing="0" w:after="0" w:afterAutospacing="0"/>
              <w:rPr>
                <w:rFonts w:ascii="PΩá˛" w:hAnsi="PΩá˛" w:cs="PΩá˛"/>
                <w:color w:val="000000"/>
                <w:sz w:val="22"/>
                <w:szCs w:val="22"/>
              </w:rPr>
            </w:pPr>
            <w:r w:rsidRPr="00D858FF">
              <w:rPr>
                <w:rFonts w:ascii="PΩá˛" w:hAnsi="PΩá˛" w:cs="PΩá˛"/>
                <w:color w:val="000000"/>
                <w:sz w:val="22"/>
                <w:szCs w:val="22"/>
              </w:rPr>
              <w:t>In order to enable contact with parties using a domain name that is being investigated for</w:t>
            </w:r>
            <w:r>
              <w:rPr>
                <w:rFonts w:ascii="PΩá˛" w:hAnsi="PΩá˛" w:cs="PΩá˛"/>
                <w:color w:val="000000"/>
                <w:sz w:val="22"/>
                <w:szCs w:val="22"/>
              </w:rPr>
              <w:t xml:space="preserve"> </w:t>
            </w:r>
            <w:r w:rsidRPr="00D858FF">
              <w:rPr>
                <w:rFonts w:ascii="PΩá˛" w:hAnsi="PΩá˛" w:cs="PΩá˛"/>
                <w:color w:val="000000"/>
                <w:sz w:val="22"/>
                <w:szCs w:val="22"/>
              </w:rPr>
              <w:t>trademark/brand infringement or copyright theft;</w:t>
            </w:r>
          </w:p>
          <w:p w14:paraId="6B4D192B" w14:textId="77777777" w:rsidR="00D858FF" w:rsidRPr="00D858FF" w:rsidRDefault="00D858FF" w:rsidP="00D858FF">
            <w:pPr>
              <w:pStyle w:val="ListParagraph"/>
              <w:numPr>
                <w:ilvl w:val="0"/>
                <w:numId w:val="4"/>
              </w:numPr>
              <w:autoSpaceDE w:val="0"/>
              <w:autoSpaceDN w:val="0"/>
              <w:adjustRightInd w:val="0"/>
              <w:spacing w:before="0" w:beforeAutospacing="0" w:after="0" w:afterAutospacing="0"/>
              <w:rPr>
                <w:rFonts w:ascii="PΩá˛" w:hAnsi="PΩá˛" w:cs="PΩá˛"/>
                <w:color w:val="000000"/>
                <w:sz w:val="22"/>
                <w:szCs w:val="22"/>
              </w:rPr>
            </w:pPr>
            <w:r w:rsidRPr="00D858FF">
              <w:rPr>
                <w:rFonts w:ascii="PΩá˛" w:hAnsi="PΩá˛" w:cs="PΩá˛"/>
                <w:sz w:val="22"/>
                <w:szCs w:val="22"/>
              </w:rPr>
              <w:t>To Combat Fraudulent Use of Registration Data by facilitating identification of and response</w:t>
            </w:r>
            <w:r>
              <w:rPr>
                <w:rFonts w:ascii="PΩá˛" w:hAnsi="PΩá˛" w:cs="PΩá˛"/>
                <w:sz w:val="22"/>
                <w:szCs w:val="22"/>
              </w:rPr>
              <w:t xml:space="preserve"> </w:t>
            </w:r>
            <w:r w:rsidRPr="00D858FF">
              <w:rPr>
                <w:rFonts w:ascii="PΩá˛" w:hAnsi="PΩá˛" w:cs="PΩá˛"/>
                <w:sz w:val="22"/>
                <w:szCs w:val="22"/>
              </w:rPr>
              <w:t>to fraudulent use of legitimate data (e.g., address) for domain names belonging to another</w:t>
            </w:r>
            <w:r>
              <w:rPr>
                <w:rFonts w:ascii="PΩá˛" w:hAnsi="PΩá˛" w:cs="PΩá˛"/>
                <w:sz w:val="22"/>
                <w:szCs w:val="22"/>
              </w:rPr>
              <w:t xml:space="preserve"> </w:t>
            </w:r>
            <w:r w:rsidRPr="00D858FF">
              <w:rPr>
                <w:rFonts w:ascii="PΩá˛" w:hAnsi="PΩá˛" w:cs="PΩá˛"/>
                <w:sz w:val="22"/>
                <w:szCs w:val="22"/>
              </w:rPr>
              <w:t>Registrant by using Reverse Query on identity-verified data</w:t>
            </w:r>
          </w:p>
          <w:p w14:paraId="27ACF71A" w14:textId="77777777" w:rsidR="00D858FF" w:rsidRDefault="00D858FF" w:rsidP="00D858FF">
            <w:pPr>
              <w:pStyle w:val="ListParagraph"/>
              <w:numPr>
                <w:ilvl w:val="0"/>
                <w:numId w:val="4"/>
              </w:numPr>
              <w:autoSpaceDE w:val="0"/>
              <w:autoSpaceDN w:val="0"/>
              <w:adjustRightInd w:val="0"/>
              <w:spacing w:before="0" w:beforeAutospacing="0" w:after="0" w:afterAutospacing="0"/>
              <w:rPr>
                <w:rFonts w:ascii="PΩá˛" w:hAnsi="PΩá˛" w:cs="PΩá˛"/>
                <w:sz w:val="22"/>
                <w:szCs w:val="22"/>
              </w:rPr>
            </w:pPr>
            <w:r>
              <w:rPr>
                <w:rFonts w:ascii="PΩá˛" w:hAnsi="PΩá˛" w:cs="PΩá˛"/>
                <w:sz w:val="22"/>
                <w:szCs w:val="22"/>
              </w:rPr>
              <w:t xml:space="preserve">To verify domain name and contact information in order for the UDRP Provider to abide by </w:t>
            </w:r>
            <w:r w:rsidRPr="00D858FF">
              <w:rPr>
                <w:rFonts w:ascii="PΩá˛" w:hAnsi="PΩá˛" w:cs="PΩá˛"/>
                <w:sz w:val="22"/>
                <w:szCs w:val="22"/>
              </w:rPr>
              <w:t>the rules as delineated in the UDRP. This includes: 1) Complaint verification, 2) Determining</w:t>
            </w:r>
            <w:r>
              <w:rPr>
                <w:rFonts w:ascii="PΩá˛" w:hAnsi="PΩá˛" w:cs="PΩá˛"/>
                <w:sz w:val="22"/>
                <w:szCs w:val="22"/>
              </w:rPr>
              <w:t xml:space="preserve"> </w:t>
            </w:r>
            <w:r w:rsidRPr="00D858FF">
              <w:rPr>
                <w:rFonts w:ascii="PΩá˛" w:hAnsi="PΩá˛" w:cs="PΩá˛"/>
                <w:sz w:val="22"/>
                <w:szCs w:val="22"/>
              </w:rPr>
              <w:t>the Registrar, 3) Completing the administrative compliance check, 4) determining the</w:t>
            </w:r>
            <w:r>
              <w:rPr>
                <w:rFonts w:ascii="PΩá˛" w:hAnsi="PΩá˛" w:cs="PΩá˛"/>
                <w:sz w:val="22"/>
                <w:szCs w:val="22"/>
              </w:rPr>
              <w:t xml:space="preserve"> </w:t>
            </w:r>
            <w:r w:rsidRPr="00D858FF">
              <w:rPr>
                <w:rFonts w:ascii="PΩá˛" w:hAnsi="PΩá˛" w:cs="PΩá˛"/>
                <w:sz w:val="22"/>
                <w:szCs w:val="22"/>
              </w:rPr>
              <w:t>jurisdiction to seat the panel, and 5) post panel decision logistics. (informing registrar,</w:t>
            </w:r>
            <w:r>
              <w:rPr>
                <w:rFonts w:ascii="PΩá˛" w:hAnsi="PΩá˛" w:cs="PΩá˛"/>
                <w:sz w:val="22"/>
                <w:szCs w:val="22"/>
              </w:rPr>
              <w:t xml:space="preserve"> </w:t>
            </w:r>
            <w:r w:rsidRPr="00D858FF">
              <w:rPr>
                <w:rFonts w:ascii="PΩá˛" w:hAnsi="PΩá˛" w:cs="PΩá˛"/>
                <w:sz w:val="22"/>
                <w:szCs w:val="22"/>
              </w:rPr>
              <w:t>registrant and ICANN)</w:t>
            </w:r>
          </w:p>
          <w:p w14:paraId="513B5118" w14:textId="1C084E22" w:rsidR="00D858FF" w:rsidRPr="00D858FF" w:rsidRDefault="00D858FF" w:rsidP="00D858FF">
            <w:pPr>
              <w:pStyle w:val="ListParagraph"/>
              <w:numPr>
                <w:ilvl w:val="0"/>
                <w:numId w:val="4"/>
              </w:numPr>
              <w:autoSpaceDE w:val="0"/>
              <w:autoSpaceDN w:val="0"/>
              <w:adjustRightInd w:val="0"/>
              <w:spacing w:before="0" w:beforeAutospacing="0" w:after="0" w:afterAutospacing="0"/>
              <w:rPr>
                <w:rFonts w:ascii="PΩá˛" w:hAnsi="PΩá˛" w:cs="PΩá˛"/>
                <w:sz w:val="22"/>
                <w:szCs w:val="22"/>
              </w:rPr>
            </w:pPr>
            <w:r w:rsidRPr="00D858FF">
              <w:rPr>
                <w:rFonts w:ascii="PΩá˛" w:hAnsi="PΩá˛" w:cs="PΩá˛"/>
                <w:color w:val="000000"/>
                <w:sz w:val="22"/>
                <w:szCs w:val="22"/>
              </w:rPr>
              <w:t>In order to accurately identify and/or confirm other web domains used in connection with</w:t>
            </w:r>
            <w:r>
              <w:rPr>
                <w:rFonts w:ascii="PΩá˛" w:hAnsi="PΩá˛" w:cs="PΩá˛"/>
                <w:color w:val="000000"/>
                <w:sz w:val="22"/>
                <w:szCs w:val="22"/>
              </w:rPr>
              <w:t xml:space="preserve"> </w:t>
            </w:r>
            <w:r w:rsidRPr="00D858FF">
              <w:rPr>
                <w:rFonts w:ascii="PΩá˛" w:hAnsi="PΩá˛" w:cs="PΩá˛"/>
                <w:color w:val="000000"/>
                <w:sz w:val="22"/>
                <w:szCs w:val="22"/>
              </w:rPr>
              <w:t>defendant(s) alleged IP infringements (including whether previous actions taken against</w:t>
            </w:r>
            <w:r>
              <w:rPr>
                <w:rFonts w:ascii="PΩá˛" w:hAnsi="PΩá˛" w:cs="PΩá˛"/>
                <w:color w:val="000000"/>
                <w:sz w:val="22"/>
                <w:szCs w:val="22"/>
              </w:rPr>
              <w:t xml:space="preserve"> </w:t>
            </w:r>
            <w:r w:rsidRPr="00D858FF">
              <w:rPr>
                <w:rFonts w:ascii="PΩá˛" w:hAnsi="PΩá˛" w:cs="PΩá˛"/>
                <w:color w:val="000000"/>
                <w:sz w:val="22"/>
                <w:szCs w:val="22"/>
              </w:rPr>
              <w:t>registrant). As well as to facilitate the service of legal process by hand-delivery, mail servic</w:t>
            </w:r>
            <w:r>
              <w:rPr>
                <w:rFonts w:ascii="PΩá˛" w:hAnsi="PΩá˛" w:cs="PΩá˛"/>
                <w:color w:val="000000"/>
                <w:sz w:val="22"/>
                <w:szCs w:val="22"/>
              </w:rPr>
              <w:t xml:space="preserve">e </w:t>
            </w:r>
            <w:r w:rsidRPr="00D858FF">
              <w:rPr>
                <w:rFonts w:ascii="PΩá˛" w:hAnsi="PΩá˛" w:cs="PΩá˛"/>
                <w:color w:val="000000"/>
                <w:sz w:val="22"/>
                <w:szCs w:val="22"/>
              </w:rPr>
              <w:t>or service by email.</w:t>
            </w:r>
          </w:p>
          <w:p w14:paraId="720C83CB" w14:textId="05AA3204" w:rsidR="00D858FF" w:rsidRPr="00D858FF" w:rsidRDefault="00D858FF" w:rsidP="00D858FF">
            <w:pPr>
              <w:autoSpaceDE w:val="0"/>
              <w:autoSpaceDN w:val="0"/>
              <w:adjustRightInd w:val="0"/>
              <w:rPr>
                <w:rFonts w:ascii="PΩá˛" w:hAnsi="PΩá˛" w:cs="PΩá˛"/>
                <w:sz w:val="22"/>
                <w:szCs w:val="22"/>
              </w:rPr>
            </w:pPr>
          </w:p>
        </w:tc>
        <w:tc>
          <w:tcPr>
            <w:tcW w:w="4675" w:type="dxa"/>
          </w:tcPr>
          <w:p w14:paraId="3A06D463" w14:textId="551AA2C2" w:rsidR="00D858FF" w:rsidRPr="00D858FF" w:rsidRDefault="00D858FF" w:rsidP="00D858FF">
            <w:pPr>
              <w:autoSpaceDE w:val="0"/>
              <w:autoSpaceDN w:val="0"/>
              <w:adjustRightInd w:val="0"/>
              <w:rPr>
                <w:rFonts w:cstheme="minorHAnsi"/>
                <w:b/>
                <w:bCs/>
                <w:color w:val="000000" w:themeColor="text1"/>
                <w:sz w:val="22"/>
                <w:szCs w:val="22"/>
              </w:rPr>
            </w:pPr>
            <w:r w:rsidRPr="00D858FF">
              <w:rPr>
                <w:rFonts w:cstheme="minorHAnsi"/>
                <w:b/>
                <w:bCs/>
                <w:color w:val="000000" w:themeColor="text1"/>
                <w:sz w:val="22"/>
                <w:szCs w:val="22"/>
              </w:rPr>
              <w:t>Contracted Party House:</w:t>
            </w:r>
          </w:p>
          <w:p w14:paraId="1CC7AE9F" w14:textId="112E5886" w:rsidR="00D858FF" w:rsidRPr="00D858FF" w:rsidRDefault="00D858FF" w:rsidP="00D858FF">
            <w:pPr>
              <w:autoSpaceDE w:val="0"/>
              <w:autoSpaceDN w:val="0"/>
              <w:adjustRightInd w:val="0"/>
              <w:rPr>
                <w:rFonts w:cstheme="minorHAnsi"/>
                <w:color w:val="000000" w:themeColor="text1"/>
                <w:sz w:val="22"/>
                <w:szCs w:val="22"/>
              </w:rPr>
            </w:pPr>
            <w:r w:rsidRPr="00D858FF">
              <w:rPr>
                <w:rFonts w:cstheme="minorHAnsi"/>
                <w:color w:val="000000" w:themeColor="text1"/>
                <w:sz w:val="22"/>
                <w:szCs w:val="22"/>
              </w:rPr>
              <w:t>The CPH believes the language here should be amended as disclosure does not 'prevent' IP</w:t>
            </w:r>
          </w:p>
          <w:p w14:paraId="3382BD63" w14:textId="77777777" w:rsidR="00D858FF" w:rsidRPr="00D858FF" w:rsidRDefault="00D858FF" w:rsidP="00D858FF">
            <w:pPr>
              <w:autoSpaceDE w:val="0"/>
              <w:autoSpaceDN w:val="0"/>
              <w:adjustRightInd w:val="0"/>
              <w:rPr>
                <w:rFonts w:cstheme="minorHAnsi"/>
                <w:color w:val="000000" w:themeColor="text1"/>
                <w:sz w:val="22"/>
                <w:szCs w:val="22"/>
              </w:rPr>
            </w:pPr>
            <w:r w:rsidRPr="00D858FF">
              <w:rPr>
                <w:rFonts w:cstheme="minorHAnsi"/>
                <w:color w:val="000000" w:themeColor="text1"/>
                <w:sz w:val="22"/>
                <w:szCs w:val="22"/>
              </w:rPr>
              <w:t>infringement - it can help with suing a person, or taking legal action in various ways, but not</w:t>
            </w:r>
          </w:p>
          <w:p w14:paraId="0B40FE8E" w14:textId="799A0B32" w:rsidR="00D858FF" w:rsidRPr="00D858FF" w:rsidRDefault="00D858FF" w:rsidP="00D858FF">
            <w:pPr>
              <w:autoSpaceDE w:val="0"/>
              <w:autoSpaceDN w:val="0"/>
              <w:adjustRightInd w:val="0"/>
              <w:rPr>
                <w:rFonts w:cstheme="minorHAnsi"/>
                <w:color w:val="000000" w:themeColor="text1"/>
                <w:sz w:val="22"/>
                <w:szCs w:val="22"/>
              </w:rPr>
            </w:pPr>
            <w:r w:rsidRPr="00D858FF">
              <w:rPr>
                <w:rFonts w:cstheme="minorHAnsi"/>
                <w:color w:val="000000" w:themeColor="text1"/>
                <w:sz w:val="22"/>
                <w:szCs w:val="22"/>
              </w:rPr>
              <w:t>'preventing' the infringement. As the purpose should not effectively permit fishing expeditions, it</w:t>
            </w:r>
            <w:r>
              <w:rPr>
                <w:rFonts w:cstheme="minorHAnsi"/>
                <w:color w:val="000000" w:themeColor="text1"/>
                <w:sz w:val="22"/>
                <w:szCs w:val="22"/>
              </w:rPr>
              <w:t xml:space="preserve"> </w:t>
            </w:r>
            <w:r w:rsidRPr="00D858FF">
              <w:rPr>
                <w:rFonts w:cstheme="minorHAnsi"/>
                <w:color w:val="000000" w:themeColor="text1"/>
                <w:sz w:val="22"/>
                <w:szCs w:val="22"/>
              </w:rPr>
              <w:t>should be reworded as a purpose of 'responding to' IP infringement.</w:t>
            </w:r>
          </w:p>
          <w:p w14:paraId="3DA0784A" w14:textId="4FFBEE56" w:rsidR="00D858FF" w:rsidRPr="00D858FF" w:rsidRDefault="00D858FF" w:rsidP="00D858FF">
            <w:pPr>
              <w:autoSpaceDE w:val="0"/>
              <w:autoSpaceDN w:val="0"/>
              <w:adjustRightInd w:val="0"/>
              <w:rPr>
                <w:rFonts w:cstheme="minorHAnsi"/>
                <w:color w:val="000000" w:themeColor="text1"/>
                <w:sz w:val="22"/>
                <w:szCs w:val="22"/>
              </w:rPr>
            </w:pPr>
            <w:r w:rsidRPr="00D858FF">
              <w:rPr>
                <w:rFonts w:cstheme="minorHAnsi"/>
                <w:color w:val="000000" w:themeColor="text1"/>
                <w:sz w:val="22"/>
                <w:szCs w:val="22"/>
              </w:rPr>
              <w:t>Owning a Trademark does not confer special rights to non-public data. It is not up to Contracted</w:t>
            </w:r>
            <w:r>
              <w:rPr>
                <w:rFonts w:cstheme="minorHAnsi"/>
                <w:color w:val="000000" w:themeColor="text1"/>
                <w:sz w:val="22"/>
                <w:szCs w:val="22"/>
              </w:rPr>
              <w:t xml:space="preserve"> </w:t>
            </w:r>
            <w:r w:rsidRPr="00D858FF">
              <w:rPr>
                <w:rFonts w:cstheme="minorHAnsi"/>
                <w:color w:val="000000" w:themeColor="text1"/>
                <w:sz w:val="22"/>
                <w:szCs w:val="22"/>
              </w:rPr>
              <w:t>Parties to facilitate investigations against domains that contain a TM. The key here is</w:t>
            </w:r>
            <w:r>
              <w:rPr>
                <w:rFonts w:cstheme="minorHAnsi"/>
                <w:color w:val="000000" w:themeColor="text1"/>
                <w:sz w:val="22"/>
                <w:szCs w:val="22"/>
              </w:rPr>
              <w:t xml:space="preserve"> </w:t>
            </w:r>
            <w:r w:rsidRPr="00D858FF">
              <w:rPr>
                <w:rFonts w:cstheme="minorHAnsi"/>
                <w:color w:val="000000" w:themeColor="text1"/>
                <w:sz w:val="22"/>
                <w:szCs w:val="22"/>
              </w:rPr>
              <w:t>necessity. If a company wishes to protect their IP, generally speaking, the identity of the</w:t>
            </w:r>
          </w:p>
          <w:p w14:paraId="50339383" w14:textId="77777777" w:rsidR="00D858FF" w:rsidRPr="00D858FF" w:rsidRDefault="00D858FF" w:rsidP="00D858FF">
            <w:pPr>
              <w:autoSpaceDE w:val="0"/>
              <w:autoSpaceDN w:val="0"/>
              <w:adjustRightInd w:val="0"/>
              <w:rPr>
                <w:rFonts w:cstheme="minorHAnsi"/>
                <w:color w:val="000000" w:themeColor="text1"/>
                <w:sz w:val="22"/>
                <w:szCs w:val="22"/>
              </w:rPr>
            </w:pPr>
            <w:r w:rsidRPr="00D858FF">
              <w:rPr>
                <w:rFonts w:cstheme="minorHAnsi"/>
                <w:color w:val="000000" w:themeColor="text1"/>
                <w:sz w:val="22"/>
                <w:szCs w:val="22"/>
              </w:rPr>
              <w:t>registrant is not necessary to constitute such proceedings. Such proceedings, as a matter of</w:t>
            </w:r>
          </w:p>
          <w:p w14:paraId="65AEE041" w14:textId="77777777" w:rsidR="00D858FF" w:rsidRPr="00D858FF" w:rsidRDefault="00D858FF" w:rsidP="00D858FF">
            <w:pPr>
              <w:autoSpaceDE w:val="0"/>
              <w:autoSpaceDN w:val="0"/>
              <w:adjustRightInd w:val="0"/>
              <w:rPr>
                <w:rFonts w:cstheme="minorHAnsi"/>
                <w:color w:val="000000" w:themeColor="text1"/>
                <w:sz w:val="22"/>
                <w:szCs w:val="22"/>
              </w:rPr>
            </w:pPr>
            <w:proofErr w:type="gramStart"/>
            <w:r w:rsidRPr="00D858FF">
              <w:rPr>
                <w:rFonts w:cstheme="minorHAnsi"/>
                <w:color w:val="000000" w:themeColor="text1"/>
                <w:sz w:val="22"/>
                <w:szCs w:val="22"/>
              </w:rPr>
              <w:t>course,</w:t>
            </w:r>
            <w:proofErr w:type="gramEnd"/>
            <w:r w:rsidRPr="00D858FF">
              <w:rPr>
                <w:rFonts w:cstheme="minorHAnsi"/>
                <w:color w:val="000000" w:themeColor="text1"/>
                <w:sz w:val="22"/>
                <w:szCs w:val="22"/>
              </w:rPr>
              <w:t xml:space="preserve"> may include a simple discovery motion. Contracted parties shall then disclose under</w:t>
            </w:r>
          </w:p>
          <w:p w14:paraId="00DE0B63" w14:textId="77777777" w:rsidR="00D858FF" w:rsidRPr="00D858FF" w:rsidRDefault="00D858FF" w:rsidP="00D858FF">
            <w:pPr>
              <w:autoSpaceDE w:val="0"/>
              <w:autoSpaceDN w:val="0"/>
              <w:adjustRightInd w:val="0"/>
              <w:rPr>
                <w:rFonts w:cstheme="minorHAnsi"/>
                <w:color w:val="000000" w:themeColor="text1"/>
                <w:sz w:val="22"/>
                <w:szCs w:val="22"/>
              </w:rPr>
            </w:pPr>
            <w:r w:rsidRPr="00D858FF">
              <w:rPr>
                <w:rFonts w:cstheme="minorHAnsi"/>
                <w:color w:val="000000" w:themeColor="text1"/>
                <w:sz w:val="22"/>
                <w:szCs w:val="22"/>
              </w:rPr>
              <w:t>6(1)c (in jurisdiction) or perhaps 6(1)f when outside of jurisdiction.</w:t>
            </w:r>
          </w:p>
          <w:p w14:paraId="15BD1245" w14:textId="3AE2B6A8" w:rsidR="00D858FF" w:rsidRPr="00D858FF" w:rsidRDefault="00D858FF" w:rsidP="00D858FF">
            <w:pPr>
              <w:autoSpaceDE w:val="0"/>
              <w:autoSpaceDN w:val="0"/>
              <w:adjustRightInd w:val="0"/>
              <w:rPr>
                <w:rFonts w:cstheme="minorHAnsi"/>
                <w:color w:val="000000" w:themeColor="text1"/>
                <w:sz w:val="22"/>
                <w:szCs w:val="22"/>
              </w:rPr>
            </w:pPr>
            <w:r w:rsidRPr="00D858FF">
              <w:rPr>
                <w:rFonts w:cstheme="minorHAnsi"/>
                <w:color w:val="000000" w:themeColor="text1"/>
                <w:sz w:val="22"/>
                <w:szCs w:val="22"/>
              </w:rPr>
              <w:t>There are also those fringe cases where actual damage is likely to occur</w:t>
            </w:r>
            <w:r>
              <w:rPr>
                <w:rFonts w:cstheme="minorHAnsi"/>
                <w:color w:val="000000" w:themeColor="text1"/>
                <w:sz w:val="22"/>
                <w:szCs w:val="22"/>
              </w:rPr>
              <w:t xml:space="preserve"> </w:t>
            </w:r>
            <w:r w:rsidRPr="00D858FF">
              <w:rPr>
                <w:rFonts w:cstheme="minorHAnsi"/>
                <w:color w:val="000000" w:themeColor="text1"/>
                <w:sz w:val="22"/>
                <w:szCs w:val="22"/>
              </w:rPr>
              <w:t>as a result of the infringement (subjective case review based on individual circumstances e.g.</w:t>
            </w:r>
            <w:r>
              <w:rPr>
                <w:rFonts w:cstheme="minorHAnsi"/>
                <w:color w:val="000000" w:themeColor="text1"/>
                <w:sz w:val="22"/>
                <w:szCs w:val="22"/>
              </w:rPr>
              <w:t xml:space="preserve"> </w:t>
            </w:r>
            <w:r w:rsidRPr="00D858FF">
              <w:rPr>
                <w:rFonts w:cstheme="minorHAnsi"/>
                <w:color w:val="000000" w:themeColor="text1"/>
                <w:sz w:val="22"/>
                <w:szCs w:val="22"/>
              </w:rPr>
              <w:t>phishing, spear phishing etc.). A 6(1)f may be sufficient in such circumstances.</w:t>
            </w:r>
          </w:p>
          <w:p w14:paraId="117294C5" w14:textId="77777777" w:rsidR="00D858FF" w:rsidRPr="00D858FF" w:rsidRDefault="00D858FF" w:rsidP="00D858FF">
            <w:pPr>
              <w:autoSpaceDE w:val="0"/>
              <w:autoSpaceDN w:val="0"/>
              <w:adjustRightInd w:val="0"/>
              <w:rPr>
                <w:rFonts w:cstheme="minorHAnsi"/>
                <w:color w:val="000000" w:themeColor="text1"/>
                <w:sz w:val="22"/>
                <w:szCs w:val="22"/>
              </w:rPr>
            </w:pPr>
            <w:r w:rsidRPr="00D858FF">
              <w:rPr>
                <w:rFonts w:cstheme="minorHAnsi"/>
                <w:color w:val="000000" w:themeColor="text1"/>
                <w:sz w:val="22"/>
                <w:szCs w:val="22"/>
              </w:rPr>
              <w:t>In truth, the issue here is that the ‘legitimate purpose’ is based on the individual circumstance</w:t>
            </w:r>
          </w:p>
          <w:p w14:paraId="73C209C7" w14:textId="17FCBABA" w:rsidR="00D858FF" w:rsidRPr="00D858FF" w:rsidRDefault="00D858FF" w:rsidP="00D858FF">
            <w:pPr>
              <w:autoSpaceDE w:val="0"/>
              <w:autoSpaceDN w:val="0"/>
              <w:adjustRightInd w:val="0"/>
              <w:rPr>
                <w:rFonts w:cstheme="minorHAnsi"/>
                <w:color w:val="000000" w:themeColor="text1"/>
                <w:sz w:val="22"/>
                <w:szCs w:val="22"/>
              </w:rPr>
            </w:pPr>
            <w:r w:rsidRPr="00D858FF">
              <w:rPr>
                <w:rFonts w:cstheme="minorHAnsi"/>
                <w:color w:val="000000" w:themeColor="text1"/>
                <w:sz w:val="22"/>
                <w:szCs w:val="22"/>
              </w:rPr>
              <w:t>of the request; requests are not ‘legitimate’</w:t>
            </w:r>
            <w:r>
              <w:rPr>
                <w:rFonts w:cstheme="minorHAnsi"/>
                <w:color w:val="000000" w:themeColor="text1"/>
                <w:sz w:val="22"/>
                <w:szCs w:val="22"/>
              </w:rPr>
              <w:t xml:space="preserve"> </w:t>
            </w:r>
            <w:r w:rsidRPr="00D858FF">
              <w:rPr>
                <w:rFonts w:cstheme="minorHAnsi"/>
                <w:color w:val="000000" w:themeColor="text1"/>
                <w:sz w:val="22"/>
                <w:szCs w:val="22"/>
              </w:rPr>
              <w:t>because they are TM/IP related, but because the</w:t>
            </w:r>
          </w:p>
          <w:p w14:paraId="00C60D45" w14:textId="402EB552" w:rsidR="00005EF6" w:rsidRDefault="00D858FF" w:rsidP="00D858FF">
            <w:pPr>
              <w:autoSpaceDE w:val="0"/>
              <w:autoSpaceDN w:val="0"/>
              <w:adjustRightInd w:val="0"/>
              <w:rPr>
                <w:rFonts w:cstheme="minorHAnsi"/>
                <w:color w:val="000000" w:themeColor="text1"/>
                <w:sz w:val="22"/>
                <w:szCs w:val="22"/>
              </w:rPr>
            </w:pPr>
            <w:r w:rsidRPr="00D858FF">
              <w:rPr>
                <w:rFonts w:cstheme="minorHAnsi"/>
                <w:color w:val="000000" w:themeColor="text1"/>
                <w:sz w:val="22"/>
                <w:szCs w:val="22"/>
              </w:rPr>
              <w:t>circumstances of that request are supporting disclosure. The CPH cautions against</w:t>
            </w:r>
            <w:r>
              <w:rPr>
                <w:rFonts w:cstheme="minorHAnsi"/>
                <w:color w:val="000000" w:themeColor="text1"/>
                <w:sz w:val="22"/>
                <w:szCs w:val="22"/>
              </w:rPr>
              <w:t xml:space="preserve"> </w:t>
            </w:r>
            <w:r w:rsidRPr="00D858FF">
              <w:rPr>
                <w:rFonts w:cstheme="minorHAnsi"/>
                <w:color w:val="000000" w:themeColor="text1"/>
                <w:sz w:val="22"/>
                <w:szCs w:val="22"/>
              </w:rPr>
              <w:t>presupposing outcomes in purporting to classify any such niche interest as ‘legitimate’ in</w:t>
            </w:r>
            <w:r>
              <w:rPr>
                <w:rFonts w:cstheme="minorHAnsi"/>
                <w:color w:val="000000" w:themeColor="text1"/>
                <w:sz w:val="22"/>
                <w:szCs w:val="22"/>
              </w:rPr>
              <w:t xml:space="preserve"> </w:t>
            </w:r>
            <w:r w:rsidRPr="00D858FF">
              <w:rPr>
                <w:rFonts w:cstheme="minorHAnsi"/>
                <w:color w:val="000000" w:themeColor="text1"/>
                <w:sz w:val="22"/>
                <w:szCs w:val="22"/>
              </w:rPr>
              <w:t>general terms. This goes for all categories identified and not just IP/TM.</w:t>
            </w:r>
          </w:p>
          <w:p w14:paraId="2FC2AA82" w14:textId="77777777" w:rsidR="00D858FF" w:rsidRDefault="00D858FF" w:rsidP="00D858FF">
            <w:pPr>
              <w:autoSpaceDE w:val="0"/>
              <w:autoSpaceDN w:val="0"/>
              <w:adjustRightInd w:val="0"/>
              <w:rPr>
                <w:rFonts w:cstheme="minorHAnsi"/>
                <w:color w:val="000000" w:themeColor="text1"/>
                <w:sz w:val="22"/>
                <w:szCs w:val="22"/>
              </w:rPr>
            </w:pPr>
          </w:p>
          <w:p w14:paraId="0F48CD38" w14:textId="77777777" w:rsidR="00D858FF" w:rsidRPr="00D858FF" w:rsidRDefault="00D858FF" w:rsidP="00D858FF">
            <w:pPr>
              <w:autoSpaceDE w:val="0"/>
              <w:autoSpaceDN w:val="0"/>
              <w:adjustRightInd w:val="0"/>
              <w:rPr>
                <w:rFonts w:cstheme="minorHAnsi"/>
                <w:color w:val="000000" w:themeColor="text1"/>
                <w:sz w:val="22"/>
                <w:szCs w:val="22"/>
              </w:rPr>
            </w:pPr>
            <w:r>
              <w:rPr>
                <w:rFonts w:cstheme="minorHAnsi"/>
                <w:color w:val="000000" w:themeColor="text1"/>
                <w:sz w:val="22"/>
                <w:szCs w:val="22"/>
              </w:rPr>
              <w:lastRenderedPageBreak/>
              <w:t xml:space="preserve">(first bullet) </w:t>
            </w:r>
            <w:r w:rsidRPr="00D858FF">
              <w:rPr>
                <w:rFonts w:cstheme="minorHAnsi"/>
                <w:color w:val="000000" w:themeColor="text1"/>
                <w:sz w:val="22"/>
                <w:szCs w:val="22"/>
              </w:rPr>
              <w:t>This can be achieved via the public RDS (registrars are obligated to allow contact of</w:t>
            </w:r>
          </w:p>
          <w:p w14:paraId="719A2D6C" w14:textId="77777777" w:rsidR="00D858FF" w:rsidRDefault="00D858FF" w:rsidP="00D858FF">
            <w:pPr>
              <w:autoSpaceDE w:val="0"/>
              <w:autoSpaceDN w:val="0"/>
              <w:adjustRightInd w:val="0"/>
              <w:rPr>
                <w:rFonts w:cstheme="minorHAnsi"/>
                <w:color w:val="000000" w:themeColor="text1"/>
                <w:sz w:val="22"/>
                <w:szCs w:val="22"/>
              </w:rPr>
            </w:pPr>
            <w:r w:rsidRPr="00D858FF">
              <w:rPr>
                <w:rFonts w:cstheme="minorHAnsi"/>
                <w:color w:val="000000" w:themeColor="text1"/>
                <w:sz w:val="22"/>
                <w:szCs w:val="22"/>
              </w:rPr>
              <w:t>RNH)</w:t>
            </w:r>
          </w:p>
          <w:p w14:paraId="46F9A524" w14:textId="64641813" w:rsidR="00D858FF" w:rsidRPr="00D858FF" w:rsidRDefault="00D858FF" w:rsidP="00D858FF">
            <w:pPr>
              <w:autoSpaceDE w:val="0"/>
              <w:autoSpaceDN w:val="0"/>
              <w:adjustRightInd w:val="0"/>
              <w:rPr>
                <w:rFonts w:cstheme="minorHAnsi"/>
                <w:color w:val="000000" w:themeColor="text1"/>
                <w:sz w:val="22"/>
                <w:szCs w:val="22"/>
              </w:rPr>
            </w:pPr>
            <w:r>
              <w:rPr>
                <w:rFonts w:cstheme="minorHAnsi"/>
                <w:color w:val="000000" w:themeColor="text1"/>
                <w:sz w:val="22"/>
                <w:szCs w:val="22"/>
              </w:rPr>
              <w:t xml:space="preserve">(second bullet) </w:t>
            </w:r>
            <w:r w:rsidRPr="00D858FF">
              <w:rPr>
                <w:rFonts w:cstheme="minorHAnsi"/>
                <w:color w:val="000000" w:themeColor="text1"/>
                <w:sz w:val="22"/>
                <w:szCs w:val="22"/>
              </w:rPr>
              <w:t>The CPH believes this example should be removed as it is not compliant with data</w:t>
            </w:r>
            <w:r>
              <w:rPr>
                <w:rFonts w:cstheme="minorHAnsi"/>
                <w:color w:val="000000" w:themeColor="text1"/>
                <w:sz w:val="22"/>
                <w:szCs w:val="22"/>
              </w:rPr>
              <w:t xml:space="preserve"> </w:t>
            </w:r>
            <w:r w:rsidRPr="00D858FF">
              <w:rPr>
                <w:rFonts w:cstheme="minorHAnsi"/>
                <w:color w:val="000000" w:themeColor="text1"/>
                <w:sz w:val="22"/>
                <w:szCs w:val="22"/>
              </w:rPr>
              <w:t>protection law; there should be no reverse search. Researchers can use other means to</w:t>
            </w:r>
          </w:p>
          <w:p w14:paraId="67A9FBBF" w14:textId="0E55A1C7" w:rsidR="00D858FF" w:rsidRDefault="00D858FF" w:rsidP="00D858FF">
            <w:pPr>
              <w:autoSpaceDE w:val="0"/>
              <w:autoSpaceDN w:val="0"/>
              <w:adjustRightInd w:val="0"/>
              <w:rPr>
                <w:rFonts w:cstheme="minorHAnsi"/>
                <w:color w:val="1A73E9"/>
                <w:sz w:val="22"/>
                <w:szCs w:val="22"/>
              </w:rPr>
            </w:pPr>
            <w:r w:rsidRPr="00D858FF">
              <w:rPr>
                <w:rFonts w:cstheme="minorHAnsi"/>
                <w:color w:val="000000" w:themeColor="text1"/>
                <w:sz w:val="22"/>
                <w:szCs w:val="22"/>
              </w:rPr>
              <w:t xml:space="preserve">make useful connections to domain names involved in </w:t>
            </w:r>
            <w:proofErr w:type="spellStart"/>
            <w:r w:rsidRPr="00D858FF">
              <w:rPr>
                <w:rFonts w:cstheme="minorHAnsi"/>
                <w:color w:val="000000" w:themeColor="text1"/>
                <w:sz w:val="22"/>
                <w:szCs w:val="22"/>
              </w:rPr>
              <w:t>cyber crime</w:t>
            </w:r>
            <w:proofErr w:type="spellEnd"/>
            <w:r w:rsidRPr="00D858FF">
              <w:rPr>
                <w:rFonts w:cstheme="minorHAnsi"/>
                <w:color w:val="000000" w:themeColor="text1"/>
                <w:sz w:val="22"/>
                <w:szCs w:val="22"/>
              </w:rPr>
              <w:t>. This use case is</w:t>
            </w:r>
            <w:r>
              <w:rPr>
                <w:rFonts w:cstheme="minorHAnsi"/>
                <w:color w:val="000000" w:themeColor="text1"/>
                <w:sz w:val="22"/>
                <w:szCs w:val="22"/>
              </w:rPr>
              <w:t xml:space="preserve"> </w:t>
            </w:r>
            <w:r w:rsidRPr="00D858FF">
              <w:rPr>
                <w:rFonts w:cstheme="minorHAnsi"/>
                <w:color w:val="000000" w:themeColor="text1"/>
                <w:sz w:val="22"/>
                <w:szCs w:val="22"/>
              </w:rPr>
              <w:t>very narrow and assumes that cyber criminals re-use the registration data over and over</w:t>
            </w:r>
            <w:r>
              <w:rPr>
                <w:rFonts w:cstheme="minorHAnsi"/>
                <w:color w:val="000000" w:themeColor="text1"/>
                <w:sz w:val="22"/>
                <w:szCs w:val="22"/>
              </w:rPr>
              <w:t xml:space="preserve"> </w:t>
            </w:r>
            <w:r w:rsidRPr="00D858FF">
              <w:rPr>
                <w:rFonts w:cstheme="minorHAnsi"/>
                <w:color w:val="000000" w:themeColor="text1"/>
                <w:sz w:val="22"/>
                <w:szCs w:val="22"/>
              </w:rPr>
              <w:t>which is often NOT the case. Creating fake data is as easy as clicking a button;</w:t>
            </w:r>
            <w:r>
              <w:rPr>
                <w:rFonts w:cstheme="minorHAnsi"/>
                <w:color w:val="000000" w:themeColor="text1"/>
                <w:sz w:val="22"/>
                <w:szCs w:val="22"/>
              </w:rPr>
              <w:t xml:space="preserve"> </w:t>
            </w:r>
            <w:hyperlink r:id="rId5" w:history="1">
              <w:r w:rsidRPr="00460A54">
                <w:rPr>
                  <w:rStyle w:val="Hyperlink"/>
                  <w:rFonts w:cstheme="minorHAnsi"/>
                  <w:sz w:val="22"/>
                  <w:szCs w:val="22"/>
                </w:rPr>
                <w:t>https://cyber-hub.net/fake_info.php</w:t>
              </w:r>
            </w:hyperlink>
          </w:p>
          <w:p w14:paraId="71A2B194" w14:textId="77777777" w:rsidR="00D858FF" w:rsidRDefault="00D858FF" w:rsidP="00D858FF">
            <w:pPr>
              <w:autoSpaceDE w:val="0"/>
              <w:autoSpaceDN w:val="0"/>
              <w:adjustRightInd w:val="0"/>
              <w:rPr>
                <w:rFonts w:cstheme="minorHAnsi"/>
                <w:color w:val="000000" w:themeColor="text1"/>
                <w:sz w:val="22"/>
                <w:szCs w:val="22"/>
              </w:rPr>
            </w:pPr>
            <w:r>
              <w:rPr>
                <w:rFonts w:cstheme="minorHAnsi"/>
                <w:color w:val="000000" w:themeColor="text1"/>
                <w:sz w:val="22"/>
                <w:szCs w:val="22"/>
              </w:rPr>
              <w:t xml:space="preserve">(third bullet) </w:t>
            </w:r>
            <w:r w:rsidRPr="00D858FF">
              <w:rPr>
                <w:rFonts w:cstheme="minorHAnsi"/>
                <w:color w:val="000000" w:themeColor="text1"/>
                <w:sz w:val="22"/>
                <w:szCs w:val="22"/>
              </w:rPr>
              <w:t>The CPH believes this example should be removed as it is no longer needed. The UDRP</w:t>
            </w:r>
            <w:r>
              <w:rPr>
                <w:rFonts w:cstheme="minorHAnsi"/>
                <w:color w:val="000000" w:themeColor="text1"/>
                <w:sz w:val="22"/>
                <w:szCs w:val="22"/>
              </w:rPr>
              <w:t xml:space="preserve"> </w:t>
            </w:r>
            <w:r w:rsidRPr="00D858FF">
              <w:rPr>
                <w:rFonts w:cstheme="minorHAnsi"/>
                <w:color w:val="000000" w:themeColor="text1"/>
                <w:sz w:val="22"/>
                <w:szCs w:val="22"/>
              </w:rPr>
              <w:t>case can be filed with only public info &amp; the UDRP Provider already confirms domain</w:t>
            </w:r>
            <w:r>
              <w:rPr>
                <w:rFonts w:cstheme="minorHAnsi"/>
                <w:color w:val="000000" w:themeColor="text1"/>
                <w:sz w:val="22"/>
                <w:szCs w:val="22"/>
              </w:rPr>
              <w:t xml:space="preserve"> </w:t>
            </w:r>
            <w:r w:rsidRPr="00D858FF">
              <w:rPr>
                <w:rFonts w:cstheme="minorHAnsi"/>
                <w:color w:val="000000" w:themeColor="text1"/>
                <w:sz w:val="22"/>
                <w:szCs w:val="22"/>
              </w:rPr>
              <w:t>ownership data with the Registrar</w:t>
            </w:r>
          </w:p>
          <w:p w14:paraId="6528EB6B" w14:textId="6395DCEC" w:rsidR="00D858FF" w:rsidRPr="00D858FF" w:rsidRDefault="00D858FF" w:rsidP="00D858FF">
            <w:pPr>
              <w:autoSpaceDE w:val="0"/>
              <w:autoSpaceDN w:val="0"/>
              <w:adjustRightInd w:val="0"/>
              <w:rPr>
                <w:rFonts w:cstheme="minorHAnsi"/>
                <w:color w:val="000000" w:themeColor="text1"/>
                <w:sz w:val="22"/>
                <w:szCs w:val="22"/>
              </w:rPr>
            </w:pPr>
            <w:r>
              <w:rPr>
                <w:rFonts w:cstheme="minorHAnsi"/>
                <w:color w:val="000000" w:themeColor="text1"/>
                <w:sz w:val="22"/>
                <w:szCs w:val="22"/>
              </w:rPr>
              <w:t xml:space="preserve">(fourth bullet) </w:t>
            </w:r>
            <w:r w:rsidRPr="00D858FF">
              <w:rPr>
                <w:rFonts w:cstheme="minorHAnsi"/>
                <w:color w:val="000000" w:themeColor="text1"/>
                <w:sz w:val="22"/>
                <w:szCs w:val="22"/>
              </w:rPr>
              <w:t>The CPH believes this example should not include 'previous actions taken against a</w:t>
            </w:r>
            <w:r>
              <w:rPr>
                <w:rFonts w:cstheme="minorHAnsi"/>
                <w:color w:val="000000" w:themeColor="text1"/>
                <w:sz w:val="22"/>
                <w:szCs w:val="22"/>
              </w:rPr>
              <w:t xml:space="preserve"> </w:t>
            </w:r>
            <w:r w:rsidRPr="00D858FF">
              <w:rPr>
                <w:rFonts w:cstheme="minorHAnsi"/>
                <w:color w:val="000000" w:themeColor="text1"/>
                <w:sz w:val="22"/>
                <w:szCs w:val="22"/>
              </w:rPr>
              <w:t>registrant' as there is no reverse search.</w:t>
            </w:r>
          </w:p>
        </w:tc>
      </w:tr>
      <w:tr w:rsidR="00005EF6" w14:paraId="7B5A25D8" w14:textId="77777777" w:rsidTr="00005EF6">
        <w:tc>
          <w:tcPr>
            <w:tcW w:w="4675" w:type="dxa"/>
          </w:tcPr>
          <w:p w14:paraId="1C910EA4" w14:textId="61FA8535" w:rsidR="00005EF6" w:rsidRPr="00F010C5" w:rsidRDefault="00005EF6" w:rsidP="00005EF6">
            <w:pPr>
              <w:pStyle w:val="ListParagraph"/>
              <w:numPr>
                <w:ilvl w:val="0"/>
                <w:numId w:val="1"/>
              </w:numPr>
              <w:spacing w:after="0" w:afterAutospacing="0"/>
              <w:ind w:hanging="112"/>
              <w:rPr>
                <w:rFonts w:ascii="Calibri" w:hAnsi="Calibri" w:cs="Calibri"/>
                <w:b/>
                <w:bCs/>
                <w:color w:val="000000"/>
                <w:sz w:val="22"/>
                <w:szCs w:val="22"/>
              </w:rPr>
            </w:pPr>
            <w:r w:rsidRPr="00F010C5">
              <w:rPr>
                <w:rFonts w:ascii="Calibri" w:hAnsi="Calibri" w:cs="Calibri"/>
                <w:b/>
                <w:bCs/>
                <w:color w:val="000000"/>
                <w:sz w:val="22"/>
                <w:szCs w:val="22"/>
              </w:rPr>
              <w:lastRenderedPageBreak/>
              <w:t>Validate domain name ownership for SSL cert requests</w:t>
            </w:r>
          </w:p>
        </w:tc>
        <w:tc>
          <w:tcPr>
            <w:tcW w:w="4675" w:type="dxa"/>
          </w:tcPr>
          <w:p w14:paraId="1DC4FC93" w14:textId="6FB67C10" w:rsidR="007B6F65" w:rsidRPr="007B6F65" w:rsidRDefault="007B6F65" w:rsidP="007B6F65">
            <w:pPr>
              <w:autoSpaceDE w:val="0"/>
              <w:autoSpaceDN w:val="0"/>
              <w:adjustRightInd w:val="0"/>
              <w:rPr>
                <w:rFonts w:cstheme="minorHAnsi"/>
                <w:b/>
                <w:bCs/>
                <w:color w:val="000000" w:themeColor="text1"/>
                <w:sz w:val="22"/>
                <w:szCs w:val="22"/>
              </w:rPr>
            </w:pPr>
            <w:r w:rsidRPr="00D858FF">
              <w:rPr>
                <w:rFonts w:cstheme="minorHAnsi"/>
                <w:b/>
                <w:bCs/>
                <w:color w:val="000000" w:themeColor="text1"/>
                <w:sz w:val="22"/>
                <w:szCs w:val="22"/>
              </w:rPr>
              <w:t>Contracted Party House:</w:t>
            </w:r>
          </w:p>
          <w:p w14:paraId="032C4016" w14:textId="3E85601D" w:rsidR="007B6F65" w:rsidRPr="007B6F65" w:rsidRDefault="007B6F65" w:rsidP="007B6F65">
            <w:pPr>
              <w:autoSpaceDE w:val="0"/>
              <w:autoSpaceDN w:val="0"/>
              <w:adjustRightInd w:val="0"/>
              <w:rPr>
                <w:rFonts w:cstheme="minorHAnsi"/>
                <w:color w:val="000000" w:themeColor="text1"/>
                <w:sz w:val="22"/>
                <w:szCs w:val="22"/>
              </w:rPr>
            </w:pPr>
            <w:r w:rsidRPr="007B6F65">
              <w:rPr>
                <w:rFonts w:cstheme="minorHAnsi"/>
                <w:color w:val="000000" w:themeColor="text1"/>
                <w:sz w:val="22"/>
                <w:szCs w:val="22"/>
              </w:rPr>
              <w:t>The CPH does not support this being listed as a purpose. There are other technical methods to</w:t>
            </w:r>
          </w:p>
          <w:p w14:paraId="53A340E4" w14:textId="77777777" w:rsidR="007B6F65" w:rsidRPr="007B6F65" w:rsidRDefault="007B6F65" w:rsidP="007B6F65">
            <w:pPr>
              <w:autoSpaceDE w:val="0"/>
              <w:autoSpaceDN w:val="0"/>
              <w:adjustRightInd w:val="0"/>
              <w:rPr>
                <w:rFonts w:cstheme="minorHAnsi"/>
                <w:color w:val="000000" w:themeColor="text1"/>
                <w:sz w:val="22"/>
                <w:szCs w:val="22"/>
              </w:rPr>
            </w:pPr>
            <w:r w:rsidRPr="007B6F65">
              <w:rPr>
                <w:rFonts w:cstheme="minorHAnsi"/>
                <w:color w:val="000000" w:themeColor="text1"/>
                <w:sz w:val="22"/>
                <w:szCs w:val="22"/>
              </w:rPr>
              <w:t>achieve this and Cert Providers have modified their processes already. Domain name ownership</w:t>
            </w:r>
          </w:p>
          <w:p w14:paraId="03EB77A8" w14:textId="38FD4DD0" w:rsidR="00005EF6" w:rsidRDefault="007B6F65" w:rsidP="007B6F65">
            <w:pPr>
              <w:autoSpaceDE w:val="0"/>
              <w:autoSpaceDN w:val="0"/>
              <w:adjustRightInd w:val="0"/>
            </w:pPr>
            <w:r w:rsidRPr="007B6F65">
              <w:rPr>
                <w:rFonts w:cstheme="minorHAnsi"/>
                <w:color w:val="000000" w:themeColor="text1"/>
                <w:sz w:val="22"/>
                <w:szCs w:val="22"/>
              </w:rPr>
              <w:t>could instead be verified by adding info in DNS (like the TXT record)</w:t>
            </w:r>
          </w:p>
        </w:tc>
      </w:tr>
      <w:tr w:rsidR="007B6F65" w14:paraId="5C410EDC" w14:textId="77777777" w:rsidTr="00005EF6">
        <w:tc>
          <w:tcPr>
            <w:tcW w:w="4675" w:type="dxa"/>
          </w:tcPr>
          <w:p w14:paraId="375149FA" w14:textId="60217E98" w:rsidR="007B6F65" w:rsidRPr="00F010C5" w:rsidRDefault="007B6F65" w:rsidP="007B6F65">
            <w:pPr>
              <w:pStyle w:val="ListParagraph"/>
              <w:numPr>
                <w:ilvl w:val="0"/>
                <w:numId w:val="1"/>
              </w:numPr>
              <w:spacing w:after="0" w:afterAutospacing="0"/>
              <w:ind w:hanging="112"/>
              <w:rPr>
                <w:rFonts w:ascii="Calibri" w:hAnsi="Calibri" w:cs="Calibri"/>
                <w:b/>
                <w:bCs/>
                <w:color w:val="000000"/>
                <w:sz w:val="22"/>
                <w:szCs w:val="22"/>
              </w:rPr>
            </w:pPr>
            <w:r w:rsidRPr="00F010C5">
              <w:rPr>
                <w:rFonts w:ascii="Calibri" w:hAnsi="Calibri" w:cs="Calibri"/>
                <w:b/>
                <w:bCs/>
                <w:color w:val="000000"/>
                <w:sz w:val="22"/>
                <w:szCs w:val="22"/>
              </w:rPr>
              <w:t>A user group may have a legitimate interest to request what data a controller holds that pertains to their domain name registration.</w:t>
            </w:r>
          </w:p>
        </w:tc>
        <w:tc>
          <w:tcPr>
            <w:tcW w:w="4675" w:type="dxa"/>
          </w:tcPr>
          <w:p w14:paraId="42A24A96" w14:textId="77777777" w:rsidR="007B6F65" w:rsidRPr="007B6F65" w:rsidRDefault="007B6F65" w:rsidP="007B6F65">
            <w:pPr>
              <w:autoSpaceDE w:val="0"/>
              <w:autoSpaceDN w:val="0"/>
              <w:adjustRightInd w:val="0"/>
              <w:rPr>
                <w:rFonts w:cstheme="minorHAnsi"/>
                <w:b/>
                <w:bCs/>
                <w:color w:val="000000" w:themeColor="text1"/>
                <w:sz w:val="22"/>
                <w:szCs w:val="22"/>
              </w:rPr>
            </w:pPr>
            <w:r w:rsidRPr="00D858FF">
              <w:rPr>
                <w:rFonts w:cstheme="minorHAnsi"/>
                <w:b/>
                <w:bCs/>
                <w:color w:val="000000" w:themeColor="text1"/>
                <w:sz w:val="22"/>
                <w:szCs w:val="22"/>
              </w:rPr>
              <w:t>Contracted Party House:</w:t>
            </w:r>
          </w:p>
          <w:p w14:paraId="0A17249B" w14:textId="13FD99E2" w:rsidR="007B6F65" w:rsidRPr="007B6F65" w:rsidRDefault="007B6F65" w:rsidP="007B6F65">
            <w:pPr>
              <w:autoSpaceDE w:val="0"/>
              <w:autoSpaceDN w:val="0"/>
              <w:adjustRightInd w:val="0"/>
              <w:rPr>
                <w:rFonts w:cstheme="minorHAnsi"/>
                <w:color w:val="000000" w:themeColor="text1"/>
                <w:sz w:val="22"/>
                <w:szCs w:val="22"/>
              </w:rPr>
            </w:pPr>
            <w:r w:rsidRPr="007B6F65">
              <w:rPr>
                <w:rFonts w:cstheme="minorHAnsi"/>
                <w:color w:val="000000" w:themeColor="text1"/>
                <w:sz w:val="22"/>
                <w:szCs w:val="22"/>
              </w:rPr>
              <w:t>The CPH does not support this being listed as a purpose. If this is in reference to the data</w:t>
            </w:r>
            <w:r>
              <w:rPr>
                <w:rFonts w:cstheme="minorHAnsi"/>
                <w:color w:val="000000" w:themeColor="text1"/>
                <w:sz w:val="22"/>
                <w:szCs w:val="22"/>
              </w:rPr>
              <w:t xml:space="preserve"> </w:t>
            </w:r>
            <w:r w:rsidRPr="007B6F65">
              <w:rPr>
                <w:rFonts w:cstheme="minorHAnsi"/>
                <w:color w:val="000000" w:themeColor="text1"/>
                <w:sz w:val="22"/>
                <w:szCs w:val="22"/>
              </w:rPr>
              <w:t>subject, then the Controller already has an access process in place. A data subject does not</w:t>
            </w:r>
            <w:r>
              <w:rPr>
                <w:rFonts w:cstheme="minorHAnsi"/>
                <w:color w:val="000000" w:themeColor="text1"/>
                <w:sz w:val="22"/>
                <w:szCs w:val="22"/>
              </w:rPr>
              <w:t xml:space="preserve"> </w:t>
            </w:r>
            <w:r w:rsidRPr="007B6F65">
              <w:rPr>
                <w:rFonts w:cstheme="minorHAnsi"/>
                <w:color w:val="000000" w:themeColor="text1"/>
                <w:sz w:val="22"/>
                <w:szCs w:val="22"/>
              </w:rPr>
              <w:t>need to be a SSAD user to request this data, and in fact we should stop considering them as one</w:t>
            </w:r>
            <w:r>
              <w:rPr>
                <w:rFonts w:cstheme="minorHAnsi"/>
                <w:color w:val="000000" w:themeColor="text1"/>
                <w:sz w:val="22"/>
                <w:szCs w:val="22"/>
              </w:rPr>
              <w:t xml:space="preserve"> </w:t>
            </w:r>
            <w:r w:rsidRPr="007B6F65">
              <w:rPr>
                <w:rFonts w:cstheme="minorHAnsi"/>
                <w:color w:val="000000" w:themeColor="text1"/>
                <w:sz w:val="22"/>
                <w:szCs w:val="22"/>
              </w:rPr>
              <w:t>of the 'users' and more as the only party who has rights in this situation.</w:t>
            </w:r>
          </w:p>
          <w:p w14:paraId="448FD090" w14:textId="34E40BFA" w:rsidR="007B6F65" w:rsidRPr="00D858FF" w:rsidRDefault="007B6F65" w:rsidP="007B6F65">
            <w:pPr>
              <w:autoSpaceDE w:val="0"/>
              <w:autoSpaceDN w:val="0"/>
              <w:adjustRightInd w:val="0"/>
              <w:rPr>
                <w:rFonts w:cstheme="minorHAnsi"/>
                <w:b/>
                <w:bCs/>
                <w:color w:val="000000" w:themeColor="text1"/>
                <w:sz w:val="22"/>
                <w:szCs w:val="22"/>
              </w:rPr>
            </w:pPr>
            <w:r w:rsidRPr="007B6F65">
              <w:rPr>
                <w:rFonts w:cstheme="minorHAnsi"/>
                <w:color w:val="000000" w:themeColor="text1"/>
                <w:sz w:val="22"/>
                <w:szCs w:val="22"/>
              </w:rPr>
              <w:t xml:space="preserve">If it's a third </w:t>
            </w:r>
            <w:proofErr w:type="gramStart"/>
            <w:r w:rsidRPr="007B6F65">
              <w:rPr>
                <w:rFonts w:cstheme="minorHAnsi"/>
                <w:color w:val="000000" w:themeColor="text1"/>
                <w:sz w:val="22"/>
                <w:szCs w:val="22"/>
              </w:rPr>
              <w:t>party</w:t>
            </w:r>
            <w:proofErr w:type="gramEnd"/>
            <w:r w:rsidRPr="007B6F65">
              <w:rPr>
                <w:rFonts w:cstheme="minorHAnsi"/>
                <w:color w:val="000000" w:themeColor="text1"/>
                <w:sz w:val="22"/>
                <w:szCs w:val="22"/>
              </w:rPr>
              <w:t xml:space="preserve"> then they would need to fall under one of the relevant purposes listed above.</w:t>
            </w:r>
          </w:p>
        </w:tc>
      </w:tr>
    </w:tbl>
    <w:p w14:paraId="570D6BA9" w14:textId="77777777" w:rsidR="000B7A30" w:rsidRDefault="000B7A30"/>
    <w:sectPr w:rsidR="000B7A30"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Ωá˛">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64525"/>
    <w:multiLevelType w:val="hybridMultilevel"/>
    <w:tmpl w:val="6B80646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32021B"/>
    <w:multiLevelType w:val="hybridMultilevel"/>
    <w:tmpl w:val="7DAA4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875E5B"/>
    <w:multiLevelType w:val="hybridMultilevel"/>
    <w:tmpl w:val="45EA6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791CD1"/>
    <w:multiLevelType w:val="hybridMultilevel"/>
    <w:tmpl w:val="7EE8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4793E"/>
    <w:multiLevelType w:val="hybridMultilevel"/>
    <w:tmpl w:val="3424C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B2248F"/>
    <w:multiLevelType w:val="hybridMultilevel"/>
    <w:tmpl w:val="6B80646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F6"/>
    <w:rsid w:val="00005EF6"/>
    <w:rsid w:val="000B7A30"/>
    <w:rsid w:val="00133C7A"/>
    <w:rsid w:val="00246C3B"/>
    <w:rsid w:val="00385D74"/>
    <w:rsid w:val="004210BD"/>
    <w:rsid w:val="005E720C"/>
    <w:rsid w:val="005F102F"/>
    <w:rsid w:val="007B6F65"/>
    <w:rsid w:val="007F1FED"/>
    <w:rsid w:val="008363A6"/>
    <w:rsid w:val="00A2771D"/>
    <w:rsid w:val="00A95DB4"/>
    <w:rsid w:val="00B34569"/>
    <w:rsid w:val="00BE5129"/>
    <w:rsid w:val="00D858FF"/>
    <w:rsid w:val="00E53B3D"/>
    <w:rsid w:val="00EF35AF"/>
    <w:rsid w:val="00F010C5"/>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5A5B3B"/>
  <w15:chartTrackingRefBased/>
  <w15:docId w15:val="{D1544D93-3457-0447-A53B-B12C11F6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5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5EF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05EF6"/>
  </w:style>
  <w:style w:type="character" w:styleId="Hyperlink">
    <w:name w:val="Hyperlink"/>
    <w:basedOn w:val="DefaultParagraphFont"/>
    <w:uiPriority w:val="99"/>
    <w:unhideWhenUsed/>
    <w:rsid w:val="00D858FF"/>
    <w:rPr>
      <w:color w:val="0563C1" w:themeColor="hyperlink"/>
      <w:u w:val="single"/>
    </w:rPr>
  </w:style>
  <w:style w:type="character" w:styleId="UnresolvedMention">
    <w:name w:val="Unresolved Mention"/>
    <w:basedOn w:val="DefaultParagraphFont"/>
    <w:uiPriority w:val="99"/>
    <w:semiHidden/>
    <w:unhideWhenUsed/>
    <w:rsid w:val="00D858FF"/>
    <w:rPr>
      <w:color w:val="605E5C"/>
      <w:shd w:val="clear" w:color="auto" w:fill="E1DFDD"/>
    </w:rPr>
  </w:style>
  <w:style w:type="paragraph" w:styleId="BalloonText">
    <w:name w:val="Balloon Text"/>
    <w:basedOn w:val="Normal"/>
    <w:link w:val="BalloonTextChar"/>
    <w:uiPriority w:val="99"/>
    <w:semiHidden/>
    <w:unhideWhenUsed/>
    <w:rsid w:val="00A95D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5DB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5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yber-hub.net/fake_info.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1808</Words>
  <Characters>9986</Characters>
  <Application>Microsoft Office Word</Application>
  <DocSecurity>0</DocSecurity>
  <Lines>188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2019-06-19T16:29:00Z</dcterms:created>
  <dcterms:modified xsi:type="dcterms:W3CDTF">2019-06-19T16:29:00Z</dcterms:modified>
</cp:coreProperties>
</file>