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E1C586" w14:textId="77777777" w:rsidR="00BF3C47" w:rsidRDefault="00BF3C47"/>
    <w:p w14:paraId="5142A5A1" w14:textId="77777777" w:rsidR="001979EB" w:rsidRDefault="001979EB"/>
    <w:p w14:paraId="38801F9F" w14:textId="77777777" w:rsidR="00FF10EF" w:rsidRPr="00C46F4F" w:rsidRDefault="00FF10EF" w:rsidP="00FF10EF">
      <w:pPr>
        <w:rPr>
          <w:rFonts w:asciiTheme="minorHAnsi" w:hAnsiTheme="minorHAnsi" w:cstheme="minorHAnsi"/>
          <w:b/>
        </w:rPr>
      </w:pPr>
      <w:r w:rsidRPr="00C46F4F">
        <w:rPr>
          <w:rFonts w:asciiTheme="minorHAnsi" w:hAnsiTheme="minorHAnsi" w:cstheme="minorHAnsi"/>
          <w:b/>
        </w:rPr>
        <w:t>EPDP Team on the Temporary Specification for </w:t>
      </w:r>
      <w:proofErr w:type="spellStart"/>
      <w:r w:rsidRPr="00C46F4F">
        <w:rPr>
          <w:rFonts w:asciiTheme="minorHAnsi" w:hAnsiTheme="minorHAnsi" w:cstheme="minorHAnsi"/>
          <w:b/>
        </w:rPr>
        <w:t>gTLD</w:t>
      </w:r>
      <w:proofErr w:type="spellEnd"/>
      <w:r w:rsidRPr="00C46F4F">
        <w:rPr>
          <w:rFonts w:asciiTheme="minorHAnsi" w:hAnsiTheme="minorHAnsi" w:cstheme="minorHAnsi"/>
          <w:b/>
        </w:rPr>
        <w:t> Registration Data</w:t>
      </w:r>
    </w:p>
    <w:p w14:paraId="2649D76D" w14:textId="77777777" w:rsidR="00FF10EF" w:rsidRDefault="00FF10EF" w:rsidP="00FF10EF">
      <w:pPr>
        <w:rPr>
          <w:rFonts w:asciiTheme="minorHAnsi" w:hAnsiTheme="minorHAnsi" w:cstheme="minorHAnsi"/>
          <w:b/>
          <w:sz w:val="22"/>
          <w:szCs w:val="22"/>
        </w:rPr>
      </w:pPr>
    </w:p>
    <w:p w14:paraId="79DA4111" w14:textId="11B30EBC" w:rsidR="00FF10EF" w:rsidRDefault="00FF10EF" w:rsidP="00FF10EF">
      <w:pPr>
        <w:rPr>
          <w:rFonts w:asciiTheme="minorHAnsi" w:hAnsiTheme="minorHAnsi" w:cstheme="minorHAnsi"/>
          <w:b/>
          <w:sz w:val="22"/>
          <w:szCs w:val="22"/>
        </w:rPr>
      </w:pPr>
      <w:r>
        <w:rPr>
          <w:rFonts w:asciiTheme="minorHAnsi" w:hAnsiTheme="minorHAnsi" w:cstheme="minorHAnsi"/>
          <w:b/>
          <w:sz w:val="22"/>
          <w:szCs w:val="22"/>
        </w:rPr>
        <w:t xml:space="preserve">Final Report Recommendation Summaries – </w:t>
      </w:r>
      <w:r w:rsidR="00E07C92">
        <w:rPr>
          <w:rFonts w:asciiTheme="minorHAnsi" w:hAnsiTheme="minorHAnsi" w:cstheme="minorHAnsi"/>
          <w:b/>
          <w:sz w:val="22"/>
          <w:szCs w:val="22"/>
        </w:rPr>
        <w:t xml:space="preserve">Designation </w:t>
      </w:r>
      <w:r>
        <w:rPr>
          <w:rFonts w:asciiTheme="minorHAnsi" w:hAnsiTheme="minorHAnsi" w:cstheme="minorHAnsi"/>
          <w:b/>
          <w:sz w:val="22"/>
          <w:szCs w:val="22"/>
        </w:rPr>
        <w:t xml:space="preserve">of Consensus </w:t>
      </w:r>
    </w:p>
    <w:p w14:paraId="44FF2C86" w14:textId="77777777" w:rsidR="00FF10EF" w:rsidRDefault="00FF10EF" w:rsidP="00FF10EF">
      <w:pPr>
        <w:rPr>
          <w:rFonts w:asciiTheme="minorHAnsi" w:hAnsiTheme="minorHAnsi" w:cstheme="minorHAnsi"/>
          <w:b/>
          <w:sz w:val="22"/>
          <w:szCs w:val="22"/>
        </w:rPr>
      </w:pPr>
    </w:p>
    <w:p w14:paraId="0C5BFA8F" w14:textId="77777777" w:rsidR="00FF10EF" w:rsidRDefault="00FF10EF" w:rsidP="00FF10EF">
      <w:pPr>
        <w:rPr>
          <w:rFonts w:asciiTheme="minorHAnsi" w:hAnsiTheme="minorHAnsi" w:cstheme="minorHAnsi"/>
          <w:b/>
          <w:sz w:val="22"/>
          <w:szCs w:val="22"/>
        </w:rPr>
      </w:pPr>
      <w:r>
        <w:rPr>
          <w:rFonts w:asciiTheme="minorHAnsi" w:hAnsiTheme="minorHAnsi" w:cstheme="minorHAnsi"/>
          <w:b/>
          <w:sz w:val="22"/>
          <w:szCs w:val="22"/>
        </w:rPr>
        <w:t>Introduction</w:t>
      </w:r>
    </w:p>
    <w:p w14:paraId="3FA7E650" w14:textId="77777777" w:rsidR="00FF10EF" w:rsidRDefault="00FF10EF" w:rsidP="00FF10EF">
      <w:pPr>
        <w:rPr>
          <w:rFonts w:asciiTheme="minorHAnsi" w:hAnsiTheme="minorHAnsi" w:cstheme="minorHAnsi"/>
          <w:b/>
          <w:sz w:val="22"/>
          <w:szCs w:val="22"/>
        </w:rPr>
      </w:pPr>
    </w:p>
    <w:p w14:paraId="273B64E7" w14:textId="728A6E1D" w:rsidR="00FF10EF" w:rsidRDefault="00FF10EF" w:rsidP="00FF10EF">
      <w:pPr>
        <w:rPr>
          <w:rFonts w:asciiTheme="minorHAnsi" w:hAnsiTheme="minorHAnsi" w:cstheme="minorHAnsi"/>
          <w:sz w:val="22"/>
          <w:szCs w:val="22"/>
        </w:rPr>
      </w:pPr>
      <w:r>
        <w:rPr>
          <w:rFonts w:asciiTheme="minorHAnsi" w:hAnsiTheme="minorHAnsi" w:cstheme="minorHAnsi"/>
          <w:sz w:val="22"/>
          <w:szCs w:val="22"/>
        </w:rPr>
        <w:t xml:space="preserve">As described in the accompanying email, below is the </w:t>
      </w:r>
      <w:r w:rsidR="00581A35">
        <w:rPr>
          <w:rFonts w:asciiTheme="minorHAnsi" w:hAnsiTheme="minorHAnsi" w:cstheme="minorHAnsi"/>
          <w:sz w:val="22"/>
          <w:szCs w:val="22"/>
        </w:rPr>
        <w:t>third</w:t>
      </w:r>
      <w:r>
        <w:rPr>
          <w:rFonts w:asciiTheme="minorHAnsi" w:hAnsiTheme="minorHAnsi" w:cstheme="minorHAnsi"/>
          <w:sz w:val="22"/>
          <w:szCs w:val="22"/>
        </w:rPr>
        <w:t xml:space="preserve"> set of Recommendations and the Chair’s designation as to the level of Consensus on each. </w:t>
      </w:r>
      <w:r w:rsidRPr="00AB4AEF">
        <w:rPr>
          <w:rFonts w:asciiTheme="minorHAnsi" w:hAnsiTheme="minorHAnsi" w:cstheme="minorHAnsi"/>
          <w:sz w:val="22"/>
          <w:szCs w:val="22"/>
        </w:rPr>
        <w:t>Each contains the shorthand title and the wording of the recommendation in the final report. It is important to note that the shorthand title does not appear in the final report, just the recommendation itself plus the accompanying explanation that you can read in the currently posted version</w:t>
      </w:r>
      <w:r>
        <w:rPr>
          <w:rFonts w:asciiTheme="minorHAnsi" w:hAnsiTheme="minorHAnsi" w:cstheme="minorHAnsi"/>
          <w:sz w:val="22"/>
          <w:szCs w:val="22"/>
        </w:rPr>
        <w:t xml:space="preserve"> of the final report</w:t>
      </w:r>
      <w:r w:rsidRPr="00AB4AEF">
        <w:rPr>
          <w:rFonts w:asciiTheme="minorHAnsi" w:hAnsiTheme="minorHAnsi" w:cstheme="minorHAnsi"/>
          <w:sz w:val="22"/>
          <w:szCs w:val="22"/>
        </w:rPr>
        <w:t xml:space="preserve">. </w:t>
      </w:r>
    </w:p>
    <w:p w14:paraId="2C9AC397" w14:textId="77777777" w:rsidR="00FF10EF" w:rsidRDefault="00FF10EF" w:rsidP="00FF10EF">
      <w:pPr>
        <w:rPr>
          <w:rFonts w:asciiTheme="minorHAnsi" w:hAnsiTheme="minorHAnsi" w:cstheme="minorHAnsi"/>
          <w:sz w:val="22"/>
          <w:szCs w:val="22"/>
        </w:rPr>
      </w:pPr>
    </w:p>
    <w:p w14:paraId="5C8F603B" w14:textId="09674803" w:rsidR="006A2685" w:rsidRDefault="00581A35" w:rsidP="00FF10EF">
      <w:pPr>
        <w:rPr>
          <w:rFonts w:asciiTheme="minorHAnsi" w:hAnsiTheme="minorHAnsi" w:cstheme="minorHAnsi"/>
          <w:b/>
          <w:i/>
          <w:sz w:val="22"/>
          <w:szCs w:val="22"/>
        </w:rPr>
      </w:pPr>
      <w:r w:rsidRPr="00E07C92">
        <w:rPr>
          <w:rFonts w:asciiTheme="minorHAnsi" w:hAnsiTheme="minorHAnsi" w:cstheme="minorHAnsi"/>
          <w:b/>
          <w:i/>
          <w:sz w:val="22"/>
          <w:szCs w:val="22"/>
        </w:rPr>
        <w:t>On this third set you will see that I have held off on the designation of selected Recommendations where</w:t>
      </w:r>
      <w:r w:rsidR="00E07C92" w:rsidRPr="00E07C92">
        <w:rPr>
          <w:rFonts w:asciiTheme="minorHAnsi" w:hAnsiTheme="minorHAnsi" w:cstheme="minorHAnsi"/>
          <w:b/>
          <w:i/>
          <w:sz w:val="22"/>
          <w:szCs w:val="22"/>
        </w:rPr>
        <w:t xml:space="preserve"> new language dictates the passing of some time for review or where</w:t>
      </w:r>
      <w:r w:rsidRPr="00E07C92">
        <w:rPr>
          <w:rFonts w:asciiTheme="minorHAnsi" w:hAnsiTheme="minorHAnsi" w:cstheme="minorHAnsi"/>
          <w:b/>
          <w:i/>
          <w:sz w:val="22"/>
          <w:szCs w:val="22"/>
        </w:rPr>
        <w:t xml:space="preserve"> I believe receipt of additional information such as independent legal advice might resolve a difference.</w:t>
      </w:r>
      <w:r w:rsidR="000568C9">
        <w:rPr>
          <w:rFonts w:asciiTheme="minorHAnsi" w:hAnsiTheme="minorHAnsi" w:cstheme="minorHAnsi"/>
          <w:b/>
          <w:i/>
          <w:sz w:val="22"/>
          <w:szCs w:val="22"/>
        </w:rPr>
        <w:t xml:space="preserve"> There</w:t>
      </w:r>
      <w:r w:rsidR="004C61CC">
        <w:rPr>
          <w:rFonts w:asciiTheme="minorHAnsi" w:hAnsiTheme="minorHAnsi" w:cstheme="minorHAnsi"/>
          <w:b/>
          <w:i/>
          <w:sz w:val="22"/>
          <w:szCs w:val="22"/>
        </w:rPr>
        <w:t>f</w:t>
      </w:r>
      <w:r w:rsidR="000568C9">
        <w:rPr>
          <w:rFonts w:asciiTheme="minorHAnsi" w:hAnsiTheme="minorHAnsi" w:cstheme="minorHAnsi"/>
          <w:b/>
          <w:i/>
          <w:sz w:val="22"/>
          <w:szCs w:val="22"/>
        </w:rPr>
        <w:t>o</w:t>
      </w:r>
      <w:r w:rsidR="004C61CC">
        <w:rPr>
          <w:rFonts w:asciiTheme="minorHAnsi" w:hAnsiTheme="minorHAnsi" w:cstheme="minorHAnsi"/>
          <w:b/>
          <w:i/>
          <w:sz w:val="22"/>
          <w:szCs w:val="22"/>
        </w:rPr>
        <w:t>re,</w:t>
      </w:r>
    </w:p>
    <w:p w14:paraId="6DF40CF8" w14:textId="2E018E32" w:rsidR="00581A35" w:rsidRDefault="004C61CC" w:rsidP="006A2685">
      <w:pPr>
        <w:pStyle w:val="ListParagraph"/>
        <w:numPr>
          <w:ilvl w:val="0"/>
          <w:numId w:val="45"/>
        </w:numPr>
        <w:rPr>
          <w:rFonts w:asciiTheme="minorHAnsi" w:hAnsiTheme="minorHAnsi" w:cstheme="minorHAnsi"/>
          <w:b/>
          <w:i/>
          <w:sz w:val="22"/>
          <w:szCs w:val="22"/>
        </w:rPr>
      </w:pPr>
      <w:r w:rsidRPr="006A2685">
        <w:rPr>
          <w:rFonts w:asciiTheme="minorHAnsi" w:hAnsiTheme="minorHAnsi" w:cstheme="minorHAnsi"/>
          <w:b/>
          <w:i/>
          <w:sz w:val="22"/>
          <w:szCs w:val="22"/>
        </w:rPr>
        <w:t>th</w:t>
      </w:r>
      <w:bookmarkStart w:id="0" w:name="_GoBack"/>
      <w:bookmarkEnd w:id="0"/>
      <w:r w:rsidRPr="006A2685">
        <w:rPr>
          <w:rFonts w:asciiTheme="minorHAnsi" w:hAnsiTheme="minorHAnsi" w:cstheme="minorHAnsi"/>
          <w:b/>
          <w:i/>
          <w:sz w:val="22"/>
          <w:szCs w:val="22"/>
        </w:rPr>
        <w:t xml:space="preserve">e first table below lists those Recommendations where a </w:t>
      </w:r>
      <w:r w:rsidR="006A2685" w:rsidRPr="006A2685">
        <w:rPr>
          <w:rFonts w:asciiTheme="minorHAnsi" w:hAnsiTheme="minorHAnsi" w:cstheme="minorHAnsi"/>
          <w:b/>
          <w:i/>
          <w:sz w:val="22"/>
          <w:szCs w:val="22"/>
        </w:rPr>
        <w:t>consensus designation has been made</w:t>
      </w:r>
    </w:p>
    <w:p w14:paraId="5FA2ABDB" w14:textId="2B28C993" w:rsidR="006A2685" w:rsidRDefault="006A2685" w:rsidP="006A2685">
      <w:pPr>
        <w:pStyle w:val="ListParagraph"/>
        <w:numPr>
          <w:ilvl w:val="0"/>
          <w:numId w:val="45"/>
        </w:numPr>
        <w:rPr>
          <w:rFonts w:asciiTheme="minorHAnsi" w:hAnsiTheme="minorHAnsi" w:cstheme="minorHAnsi"/>
          <w:b/>
          <w:i/>
          <w:sz w:val="22"/>
          <w:szCs w:val="22"/>
        </w:rPr>
      </w:pPr>
      <w:r>
        <w:rPr>
          <w:rFonts w:asciiTheme="minorHAnsi" w:hAnsiTheme="minorHAnsi" w:cstheme="minorHAnsi"/>
          <w:b/>
          <w:i/>
          <w:sz w:val="22"/>
          <w:szCs w:val="22"/>
        </w:rPr>
        <w:t xml:space="preserve">the second table lists those recommendations where a designation has not been made but a </w:t>
      </w:r>
      <w:r w:rsidR="00C46F4F">
        <w:rPr>
          <w:rFonts w:asciiTheme="minorHAnsi" w:hAnsiTheme="minorHAnsi" w:cstheme="minorHAnsi"/>
          <w:b/>
          <w:i/>
          <w:sz w:val="22"/>
          <w:szCs w:val="22"/>
        </w:rPr>
        <w:t xml:space="preserve">likely designation is indicated; it is intended to make </w:t>
      </w:r>
      <w:r w:rsidR="00CF6D10">
        <w:rPr>
          <w:rFonts w:asciiTheme="minorHAnsi" w:hAnsiTheme="minorHAnsi" w:cstheme="minorHAnsi"/>
          <w:b/>
          <w:i/>
          <w:sz w:val="22"/>
          <w:szCs w:val="22"/>
        </w:rPr>
        <w:t>these designations certain by 15</w:t>
      </w:r>
      <w:r w:rsidR="00C46F4F">
        <w:rPr>
          <w:rFonts w:asciiTheme="minorHAnsi" w:hAnsiTheme="minorHAnsi" w:cstheme="minorHAnsi"/>
          <w:b/>
          <w:i/>
          <w:sz w:val="22"/>
          <w:szCs w:val="22"/>
        </w:rPr>
        <w:t xml:space="preserve"> February</w:t>
      </w:r>
    </w:p>
    <w:p w14:paraId="423E5050" w14:textId="6B9BED7E" w:rsidR="00C46F4F" w:rsidRPr="006A2685" w:rsidRDefault="006A2685" w:rsidP="006A2685">
      <w:pPr>
        <w:rPr>
          <w:rFonts w:asciiTheme="minorHAnsi" w:hAnsiTheme="minorHAnsi" w:cstheme="minorHAnsi"/>
          <w:b/>
          <w:i/>
          <w:sz w:val="22"/>
          <w:szCs w:val="22"/>
        </w:rPr>
      </w:pPr>
      <w:r>
        <w:rPr>
          <w:rFonts w:asciiTheme="minorHAnsi" w:hAnsiTheme="minorHAnsi" w:cstheme="minorHAnsi"/>
          <w:b/>
          <w:i/>
          <w:sz w:val="22"/>
          <w:szCs w:val="22"/>
        </w:rPr>
        <w:t>I have added notes where I thought clarification would be helpful.</w:t>
      </w:r>
    </w:p>
    <w:p w14:paraId="43AF4C0B" w14:textId="46A27D01" w:rsidR="00581A35" w:rsidRDefault="00581A35" w:rsidP="00FF10EF">
      <w:pPr>
        <w:rPr>
          <w:rFonts w:asciiTheme="minorHAnsi" w:hAnsiTheme="minorHAnsi" w:cstheme="minorHAnsi"/>
          <w:sz w:val="22"/>
          <w:szCs w:val="22"/>
        </w:rPr>
      </w:pPr>
      <w:r>
        <w:rPr>
          <w:rFonts w:asciiTheme="minorHAnsi" w:hAnsiTheme="minorHAnsi" w:cstheme="minorHAnsi"/>
          <w:sz w:val="22"/>
          <w:szCs w:val="22"/>
        </w:rPr>
        <w:t xml:space="preserve"> </w:t>
      </w:r>
    </w:p>
    <w:p w14:paraId="5692B922" w14:textId="55D52B89" w:rsidR="00581A35" w:rsidRDefault="00581A35" w:rsidP="00FF10EF">
      <w:pPr>
        <w:rPr>
          <w:rFonts w:asciiTheme="minorHAnsi" w:hAnsiTheme="minorHAnsi" w:cstheme="minorHAnsi"/>
          <w:sz w:val="22"/>
          <w:szCs w:val="22"/>
        </w:rPr>
      </w:pPr>
      <w:r w:rsidRPr="00AB4AEF">
        <w:rPr>
          <w:rFonts w:asciiTheme="minorHAnsi" w:hAnsiTheme="minorHAnsi" w:cstheme="minorHAnsi"/>
          <w:sz w:val="22"/>
          <w:szCs w:val="22"/>
        </w:rPr>
        <w:t>Also, the GNSO Guidelines for working grou</w:t>
      </w:r>
      <w:r>
        <w:rPr>
          <w:rFonts w:asciiTheme="minorHAnsi" w:hAnsiTheme="minorHAnsi" w:cstheme="minorHAnsi"/>
          <w:sz w:val="22"/>
          <w:szCs w:val="22"/>
        </w:rPr>
        <w:t>p decision making are included below the tables.</w:t>
      </w:r>
    </w:p>
    <w:p w14:paraId="59297C80" w14:textId="77777777" w:rsidR="00581A35" w:rsidRDefault="00581A35" w:rsidP="00FF10EF">
      <w:pPr>
        <w:rPr>
          <w:rFonts w:asciiTheme="minorHAnsi" w:hAnsiTheme="minorHAnsi" w:cstheme="minorHAnsi"/>
          <w:sz w:val="22"/>
          <w:szCs w:val="22"/>
        </w:rPr>
      </w:pPr>
    </w:p>
    <w:p w14:paraId="45CAA04A" w14:textId="370515FE" w:rsidR="00FF10EF" w:rsidRPr="00AB4AEF" w:rsidRDefault="00FF10EF" w:rsidP="00FF10EF">
      <w:pPr>
        <w:rPr>
          <w:rFonts w:asciiTheme="minorHAnsi" w:hAnsiTheme="minorHAnsi" w:cstheme="minorHAnsi"/>
          <w:sz w:val="22"/>
          <w:szCs w:val="22"/>
        </w:rPr>
      </w:pPr>
      <w:r w:rsidRPr="00AB4AEF">
        <w:rPr>
          <w:rFonts w:asciiTheme="minorHAnsi" w:hAnsiTheme="minorHAnsi" w:cstheme="minorHAnsi"/>
          <w:sz w:val="22"/>
          <w:szCs w:val="22"/>
        </w:rPr>
        <w:t xml:space="preserve">In </w:t>
      </w:r>
      <w:r>
        <w:rPr>
          <w:rFonts w:asciiTheme="minorHAnsi" w:hAnsiTheme="minorHAnsi" w:cstheme="minorHAnsi"/>
          <w:sz w:val="22"/>
          <w:szCs w:val="22"/>
        </w:rPr>
        <w:t xml:space="preserve">a </w:t>
      </w:r>
      <w:r w:rsidRPr="00AB4AEF">
        <w:rPr>
          <w:rFonts w:asciiTheme="minorHAnsi" w:hAnsiTheme="minorHAnsi" w:cstheme="minorHAnsi"/>
          <w:sz w:val="22"/>
          <w:szCs w:val="22"/>
        </w:rPr>
        <w:t>slight contravention to the standard practice, I have used the label, “</w:t>
      </w:r>
      <w:r>
        <w:rPr>
          <w:rFonts w:asciiTheme="minorHAnsi" w:hAnsiTheme="minorHAnsi" w:cstheme="minorHAnsi"/>
          <w:sz w:val="22"/>
          <w:szCs w:val="22"/>
        </w:rPr>
        <w:t xml:space="preserve">Full </w:t>
      </w:r>
      <w:r w:rsidRPr="00AB4AEF">
        <w:rPr>
          <w:rFonts w:asciiTheme="minorHAnsi" w:hAnsiTheme="minorHAnsi" w:cstheme="minorHAnsi"/>
          <w:sz w:val="22"/>
          <w:szCs w:val="22"/>
        </w:rPr>
        <w:t xml:space="preserve">Consensus / </w:t>
      </w:r>
      <w:proofErr w:type="spellStart"/>
      <w:r w:rsidRPr="00AB4AEF">
        <w:rPr>
          <w:rFonts w:asciiTheme="minorHAnsi" w:hAnsiTheme="minorHAnsi" w:cstheme="minorHAnsi"/>
          <w:sz w:val="22"/>
          <w:szCs w:val="22"/>
        </w:rPr>
        <w:t>Consensus</w:t>
      </w:r>
      <w:proofErr w:type="spellEnd"/>
      <w:r w:rsidRPr="00AB4AEF">
        <w:rPr>
          <w:rFonts w:asciiTheme="minorHAnsi" w:hAnsiTheme="minorHAnsi" w:cstheme="minorHAnsi"/>
          <w:sz w:val="22"/>
          <w:szCs w:val="22"/>
        </w:rPr>
        <w:t xml:space="preserve">” as a signal to the GNSO Council that we have reached a consensus position on these issues but also as a salute to or </w:t>
      </w:r>
      <w:proofErr w:type="spellStart"/>
      <w:r w:rsidRPr="00AB4AEF">
        <w:rPr>
          <w:rFonts w:asciiTheme="minorHAnsi" w:hAnsiTheme="minorHAnsi" w:cstheme="minorHAnsi"/>
          <w:sz w:val="22"/>
          <w:szCs w:val="22"/>
        </w:rPr>
        <w:t>indiction</w:t>
      </w:r>
      <w:proofErr w:type="spellEnd"/>
      <w:r w:rsidRPr="00AB4AEF">
        <w:rPr>
          <w:rFonts w:asciiTheme="minorHAnsi" w:hAnsiTheme="minorHAnsi" w:cstheme="minorHAnsi"/>
          <w:sz w:val="22"/>
          <w:szCs w:val="22"/>
        </w:rPr>
        <w:t xml:space="preserve"> of the degree of teamwork and compromise that has taken place. Either term has </w:t>
      </w:r>
      <w:r>
        <w:rPr>
          <w:rFonts w:asciiTheme="minorHAnsi" w:hAnsiTheme="minorHAnsi" w:cstheme="minorHAnsi"/>
          <w:sz w:val="22"/>
          <w:szCs w:val="22"/>
        </w:rPr>
        <w:t>an equivalent</w:t>
      </w:r>
      <w:r w:rsidRPr="00AB4AEF">
        <w:rPr>
          <w:rFonts w:asciiTheme="minorHAnsi" w:hAnsiTheme="minorHAnsi" w:cstheme="minorHAnsi"/>
          <w:sz w:val="22"/>
          <w:szCs w:val="22"/>
        </w:rPr>
        <w:t xml:space="preserve"> on the Council discussion. </w:t>
      </w:r>
    </w:p>
    <w:p w14:paraId="097402F0" w14:textId="77777777" w:rsidR="00FF10EF" w:rsidRPr="00AB4AEF" w:rsidRDefault="00FF10EF" w:rsidP="00FF10EF">
      <w:pPr>
        <w:rPr>
          <w:rFonts w:asciiTheme="minorHAnsi" w:hAnsiTheme="minorHAnsi" w:cstheme="minorHAnsi"/>
          <w:sz w:val="22"/>
          <w:szCs w:val="22"/>
        </w:rPr>
      </w:pPr>
    </w:p>
    <w:p w14:paraId="42A172AD" w14:textId="7B5B26AB" w:rsidR="00FF10EF" w:rsidRPr="00CE0A4F" w:rsidRDefault="00FF10EF" w:rsidP="00FF10EF">
      <w:pPr>
        <w:rPr>
          <w:rFonts w:asciiTheme="minorHAnsi" w:hAnsiTheme="minorHAnsi" w:cstheme="minorHAnsi"/>
          <w:b/>
          <w:i/>
          <w:sz w:val="22"/>
          <w:szCs w:val="22"/>
        </w:rPr>
      </w:pPr>
      <w:r w:rsidRPr="00CE0A4F">
        <w:rPr>
          <w:rFonts w:asciiTheme="minorHAnsi" w:hAnsiTheme="minorHAnsi" w:cstheme="minorHAnsi"/>
          <w:b/>
          <w:i/>
          <w:sz w:val="22"/>
          <w:szCs w:val="22"/>
        </w:rPr>
        <w:t xml:space="preserve">On this </w:t>
      </w:r>
      <w:r w:rsidR="008831B1" w:rsidRPr="00CE0A4F">
        <w:rPr>
          <w:rFonts w:asciiTheme="minorHAnsi" w:hAnsiTheme="minorHAnsi" w:cstheme="minorHAnsi"/>
          <w:b/>
          <w:i/>
          <w:sz w:val="22"/>
          <w:szCs w:val="22"/>
        </w:rPr>
        <w:t>third</w:t>
      </w:r>
      <w:r w:rsidRPr="00CE0A4F">
        <w:rPr>
          <w:rFonts w:asciiTheme="minorHAnsi" w:hAnsiTheme="minorHAnsi" w:cstheme="minorHAnsi"/>
          <w:b/>
          <w:i/>
          <w:sz w:val="22"/>
          <w:szCs w:val="22"/>
        </w:rPr>
        <w:t xml:space="preserve"> set, please revert to me by the end of </w:t>
      </w:r>
      <w:r w:rsidR="00CE0A4F" w:rsidRPr="00CE0A4F">
        <w:rPr>
          <w:rFonts w:asciiTheme="minorHAnsi" w:hAnsiTheme="minorHAnsi" w:cstheme="minorHAnsi"/>
          <w:b/>
          <w:i/>
          <w:sz w:val="22"/>
          <w:szCs w:val="22"/>
        </w:rPr>
        <w:t>Friday</w:t>
      </w:r>
      <w:r w:rsidRPr="00CE0A4F">
        <w:rPr>
          <w:rFonts w:asciiTheme="minorHAnsi" w:hAnsiTheme="minorHAnsi" w:cstheme="minorHAnsi"/>
          <w:b/>
          <w:i/>
          <w:sz w:val="22"/>
          <w:szCs w:val="22"/>
        </w:rPr>
        <w:t xml:space="preserve"> if you disagree with my assessment and if you will provide a statement for the final report. Remember that you can support a consensus position and still provide a statement.</w:t>
      </w:r>
    </w:p>
    <w:p w14:paraId="482371E7" w14:textId="77777777" w:rsidR="00FF10EF" w:rsidRDefault="00FF10EF">
      <w:pPr>
        <w:rPr>
          <w:rFonts w:asciiTheme="minorHAnsi" w:hAnsiTheme="minorHAnsi" w:cstheme="minorHAnsi"/>
          <w:b/>
          <w:sz w:val="21"/>
          <w:szCs w:val="21"/>
        </w:rPr>
      </w:pPr>
      <w:r>
        <w:rPr>
          <w:rFonts w:asciiTheme="minorHAnsi" w:hAnsiTheme="minorHAnsi" w:cstheme="minorHAnsi"/>
          <w:b/>
          <w:sz w:val="21"/>
          <w:szCs w:val="21"/>
        </w:rPr>
        <w:br w:type="page"/>
      </w:r>
    </w:p>
    <w:p w14:paraId="1E726215" w14:textId="50B99E8A" w:rsidR="00E93EA6" w:rsidRPr="00187BD5" w:rsidRDefault="00E93EA6">
      <w:pPr>
        <w:rPr>
          <w:rFonts w:asciiTheme="minorHAnsi" w:hAnsiTheme="minorHAnsi" w:cstheme="minorHAnsi"/>
          <w:b/>
          <w:sz w:val="28"/>
          <w:szCs w:val="28"/>
        </w:rPr>
      </w:pPr>
      <w:r w:rsidRPr="00187BD5">
        <w:rPr>
          <w:rFonts w:asciiTheme="minorHAnsi" w:hAnsiTheme="minorHAnsi" w:cstheme="minorHAnsi"/>
          <w:b/>
          <w:sz w:val="28"/>
          <w:szCs w:val="28"/>
        </w:rPr>
        <w:lastRenderedPageBreak/>
        <w:t>Cluster #</w:t>
      </w:r>
      <w:r w:rsidR="000A24FD" w:rsidRPr="00187BD5">
        <w:rPr>
          <w:rFonts w:asciiTheme="minorHAnsi" w:hAnsiTheme="minorHAnsi" w:cstheme="minorHAnsi"/>
          <w:b/>
          <w:sz w:val="28"/>
          <w:szCs w:val="28"/>
        </w:rPr>
        <w:t>3</w:t>
      </w:r>
      <w:r w:rsidR="00187BD5" w:rsidRPr="00187BD5">
        <w:rPr>
          <w:rFonts w:asciiTheme="minorHAnsi" w:hAnsiTheme="minorHAnsi" w:cstheme="minorHAnsi"/>
          <w:b/>
          <w:sz w:val="28"/>
          <w:szCs w:val="28"/>
        </w:rPr>
        <w:t>A</w:t>
      </w:r>
      <w:r w:rsidRPr="00187BD5">
        <w:rPr>
          <w:rFonts w:asciiTheme="minorHAnsi" w:hAnsiTheme="minorHAnsi" w:cstheme="minorHAnsi"/>
          <w:b/>
          <w:sz w:val="28"/>
          <w:szCs w:val="28"/>
        </w:rPr>
        <w:t xml:space="preserve">– </w:t>
      </w:r>
      <w:r w:rsidR="000A24FD" w:rsidRPr="00187BD5">
        <w:rPr>
          <w:rFonts w:asciiTheme="minorHAnsi" w:hAnsiTheme="minorHAnsi" w:cstheme="minorHAnsi"/>
          <w:b/>
          <w:sz w:val="28"/>
          <w:szCs w:val="28"/>
        </w:rPr>
        <w:t>Additional r</w:t>
      </w:r>
      <w:r w:rsidRPr="00187BD5">
        <w:rPr>
          <w:rFonts w:asciiTheme="minorHAnsi" w:hAnsiTheme="minorHAnsi" w:cstheme="minorHAnsi"/>
          <w:b/>
          <w:sz w:val="28"/>
          <w:szCs w:val="28"/>
        </w:rPr>
        <w:t xml:space="preserve">ecommendations </w:t>
      </w:r>
      <w:r w:rsidR="00187BD5">
        <w:rPr>
          <w:rFonts w:asciiTheme="minorHAnsi" w:hAnsiTheme="minorHAnsi" w:cstheme="minorHAnsi"/>
          <w:b/>
          <w:sz w:val="28"/>
          <w:szCs w:val="28"/>
        </w:rPr>
        <w:t>considered final</w:t>
      </w:r>
      <w:r w:rsidR="00187BD5" w:rsidRPr="00187BD5">
        <w:rPr>
          <w:rFonts w:asciiTheme="minorHAnsi" w:hAnsiTheme="minorHAnsi" w:cstheme="minorHAnsi"/>
          <w:b/>
          <w:sz w:val="28"/>
          <w:szCs w:val="28"/>
        </w:rPr>
        <w:t xml:space="preserve"> with </w:t>
      </w:r>
      <w:r w:rsidR="00C46F4F">
        <w:rPr>
          <w:rFonts w:asciiTheme="minorHAnsi" w:hAnsiTheme="minorHAnsi" w:cstheme="minorHAnsi"/>
          <w:b/>
          <w:sz w:val="28"/>
          <w:szCs w:val="28"/>
        </w:rPr>
        <w:t xml:space="preserve">Chair-proposed </w:t>
      </w:r>
      <w:r w:rsidR="00187BD5" w:rsidRPr="00187BD5">
        <w:rPr>
          <w:rFonts w:asciiTheme="minorHAnsi" w:hAnsiTheme="minorHAnsi" w:cstheme="minorHAnsi"/>
          <w:b/>
          <w:sz w:val="28"/>
          <w:szCs w:val="28"/>
        </w:rPr>
        <w:t xml:space="preserve">designation </w:t>
      </w:r>
    </w:p>
    <w:p w14:paraId="46A11166" w14:textId="65F0DF42" w:rsidR="00E93EA6" w:rsidRDefault="00E93EA6"/>
    <w:tbl>
      <w:tblPr>
        <w:tblStyle w:val="TableGrid"/>
        <w:tblW w:w="13119" w:type="dxa"/>
        <w:tblLook w:val="04A0" w:firstRow="1" w:lastRow="0" w:firstColumn="1" w:lastColumn="0" w:noHBand="0" w:noVBand="1"/>
      </w:tblPr>
      <w:tblGrid>
        <w:gridCol w:w="2180"/>
        <w:gridCol w:w="7421"/>
        <w:gridCol w:w="1518"/>
        <w:gridCol w:w="2000"/>
      </w:tblGrid>
      <w:tr w:rsidR="000A24FD" w:rsidRPr="00E82D1D" w14:paraId="5A58FE60" w14:textId="77777777" w:rsidTr="00187BD5">
        <w:trPr>
          <w:trHeight w:val="801"/>
          <w:tblHeader/>
        </w:trPr>
        <w:tc>
          <w:tcPr>
            <w:tcW w:w="2180" w:type="dxa"/>
            <w:tcBorders>
              <w:top w:val="single" w:sz="18" w:space="0" w:color="000000"/>
              <w:left w:val="single" w:sz="18" w:space="0" w:color="000000"/>
              <w:bottom w:val="single" w:sz="18" w:space="0" w:color="000000"/>
              <w:right w:val="single" w:sz="18" w:space="0" w:color="000000"/>
            </w:tcBorders>
            <w:shd w:val="clear" w:color="auto" w:fill="F7CAAC" w:themeFill="accent2" w:themeFillTint="66"/>
          </w:tcPr>
          <w:p w14:paraId="5C318D78" w14:textId="77777777" w:rsidR="000A24FD" w:rsidRPr="00E82D1D" w:rsidRDefault="000A24FD" w:rsidP="00AA14F2">
            <w:pPr>
              <w:jc w:val="center"/>
              <w:rPr>
                <w:rFonts w:asciiTheme="minorHAnsi" w:hAnsiTheme="minorHAnsi" w:cstheme="minorHAnsi"/>
                <w:b/>
                <w:sz w:val="21"/>
                <w:szCs w:val="21"/>
              </w:rPr>
            </w:pPr>
            <w:r w:rsidRPr="00E82D1D">
              <w:rPr>
                <w:rFonts w:asciiTheme="minorHAnsi" w:hAnsiTheme="minorHAnsi" w:cstheme="minorHAnsi"/>
                <w:b/>
                <w:sz w:val="21"/>
                <w:szCs w:val="21"/>
              </w:rPr>
              <w:t>Purpose / Recommendation #</w:t>
            </w:r>
          </w:p>
        </w:tc>
        <w:tc>
          <w:tcPr>
            <w:tcW w:w="7421" w:type="dxa"/>
            <w:tcBorders>
              <w:top w:val="single" w:sz="18" w:space="0" w:color="000000"/>
              <w:left w:val="single" w:sz="18" w:space="0" w:color="000000"/>
              <w:bottom w:val="single" w:sz="18" w:space="0" w:color="000000"/>
              <w:right w:val="single" w:sz="18" w:space="0" w:color="000000"/>
            </w:tcBorders>
            <w:shd w:val="clear" w:color="auto" w:fill="F7CAAC" w:themeFill="accent2" w:themeFillTint="66"/>
          </w:tcPr>
          <w:p w14:paraId="740D238F" w14:textId="77777777" w:rsidR="000A24FD" w:rsidRPr="00E82D1D" w:rsidRDefault="000A24FD" w:rsidP="00AA14F2">
            <w:pPr>
              <w:jc w:val="center"/>
              <w:rPr>
                <w:rFonts w:asciiTheme="minorHAnsi" w:hAnsiTheme="minorHAnsi" w:cstheme="minorHAnsi"/>
                <w:b/>
                <w:sz w:val="21"/>
                <w:szCs w:val="21"/>
              </w:rPr>
            </w:pPr>
            <w:r>
              <w:rPr>
                <w:rFonts w:asciiTheme="minorHAnsi" w:hAnsiTheme="minorHAnsi" w:cstheme="minorHAnsi"/>
                <w:b/>
                <w:sz w:val="21"/>
                <w:szCs w:val="21"/>
              </w:rPr>
              <w:t>Final Language</w:t>
            </w:r>
            <w:r w:rsidRPr="00E82D1D">
              <w:rPr>
                <w:rFonts w:asciiTheme="minorHAnsi" w:hAnsiTheme="minorHAnsi" w:cstheme="minorHAnsi"/>
                <w:b/>
                <w:sz w:val="21"/>
                <w:szCs w:val="21"/>
              </w:rPr>
              <w:t xml:space="preserve"> </w:t>
            </w:r>
          </w:p>
        </w:tc>
        <w:tc>
          <w:tcPr>
            <w:tcW w:w="1518" w:type="dxa"/>
            <w:tcBorders>
              <w:top w:val="single" w:sz="18" w:space="0" w:color="000000"/>
              <w:left w:val="single" w:sz="18" w:space="0" w:color="000000"/>
              <w:bottom w:val="single" w:sz="18" w:space="0" w:color="000000"/>
              <w:right w:val="single" w:sz="18" w:space="0" w:color="000000"/>
            </w:tcBorders>
            <w:shd w:val="clear" w:color="auto" w:fill="F7CAAC" w:themeFill="accent2" w:themeFillTint="66"/>
          </w:tcPr>
          <w:p w14:paraId="371A2587" w14:textId="77777777" w:rsidR="000A24FD" w:rsidRDefault="000A24FD" w:rsidP="00AA14F2">
            <w:pPr>
              <w:jc w:val="center"/>
              <w:rPr>
                <w:rFonts w:asciiTheme="minorHAnsi" w:hAnsiTheme="minorHAnsi" w:cstheme="minorHAnsi"/>
                <w:b/>
                <w:sz w:val="21"/>
                <w:szCs w:val="21"/>
              </w:rPr>
            </w:pPr>
            <w:r>
              <w:rPr>
                <w:rFonts w:asciiTheme="minorHAnsi" w:hAnsiTheme="minorHAnsi" w:cstheme="minorHAnsi"/>
                <w:b/>
                <w:sz w:val="21"/>
                <w:szCs w:val="21"/>
              </w:rPr>
              <w:t>Chair Proposed</w:t>
            </w:r>
          </w:p>
          <w:p w14:paraId="011E7A33" w14:textId="77777777" w:rsidR="000A24FD" w:rsidRPr="00E82D1D" w:rsidRDefault="000A24FD" w:rsidP="00AA14F2">
            <w:pPr>
              <w:jc w:val="center"/>
              <w:rPr>
                <w:rFonts w:asciiTheme="minorHAnsi" w:hAnsiTheme="minorHAnsi" w:cstheme="minorHAnsi"/>
                <w:b/>
                <w:sz w:val="21"/>
                <w:szCs w:val="21"/>
              </w:rPr>
            </w:pPr>
            <w:r>
              <w:rPr>
                <w:rFonts w:asciiTheme="minorHAnsi" w:hAnsiTheme="minorHAnsi" w:cstheme="minorHAnsi"/>
                <w:b/>
                <w:sz w:val="21"/>
                <w:szCs w:val="21"/>
              </w:rPr>
              <w:t>Designation</w:t>
            </w:r>
          </w:p>
        </w:tc>
        <w:tc>
          <w:tcPr>
            <w:tcW w:w="2000" w:type="dxa"/>
            <w:tcBorders>
              <w:top w:val="single" w:sz="18" w:space="0" w:color="000000"/>
              <w:left w:val="single" w:sz="18" w:space="0" w:color="000000"/>
              <w:bottom w:val="single" w:sz="18" w:space="0" w:color="000000"/>
              <w:right w:val="single" w:sz="18" w:space="0" w:color="000000"/>
            </w:tcBorders>
            <w:shd w:val="clear" w:color="auto" w:fill="F7CAAC" w:themeFill="accent2" w:themeFillTint="66"/>
          </w:tcPr>
          <w:p w14:paraId="094294F4" w14:textId="77777777" w:rsidR="000A24FD" w:rsidRPr="00E82D1D" w:rsidRDefault="000A24FD" w:rsidP="00AA14F2">
            <w:pPr>
              <w:jc w:val="center"/>
              <w:rPr>
                <w:rFonts w:asciiTheme="minorHAnsi" w:hAnsiTheme="minorHAnsi" w:cstheme="minorHAnsi"/>
                <w:b/>
                <w:sz w:val="21"/>
                <w:szCs w:val="21"/>
              </w:rPr>
            </w:pPr>
            <w:r w:rsidRPr="00E82D1D">
              <w:rPr>
                <w:rFonts w:asciiTheme="minorHAnsi" w:hAnsiTheme="minorHAnsi" w:cstheme="minorHAnsi"/>
                <w:b/>
                <w:sz w:val="21"/>
                <w:szCs w:val="21"/>
              </w:rPr>
              <w:t>Notes</w:t>
            </w:r>
          </w:p>
        </w:tc>
      </w:tr>
      <w:tr w:rsidR="00F16588" w:rsidRPr="00E82D1D" w14:paraId="1F430061" w14:textId="77777777" w:rsidTr="00DB018D">
        <w:tc>
          <w:tcPr>
            <w:tcW w:w="2180" w:type="dxa"/>
          </w:tcPr>
          <w:p w14:paraId="0089D0F0" w14:textId="04808C31" w:rsidR="00F16588" w:rsidRPr="00E82D1D" w:rsidRDefault="00F16588" w:rsidP="00AA14F2">
            <w:pPr>
              <w:spacing w:before="60"/>
              <w:rPr>
                <w:rFonts w:asciiTheme="minorHAnsi" w:hAnsiTheme="minorHAnsi" w:cstheme="minorHAnsi"/>
                <w:color w:val="000000" w:themeColor="text1"/>
                <w:sz w:val="21"/>
                <w:szCs w:val="21"/>
              </w:rPr>
            </w:pPr>
            <w:r w:rsidRPr="00E82D1D">
              <w:rPr>
                <w:rFonts w:asciiTheme="minorHAnsi" w:hAnsiTheme="minorHAnsi" w:cstheme="minorHAnsi"/>
                <w:color w:val="000000" w:themeColor="text1"/>
                <w:sz w:val="21"/>
                <w:szCs w:val="21"/>
              </w:rPr>
              <w:t>Recommendation #</w:t>
            </w:r>
            <w:r w:rsidR="002521EF">
              <w:rPr>
                <w:rFonts w:asciiTheme="minorHAnsi" w:hAnsiTheme="minorHAnsi" w:cstheme="minorHAnsi"/>
                <w:color w:val="000000" w:themeColor="text1"/>
                <w:sz w:val="21"/>
                <w:szCs w:val="21"/>
              </w:rPr>
              <w:t>5</w:t>
            </w:r>
            <w:r w:rsidR="00691D3F">
              <w:rPr>
                <w:rFonts w:asciiTheme="minorHAnsi" w:hAnsiTheme="minorHAnsi" w:cstheme="minorHAnsi"/>
                <w:color w:val="000000" w:themeColor="text1"/>
                <w:sz w:val="21"/>
                <w:szCs w:val="21"/>
              </w:rPr>
              <w:t xml:space="preserve"> </w:t>
            </w:r>
            <w:r w:rsidR="002521EF">
              <w:rPr>
                <w:rFonts w:asciiTheme="minorHAnsi" w:hAnsiTheme="minorHAnsi" w:cstheme="minorHAnsi"/>
                <w:color w:val="000000" w:themeColor="text1"/>
                <w:sz w:val="21"/>
                <w:szCs w:val="21"/>
              </w:rPr>
              <w:t>(old #4)</w:t>
            </w:r>
            <w:r w:rsidRPr="00E82D1D">
              <w:rPr>
                <w:rFonts w:asciiTheme="minorHAnsi" w:hAnsiTheme="minorHAnsi" w:cstheme="minorHAnsi"/>
                <w:color w:val="000000" w:themeColor="text1"/>
                <w:sz w:val="21"/>
                <w:szCs w:val="21"/>
              </w:rPr>
              <w:t xml:space="preserve"> - Data elements to be collected by Registrars (incl. Question #2)</w:t>
            </w:r>
          </w:p>
        </w:tc>
        <w:tc>
          <w:tcPr>
            <w:tcW w:w="7421" w:type="dxa"/>
          </w:tcPr>
          <w:p w14:paraId="26904794" w14:textId="031B86EA" w:rsidR="00F16588" w:rsidRDefault="00680E1A" w:rsidP="00680E1A">
            <w:pPr>
              <w:rPr>
                <w:rFonts w:asciiTheme="minorHAnsi" w:eastAsiaTheme="minorHAnsi" w:hAnsiTheme="minorHAnsi" w:cstheme="minorHAnsi"/>
                <w:color w:val="000000"/>
                <w:sz w:val="21"/>
                <w:szCs w:val="21"/>
              </w:rPr>
            </w:pPr>
            <w:r w:rsidRPr="00680E1A">
              <w:rPr>
                <w:rFonts w:asciiTheme="minorHAnsi" w:eastAsiaTheme="minorHAnsi" w:hAnsiTheme="minorHAnsi" w:cstheme="minorHAnsi"/>
                <w:color w:val="000000"/>
                <w:sz w:val="21"/>
                <w:szCs w:val="21"/>
              </w:rPr>
              <w:t>The EPDP Team recommends that the data elements listed below (as illustrated in the data elements workbooks in Annex D) are required to be collected by registrars. In the aggregate, this means that the following data elements are to be collected</w:t>
            </w:r>
            <w:r w:rsidR="008A4CA9">
              <w:rPr>
                <w:rFonts w:asciiTheme="minorHAnsi" w:eastAsiaTheme="minorHAnsi" w:hAnsiTheme="minorHAnsi" w:cstheme="minorHAnsi"/>
                <w:color w:val="000000"/>
                <w:sz w:val="21"/>
                <w:szCs w:val="21"/>
              </w:rPr>
              <w:t>*</w:t>
            </w:r>
            <w:r w:rsidRPr="00680E1A">
              <w:rPr>
                <w:rFonts w:asciiTheme="minorHAnsi" w:eastAsiaTheme="minorHAnsi" w:hAnsiTheme="minorHAnsi" w:cstheme="minorHAnsi"/>
                <w:color w:val="000000"/>
                <w:sz w:val="21"/>
                <w:szCs w:val="21"/>
              </w:rPr>
              <w:t xml:space="preserve"> where some data elements are automatically generated and, as indicated below, in some cases it is optional for the registered name holder to provide those data elements:</w:t>
            </w:r>
          </w:p>
          <w:p w14:paraId="69C64D97" w14:textId="77777777" w:rsidR="00680E1A" w:rsidRDefault="00680E1A" w:rsidP="00680E1A">
            <w:pPr>
              <w:rPr>
                <w:rFonts w:asciiTheme="minorHAnsi" w:eastAsiaTheme="minorHAnsi" w:hAnsiTheme="minorHAnsi" w:cstheme="minorHAnsi"/>
                <w:color w:val="000000"/>
                <w:sz w:val="21"/>
                <w:szCs w:val="21"/>
              </w:rPr>
            </w:pPr>
          </w:p>
          <w:p w14:paraId="53388991" w14:textId="77777777" w:rsidR="00680E1A" w:rsidRDefault="00680E1A" w:rsidP="00680E1A">
            <w:pPr>
              <w:rPr>
                <w:rFonts w:asciiTheme="minorHAnsi" w:eastAsiaTheme="minorHAnsi" w:hAnsiTheme="minorHAnsi" w:cstheme="minorHAnsi"/>
                <w:color w:val="000000"/>
                <w:sz w:val="21"/>
                <w:szCs w:val="21"/>
              </w:rPr>
            </w:pPr>
            <w:r>
              <w:rPr>
                <w:rFonts w:asciiTheme="minorHAnsi" w:eastAsiaTheme="minorHAnsi" w:hAnsiTheme="minorHAnsi" w:cstheme="minorHAnsi"/>
                <w:color w:val="000000"/>
                <w:sz w:val="21"/>
                <w:szCs w:val="21"/>
              </w:rPr>
              <w:t>[see table]</w:t>
            </w:r>
          </w:p>
          <w:p w14:paraId="62E93D5E" w14:textId="77777777" w:rsidR="00680E1A" w:rsidRDefault="00680E1A" w:rsidP="00680E1A">
            <w:pPr>
              <w:rPr>
                <w:rFonts w:asciiTheme="minorHAnsi" w:eastAsiaTheme="minorHAnsi" w:hAnsiTheme="minorHAnsi" w:cstheme="minorHAnsi"/>
                <w:color w:val="000000"/>
                <w:sz w:val="21"/>
                <w:szCs w:val="21"/>
              </w:rPr>
            </w:pPr>
          </w:p>
          <w:p w14:paraId="52F86410" w14:textId="77777777" w:rsidR="00680E1A" w:rsidRPr="00680E1A" w:rsidRDefault="00680E1A" w:rsidP="00680E1A">
            <w:pPr>
              <w:rPr>
                <w:rFonts w:asciiTheme="minorHAnsi" w:hAnsiTheme="minorHAnsi" w:cstheme="minorHAnsi"/>
                <w:sz w:val="21"/>
                <w:szCs w:val="21"/>
              </w:rPr>
            </w:pPr>
            <w:r w:rsidRPr="00680E1A">
              <w:rPr>
                <w:rFonts w:asciiTheme="minorHAnsi" w:hAnsiTheme="minorHAnsi" w:cstheme="minorHAnsi"/>
                <w:sz w:val="21"/>
                <w:szCs w:val="21"/>
              </w:rPr>
              <w:t xml:space="preserve">For further details, see </w:t>
            </w:r>
            <w:hyperlink r:id="rId7" w:history="1">
              <w:r w:rsidRPr="00680E1A">
                <w:rPr>
                  <w:rStyle w:val="Hyperlink"/>
                  <w:rFonts w:asciiTheme="minorHAnsi" w:hAnsiTheme="minorHAnsi" w:cstheme="minorHAnsi"/>
                  <w:sz w:val="21"/>
                  <w:szCs w:val="21"/>
                </w:rPr>
                <w:t>complete data elements matrix</w:t>
              </w:r>
            </w:hyperlink>
            <w:r w:rsidRPr="00680E1A">
              <w:rPr>
                <w:rFonts w:asciiTheme="minorHAnsi" w:hAnsiTheme="minorHAnsi" w:cstheme="minorHAnsi"/>
                <w:sz w:val="21"/>
                <w:szCs w:val="21"/>
              </w:rPr>
              <w:t>.</w:t>
            </w:r>
          </w:p>
          <w:p w14:paraId="1E239766" w14:textId="77777777" w:rsidR="00680E1A" w:rsidRPr="00680E1A" w:rsidRDefault="00680E1A" w:rsidP="00680E1A">
            <w:pPr>
              <w:rPr>
                <w:rFonts w:asciiTheme="minorHAnsi" w:hAnsiTheme="minorHAnsi" w:cstheme="minorHAnsi"/>
                <w:sz w:val="21"/>
                <w:szCs w:val="21"/>
              </w:rPr>
            </w:pPr>
          </w:p>
          <w:p w14:paraId="38C60613" w14:textId="77777777" w:rsidR="00680E1A" w:rsidRDefault="00680E1A" w:rsidP="00680E1A">
            <w:pPr>
              <w:rPr>
                <w:rFonts w:asciiTheme="minorHAnsi" w:hAnsiTheme="minorHAnsi" w:cstheme="minorHAnsi"/>
                <w:sz w:val="21"/>
                <w:szCs w:val="21"/>
              </w:rPr>
            </w:pPr>
            <w:r w:rsidRPr="00680E1A">
              <w:rPr>
                <w:rFonts w:asciiTheme="minorHAnsi" w:hAnsiTheme="minorHAnsi" w:cstheme="minorHAnsi"/>
                <w:sz w:val="21"/>
                <w:szCs w:val="21"/>
              </w:rPr>
              <w:t>For the purpose of the Technical contact, which is optional for the Registered Name Holder to complete (and if the Registrar provides this option), Registrars are to advise the Registered Name Holder at the time of registration that the Registered Name Holder is free to (1) designate the same person as the registrant (or its representative) as the technical contact; or (2) provide contact information which does not directly identify the technical contact person concerned.</w:t>
            </w:r>
          </w:p>
          <w:p w14:paraId="017A09FF" w14:textId="77777777" w:rsidR="008A4CA9" w:rsidRDefault="008A4CA9" w:rsidP="00680E1A">
            <w:pPr>
              <w:rPr>
                <w:rFonts w:asciiTheme="minorHAnsi" w:hAnsiTheme="minorHAnsi" w:cstheme="minorHAnsi"/>
                <w:sz w:val="21"/>
                <w:szCs w:val="21"/>
              </w:rPr>
            </w:pPr>
          </w:p>
          <w:p w14:paraId="42213BDD" w14:textId="5458E84C" w:rsidR="008A4CA9" w:rsidRPr="002566B6" w:rsidRDefault="008A4CA9" w:rsidP="00680E1A">
            <w:pPr>
              <w:rPr>
                <w:rFonts w:asciiTheme="minorHAnsi" w:hAnsiTheme="minorHAnsi" w:cstheme="minorHAnsi"/>
                <w:sz w:val="21"/>
                <w:szCs w:val="21"/>
              </w:rPr>
            </w:pPr>
            <w:r w:rsidRPr="002566B6">
              <w:rPr>
                <w:rFonts w:asciiTheme="minorHAnsi" w:hAnsiTheme="minorHAnsi" w:cstheme="minorHAnsi"/>
                <w:color w:val="000000" w:themeColor="text1"/>
                <w:sz w:val="21"/>
                <w:szCs w:val="21"/>
              </w:rPr>
              <w:t>* For those data elements marked as “(optional)”, these are optional for the RNH to provide</w:t>
            </w:r>
          </w:p>
        </w:tc>
        <w:tc>
          <w:tcPr>
            <w:tcW w:w="1518" w:type="dxa"/>
          </w:tcPr>
          <w:p w14:paraId="10025B5D" w14:textId="6FAE6466" w:rsidR="00F16588" w:rsidRPr="00E82D1D" w:rsidRDefault="00DB018D" w:rsidP="00DB018D">
            <w:pPr>
              <w:rPr>
                <w:rFonts w:asciiTheme="minorHAnsi" w:hAnsiTheme="minorHAnsi" w:cstheme="minorHAnsi"/>
                <w:b/>
                <w:sz w:val="21"/>
                <w:szCs w:val="21"/>
              </w:rPr>
            </w:pPr>
            <w:r w:rsidRPr="00E14C2A">
              <w:rPr>
                <w:rFonts w:asciiTheme="minorHAnsi" w:hAnsiTheme="minorHAnsi" w:cstheme="minorHAnsi"/>
                <w:sz w:val="21"/>
                <w:szCs w:val="21"/>
              </w:rPr>
              <w:t xml:space="preserve">Full Consensus / </w:t>
            </w:r>
            <w:proofErr w:type="spellStart"/>
            <w:r w:rsidRPr="00E14C2A">
              <w:rPr>
                <w:rFonts w:asciiTheme="minorHAnsi" w:hAnsiTheme="minorHAnsi" w:cstheme="minorHAnsi"/>
                <w:sz w:val="21"/>
                <w:szCs w:val="21"/>
              </w:rPr>
              <w:t>Consensus</w:t>
            </w:r>
            <w:proofErr w:type="spellEnd"/>
          </w:p>
        </w:tc>
        <w:tc>
          <w:tcPr>
            <w:tcW w:w="2000" w:type="dxa"/>
          </w:tcPr>
          <w:p w14:paraId="4577C811" w14:textId="7EF864E7" w:rsidR="004B5CB2" w:rsidRPr="00E82D1D" w:rsidRDefault="004B5CB2" w:rsidP="00AA14F2">
            <w:pPr>
              <w:rPr>
                <w:rFonts w:asciiTheme="minorHAnsi" w:hAnsiTheme="minorHAnsi" w:cstheme="minorHAnsi"/>
                <w:sz w:val="21"/>
                <w:szCs w:val="21"/>
              </w:rPr>
            </w:pPr>
            <w:r>
              <w:rPr>
                <w:rFonts w:asciiTheme="minorHAnsi" w:hAnsiTheme="minorHAnsi" w:cstheme="minorHAnsi"/>
                <w:sz w:val="21"/>
                <w:szCs w:val="21"/>
              </w:rPr>
              <w:t xml:space="preserve"> </w:t>
            </w:r>
            <w:r w:rsidR="00DB018D">
              <w:rPr>
                <w:rFonts w:asciiTheme="minorHAnsi" w:hAnsiTheme="minorHAnsi" w:cstheme="minorHAnsi"/>
                <w:sz w:val="21"/>
                <w:szCs w:val="21"/>
              </w:rPr>
              <w:t>Contingent on completion of data elements language.</w:t>
            </w:r>
          </w:p>
        </w:tc>
      </w:tr>
      <w:tr w:rsidR="00F16588" w:rsidRPr="00E82D1D" w14:paraId="1EBF4DBD" w14:textId="77777777" w:rsidTr="00DB018D">
        <w:tc>
          <w:tcPr>
            <w:tcW w:w="2180" w:type="dxa"/>
          </w:tcPr>
          <w:p w14:paraId="687258A9" w14:textId="3F6BE107" w:rsidR="00F16588" w:rsidRPr="00E82D1D" w:rsidRDefault="00F16588" w:rsidP="00AA14F2">
            <w:pPr>
              <w:spacing w:before="60"/>
              <w:rPr>
                <w:rFonts w:asciiTheme="minorHAnsi" w:hAnsiTheme="minorHAnsi" w:cstheme="minorHAnsi"/>
                <w:color w:val="000000" w:themeColor="text1"/>
                <w:sz w:val="21"/>
                <w:szCs w:val="21"/>
              </w:rPr>
            </w:pPr>
            <w:r w:rsidRPr="00E82D1D">
              <w:rPr>
                <w:rFonts w:asciiTheme="minorHAnsi" w:hAnsiTheme="minorHAnsi" w:cstheme="minorHAnsi"/>
                <w:color w:val="000000" w:themeColor="text1"/>
                <w:sz w:val="21"/>
                <w:szCs w:val="21"/>
              </w:rPr>
              <w:t>Recommendation #</w:t>
            </w:r>
            <w:r w:rsidR="002521EF">
              <w:rPr>
                <w:rFonts w:asciiTheme="minorHAnsi" w:hAnsiTheme="minorHAnsi" w:cstheme="minorHAnsi"/>
                <w:color w:val="000000" w:themeColor="text1"/>
                <w:sz w:val="21"/>
                <w:szCs w:val="21"/>
              </w:rPr>
              <w:t>7</w:t>
            </w:r>
            <w:r w:rsidRPr="00E82D1D">
              <w:rPr>
                <w:rFonts w:asciiTheme="minorHAnsi" w:hAnsiTheme="minorHAnsi" w:cstheme="minorHAnsi"/>
                <w:color w:val="000000" w:themeColor="text1"/>
                <w:sz w:val="21"/>
                <w:szCs w:val="21"/>
              </w:rPr>
              <w:t xml:space="preserve"> </w:t>
            </w:r>
            <w:r w:rsidR="00691D3F">
              <w:rPr>
                <w:rFonts w:asciiTheme="minorHAnsi" w:hAnsiTheme="minorHAnsi" w:cstheme="minorHAnsi"/>
                <w:color w:val="000000" w:themeColor="text1"/>
                <w:sz w:val="21"/>
                <w:szCs w:val="21"/>
              </w:rPr>
              <w:t>(</w:t>
            </w:r>
            <w:r w:rsidR="002521EF">
              <w:rPr>
                <w:rFonts w:asciiTheme="minorHAnsi" w:hAnsiTheme="minorHAnsi" w:cstheme="minorHAnsi"/>
                <w:color w:val="000000" w:themeColor="text1"/>
                <w:sz w:val="21"/>
                <w:szCs w:val="21"/>
              </w:rPr>
              <w:t>old</w:t>
            </w:r>
            <w:r w:rsidR="00691D3F">
              <w:rPr>
                <w:rFonts w:asciiTheme="minorHAnsi" w:hAnsiTheme="minorHAnsi" w:cstheme="minorHAnsi"/>
                <w:color w:val="000000" w:themeColor="text1"/>
                <w:sz w:val="21"/>
                <w:szCs w:val="21"/>
              </w:rPr>
              <w:t xml:space="preserve"> #</w:t>
            </w:r>
            <w:r w:rsidR="002521EF">
              <w:rPr>
                <w:rFonts w:asciiTheme="minorHAnsi" w:hAnsiTheme="minorHAnsi" w:cstheme="minorHAnsi"/>
                <w:color w:val="000000" w:themeColor="text1"/>
                <w:sz w:val="21"/>
                <w:szCs w:val="21"/>
              </w:rPr>
              <w:t>5</w:t>
            </w:r>
            <w:r w:rsidR="00691D3F">
              <w:rPr>
                <w:rFonts w:asciiTheme="minorHAnsi" w:hAnsiTheme="minorHAnsi" w:cstheme="minorHAnsi"/>
                <w:color w:val="000000" w:themeColor="text1"/>
                <w:sz w:val="21"/>
                <w:szCs w:val="21"/>
              </w:rPr>
              <w:t>)</w:t>
            </w:r>
            <w:r w:rsidR="00EC108A">
              <w:rPr>
                <w:rFonts w:asciiTheme="minorHAnsi" w:hAnsiTheme="minorHAnsi" w:cstheme="minorHAnsi"/>
                <w:color w:val="000000" w:themeColor="text1"/>
                <w:sz w:val="21"/>
                <w:szCs w:val="21"/>
              </w:rPr>
              <w:t>–</w:t>
            </w:r>
            <w:r w:rsidRPr="00E82D1D">
              <w:rPr>
                <w:rFonts w:asciiTheme="minorHAnsi" w:hAnsiTheme="minorHAnsi" w:cstheme="minorHAnsi"/>
                <w:color w:val="000000" w:themeColor="text1"/>
                <w:sz w:val="21"/>
                <w:szCs w:val="21"/>
              </w:rPr>
              <w:t xml:space="preserve"> Data elements to be transferred from Registrars to Registries</w:t>
            </w:r>
          </w:p>
        </w:tc>
        <w:tc>
          <w:tcPr>
            <w:tcW w:w="7421" w:type="dxa"/>
          </w:tcPr>
          <w:p w14:paraId="264B7C7E" w14:textId="77777777" w:rsidR="00680E1A" w:rsidRPr="00680E1A" w:rsidRDefault="00680E1A" w:rsidP="00680E1A">
            <w:pPr>
              <w:pBdr>
                <w:top w:val="single" w:sz="4" w:space="1" w:color="auto"/>
                <w:left w:val="single" w:sz="4" w:space="4" w:color="auto"/>
                <w:right w:val="single" w:sz="4" w:space="4" w:color="auto"/>
              </w:pBdr>
              <w:rPr>
                <w:rFonts w:asciiTheme="minorHAnsi" w:hAnsiTheme="minorHAnsi" w:cstheme="minorHAnsi"/>
                <w:sz w:val="21"/>
                <w:szCs w:val="21"/>
              </w:rPr>
            </w:pPr>
            <w:r w:rsidRPr="00680E1A">
              <w:rPr>
                <w:rFonts w:asciiTheme="minorHAnsi" w:hAnsiTheme="minorHAnsi" w:cstheme="minorHAnsi"/>
                <w:sz w:val="21"/>
                <w:szCs w:val="21"/>
              </w:rPr>
              <w:t>The EPDP Team recommends that the specifically-identified data elements under “[t]</w:t>
            </w:r>
            <w:proofErr w:type="spellStart"/>
            <w:r w:rsidRPr="00680E1A">
              <w:rPr>
                <w:rFonts w:asciiTheme="minorHAnsi" w:hAnsiTheme="minorHAnsi" w:cstheme="minorHAnsi"/>
                <w:sz w:val="21"/>
                <w:szCs w:val="21"/>
              </w:rPr>
              <w:t>ransmission</w:t>
            </w:r>
            <w:proofErr w:type="spellEnd"/>
            <w:r w:rsidRPr="00680E1A">
              <w:rPr>
                <w:rFonts w:asciiTheme="minorHAnsi" w:hAnsiTheme="minorHAnsi" w:cstheme="minorHAnsi"/>
                <w:sz w:val="21"/>
                <w:szCs w:val="21"/>
              </w:rPr>
              <w:t xml:space="preserve"> of registration data from Registrar to Registry”, as illustrated in the aggregate data elements workbooks, must be transferred from registrar to registry provided an appropriate legal basis exists and data processing agreement is in place. In the aggregate, these data elements are: </w:t>
            </w:r>
          </w:p>
          <w:p w14:paraId="05C039EB" w14:textId="6D7588E0" w:rsidR="00F16588" w:rsidRPr="00E82D1D" w:rsidRDefault="00680E1A" w:rsidP="00680E1A">
            <w:pPr>
              <w:rPr>
                <w:rFonts w:asciiTheme="minorHAnsi" w:hAnsiTheme="minorHAnsi" w:cstheme="minorHAnsi"/>
                <w:b/>
                <w:sz w:val="21"/>
                <w:szCs w:val="21"/>
              </w:rPr>
            </w:pPr>
            <w:r w:rsidRPr="00680E1A">
              <w:rPr>
                <w:rFonts w:asciiTheme="minorHAnsi" w:hAnsiTheme="minorHAnsi" w:cstheme="minorHAnsi"/>
                <w:sz w:val="21"/>
                <w:szCs w:val="21"/>
              </w:rPr>
              <w:t>[see table</w:t>
            </w:r>
            <w:r w:rsidR="002E740A">
              <w:rPr>
                <w:rFonts w:asciiTheme="minorHAnsi" w:hAnsiTheme="minorHAnsi" w:cstheme="minorHAnsi"/>
                <w:sz w:val="21"/>
                <w:szCs w:val="21"/>
              </w:rPr>
              <w:t xml:space="preserve"> in Final Report</w:t>
            </w:r>
            <w:r w:rsidRPr="00680E1A">
              <w:rPr>
                <w:rFonts w:asciiTheme="minorHAnsi" w:hAnsiTheme="minorHAnsi" w:cstheme="minorHAnsi"/>
                <w:sz w:val="21"/>
                <w:szCs w:val="21"/>
              </w:rPr>
              <w:t>]</w:t>
            </w:r>
          </w:p>
        </w:tc>
        <w:tc>
          <w:tcPr>
            <w:tcW w:w="1518" w:type="dxa"/>
          </w:tcPr>
          <w:p w14:paraId="3A7A9CC7" w14:textId="104E905F" w:rsidR="00F16588" w:rsidRPr="00E82D1D" w:rsidRDefault="00DB018D" w:rsidP="00DB018D">
            <w:pPr>
              <w:rPr>
                <w:rFonts w:asciiTheme="minorHAnsi" w:hAnsiTheme="minorHAnsi" w:cstheme="minorHAnsi"/>
                <w:b/>
                <w:sz w:val="21"/>
                <w:szCs w:val="21"/>
              </w:rPr>
            </w:pPr>
            <w:r w:rsidRPr="00E14C2A">
              <w:rPr>
                <w:rFonts w:asciiTheme="minorHAnsi" w:hAnsiTheme="minorHAnsi" w:cstheme="minorHAnsi"/>
                <w:sz w:val="21"/>
                <w:szCs w:val="21"/>
              </w:rPr>
              <w:t xml:space="preserve">Full Consensus / </w:t>
            </w:r>
            <w:proofErr w:type="spellStart"/>
            <w:r w:rsidRPr="00E14C2A">
              <w:rPr>
                <w:rFonts w:asciiTheme="minorHAnsi" w:hAnsiTheme="minorHAnsi" w:cstheme="minorHAnsi"/>
                <w:sz w:val="21"/>
                <w:szCs w:val="21"/>
              </w:rPr>
              <w:t>Consensus</w:t>
            </w:r>
            <w:proofErr w:type="spellEnd"/>
          </w:p>
        </w:tc>
        <w:tc>
          <w:tcPr>
            <w:tcW w:w="2000" w:type="dxa"/>
          </w:tcPr>
          <w:p w14:paraId="0CDD3ECF" w14:textId="2C933B7C" w:rsidR="004B5CB2" w:rsidRPr="00E82D1D" w:rsidRDefault="004B5CB2" w:rsidP="00AA14F2">
            <w:pPr>
              <w:rPr>
                <w:rFonts w:asciiTheme="minorHAnsi" w:hAnsiTheme="minorHAnsi" w:cstheme="minorHAnsi"/>
                <w:sz w:val="21"/>
                <w:szCs w:val="21"/>
              </w:rPr>
            </w:pPr>
            <w:r>
              <w:rPr>
                <w:rFonts w:asciiTheme="minorHAnsi" w:hAnsiTheme="minorHAnsi" w:cstheme="minorHAnsi"/>
                <w:sz w:val="21"/>
                <w:szCs w:val="21"/>
              </w:rPr>
              <w:t xml:space="preserve"> </w:t>
            </w:r>
          </w:p>
        </w:tc>
      </w:tr>
      <w:tr w:rsidR="000A24FD" w:rsidRPr="00E82D1D" w14:paraId="79FF81FA" w14:textId="77777777" w:rsidTr="00DB018D">
        <w:tc>
          <w:tcPr>
            <w:tcW w:w="2180" w:type="dxa"/>
          </w:tcPr>
          <w:p w14:paraId="232394E3" w14:textId="6815D6BF" w:rsidR="000A24FD" w:rsidRPr="00E82D1D" w:rsidRDefault="000A24FD" w:rsidP="00AA14F2">
            <w:pPr>
              <w:spacing w:before="60"/>
              <w:rPr>
                <w:rFonts w:asciiTheme="minorHAnsi" w:hAnsiTheme="minorHAnsi" w:cstheme="minorHAnsi"/>
                <w:color w:val="000000" w:themeColor="text1"/>
                <w:sz w:val="21"/>
                <w:szCs w:val="21"/>
              </w:rPr>
            </w:pPr>
            <w:r w:rsidRPr="00E82D1D">
              <w:rPr>
                <w:rFonts w:asciiTheme="minorHAnsi" w:hAnsiTheme="minorHAnsi" w:cstheme="minorHAnsi"/>
                <w:color w:val="000000" w:themeColor="text1"/>
                <w:sz w:val="21"/>
                <w:szCs w:val="21"/>
              </w:rPr>
              <w:t>Recommendation #</w:t>
            </w:r>
            <w:r w:rsidR="002521EF">
              <w:rPr>
                <w:rFonts w:asciiTheme="minorHAnsi" w:hAnsiTheme="minorHAnsi" w:cstheme="minorHAnsi"/>
                <w:color w:val="000000" w:themeColor="text1"/>
                <w:sz w:val="21"/>
                <w:szCs w:val="21"/>
              </w:rPr>
              <w:t>9</w:t>
            </w:r>
            <w:r w:rsidRPr="00E82D1D">
              <w:rPr>
                <w:rFonts w:asciiTheme="minorHAnsi" w:hAnsiTheme="minorHAnsi" w:cstheme="minorHAnsi"/>
                <w:color w:val="000000" w:themeColor="text1"/>
                <w:sz w:val="21"/>
                <w:szCs w:val="21"/>
              </w:rPr>
              <w:t xml:space="preserve"> </w:t>
            </w:r>
            <w:r w:rsidR="00691D3F">
              <w:rPr>
                <w:rFonts w:asciiTheme="minorHAnsi" w:hAnsiTheme="minorHAnsi" w:cstheme="minorHAnsi"/>
                <w:color w:val="000000" w:themeColor="text1"/>
                <w:sz w:val="21"/>
                <w:szCs w:val="21"/>
              </w:rPr>
              <w:t>(</w:t>
            </w:r>
            <w:r w:rsidR="002521EF">
              <w:rPr>
                <w:rFonts w:asciiTheme="minorHAnsi" w:hAnsiTheme="minorHAnsi" w:cstheme="minorHAnsi"/>
                <w:color w:val="000000" w:themeColor="text1"/>
                <w:sz w:val="21"/>
                <w:szCs w:val="21"/>
              </w:rPr>
              <w:t>old</w:t>
            </w:r>
            <w:r w:rsidR="00691D3F">
              <w:rPr>
                <w:rFonts w:asciiTheme="minorHAnsi" w:hAnsiTheme="minorHAnsi" w:cstheme="minorHAnsi"/>
                <w:color w:val="000000" w:themeColor="text1"/>
                <w:sz w:val="21"/>
                <w:szCs w:val="21"/>
              </w:rPr>
              <w:t xml:space="preserve"> #</w:t>
            </w:r>
            <w:r w:rsidR="002521EF">
              <w:rPr>
                <w:rFonts w:asciiTheme="minorHAnsi" w:hAnsiTheme="minorHAnsi" w:cstheme="minorHAnsi"/>
                <w:color w:val="000000" w:themeColor="text1"/>
                <w:sz w:val="21"/>
                <w:szCs w:val="21"/>
              </w:rPr>
              <w:t>7</w:t>
            </w:r>
            <w:r w:rsidR="00691D3F">
              <w:rPr>
                <w:rFonts w:asciiTheme="minorHAnsi" w:hAnsiTheme="minorHAnsi" w:cstheme="minorHAnsi"/>
                <w:color w:val="000000" w:themeColor="text1"/>
                <w:sz w:val="21"/>
                <w:szCs w:val="21"/>
              </w:rPr>
              <w:t xml:space="preserve">) </w:t>
            </w:r>
            <w:r w:rsidRPr="00E82D1D">
              <w:rPr>
                <w:rFonts w:asciiTheme="minorHAnsi" w:hAnsiTheme="minorHAnsi" w:cstheme="minorHAnsi"/>
                <w:color w:val="000000" w:themeColor="text1"/>
                <w:sz w:val="21"/>
                <w:szCs w:val="21"/>
              </w:rPr>
              <w:t>– Contractual Compliance</w:t>
            </w:r>
          </w:p>
        </w:tc>
        <w:tc>
          <w:tcPr>
            <w:tcW w:w="7421" w:type="dxa"/>
          </w:tcPr>
          <w:p w14:paraId="19180475" w14:textId="12E697D7" w:rsidR="00680E1A" w:rsidRPr="00680E1A" w:rsidRDefault="00680E1A" w:rsidP="00680E1A">
            <w:pPr>
              <w:pBdr>
                <w:left w:val="single" w:sz="4" w:space="4" w:color="auto"/>
                <w:right w:val="single" w:sz="4" w:space="4" w:color="auto"/>
              </w:pBdr>
              <w:rPr>
                <w:rFonts w:asciiTheme="minorHAnsi" w:hAnsiTheme="minorHAnsi" w:cstheme="minorHAnsi"/>
                <w:sz w:val="21"/>
                <w:szCs w:val="21"/>
              </w:rPr>
            </w:pPr>
            <w:r>
              <w:rPr>
                <w:rFonts w:asciiTheme="minorHAnsi" w:hAnsiTheme="minorHAnsi" w:cstheme="minorHAnsi"/>
                <w:sz w:val="21"/>
                <w:szCs w:val="21"/>
              </w:rPr>
              <w:t xml:space="preserve">1) </w:t>
            </w:r>
            <w:r w:rsidRPr="00680E1A">
              <w:rPr>
                <w:rFonts w:asciiTheme="minorHAnsi" w:hAnsiTheme="minorHAnsi" w:cstheme="minorHAnsi"/>
                <w:sz w:val="21"/>
                <w:szCs w:val="21"/>
              </w:rPr>
              <w:t xml:space="preserve">The EPDP Team recommends that updates are made to the contractual requirements concerning the registration data elements for registries and registrars to transfer to ICANN Org the domain name registration data that they process when required/requested for purpose 5 (Contractual Compliance), consistent with the </w:t>
            </w:r>
            <w:r w:rsidRPr="00680E1A">
              <w:rPr>
                <w:rFonts w:asciiTheme="minorHAnsi" w:hAnsiTheme="minorHAnsi" w:cstheme="minorHAnsi"/>
                <w:sz w:val="21"/>
                <w:szCs w:val="21"/>
              </w:rPr>
              <w:lastRenderedPageBreak/>
              <w:t xml:space="preserve">data elements listed hereunder (for illustrative purposes, please see the workbook that analyzes the purpose to handle contractual compliance monitoring requests, audits, and complaints submitted by Registry Operators, Registrars, Registered Name Holders, and other Internet users in Annex D). </w:t>
            </w:r>
          </w:p>
          <w:p w14:paraId="2F4F49EB" w14:textId="6B57FBE9" w:rsidR="000A24FD" w:rsidRDefault="00680E1A" w:rsidP="00680E1A">
            <w:pPr>
              <w:pBdr>
                <w:left w:val="single" w:sz="4" w:space="4" w:color="auto"/>
                <w:right w:val="single" w:sz="4" w:space="4" w:color="auto"/>
              </w:pBdr>
              <w:rPr>
                <w:rFonts w:asciiTheme="minorHAnsi" w:hAnsiTheme="minorHAnsi" w:cstheme="minorHAnsi"/>
                <w:sz w:val="21"/>
                <w:szCs w:val="21"/>
              </w:rPr>
            </w:pPr>
            <w:r>
              <w:rPr>
                <w:rFonts w:asciiTheme="minorHAnsi" w:hAnsiTheme="minorHAnsi" w:cstheme="minorHAnsi"/>
                <w:sz w:val="21"/>
                <w:szCs w:val="21"/>
              </w:rPr>
              <w:t xml:space="preserve">2) </w:t>
            </w:r>
            <w:r w:rsidRPr="00680E1A">
              <w:rPr>
                <w:rFonts w:asciiTheme="minorHAnsi" w:hAnsiTheme="minorHAnsi" w:cstheme="minorHAnsi"/>
                <w:sz w:val="21"/>
                <w:szCs w:val="21"/>
              </w:rPr>
              <w:t xml:space="preserve">The EPDP Team recommends that the following data elements be transferred from registries and registrars to ICANN Org for purpose 5 (Contractual </w:t>
            </w:r>
            <w:proofErr w:type="gramStart"/>
            <w:r w:rsidRPr="00680E1A">
              <w:rPr>
                <w:rFonts w:asciiTheme="minorHAnsi" w:hAnsiTheme="minorHAnsi" w:cstheme="minorHAnsi"/>
                <w:sz w:val="21"/>
                <w:szCs w:val="21"/>
              </w:rPr>
              <w:t>Compliance)</w:t>
            </w:r>
            <w:r w:rsidR="008A4CA9">
              <w:rPr>
                <w:rFonts w:asciiTheme="minorHAnsi" w:hAnsiTheme="minorHAnsi" w:cstheme="minorHAnsi"/>
                <w:sz w:val="21"/>
                <w:szCs w:val="21"/>
              </w:rPr>
              <w:t>*</w:t>
            </w:r>
            <w:proofErr w:type="gramEnd"/>
            <w:r w:rsidRPr="00680E1A">
              <w:rPr>
                <w:rFonts w:asciiTheme="minorHAnsi" w:hAnsiTheme="minorHAnsi" w:cstheme="minorHAnsi"/>
                <w:sz w:val="21"/>
                <w:szCs w:val="21"/>
              </w:rPr>
              <w:t>:</w:t>
            </w:r>
          </w:p>
          <w:p w14:paraId="15B7F96B" w14:textId="77777777" w:rsidR="008A4CA9" w:rsidRDefault="008A4CA9" w:rsidP="00680E1A">
            <w:pPr>
              <w:pBdr>
                <w:left w:val="single" w:sz="4" w:space="4" w:color="auto"/>
                <w:right w:val="single" w:sz="4" w:space="4" w:color="auto"/>
              </w:pBdr>
              <w:rPr>
                <w:rFonts w:asciiTheme="minorHAnsi" w:hAnsiTheme="minorHAnsi" w:cstheme="minorHAnsi"/>
                <w:sz w:val="21"/>
                <w:szCs w:val="21"/>
              </w:rPr>
            </w:pPr>
          </w:p>
          <w:p w14:paraId="51FD19DA" w14:textId="2967FF40" w:rsidR="002E740A" w:rsidRDefault="002E740A" w:rsidP="00680E1A">
            <w:pPr>
              <w:pBdr>
                <w:left w:val="single" w:sz="4" w:space="4" w:color="auto"/>
                <w:right w:val="single" w:sz="4" w:space="4" w:color="auto"/>
              </w:pBdr>
              <w:rPr>
                <w:rFonts w:asciiTheme="minorHAnsi" w:hAnsiTheme="minorHAnsi" w:cstheme="minorHAnsi"/>
                <w:sz w:val="21"/>
                <w:szCs w:val="21"/>
              </w:rPr>
            </w:pPr>
            <w:r>
              <w:rPr>
                <w:rFonts w:asciiTheme="minorHAnsi" w:hAnsiTheme="minorHAnsi" w:cstheme="minorHAnsi"/>
                <w:sz w:val="21"/>
                <w:szCs w:val="21"/>
              </w:rPr>
              <w:t>[see table in Final Report]</w:t>
            </w:r>
          </w:p>
          <w:p w14:paraId="1D1EACFB" w14:textId="77777777" w:rsidR="008A4CA9" w:rsidRDefault="008A4CA9" w:rsidP="00680E1A">
            <w:pPr>
              <w:pBdr>
                <w:left w:val="single" w:sz="4" w:space="4" w:color="auto"/>
                <w:right w:val="single" w:sz="4" w:space="4" w:color="auto"/>
              </w:pBdr>
              <w:rPr>
                <w:rFonts w:asciiTheme="minorHAnsi" w:hAnsiTheme="minorHAnsi" w:cstheme="minorHAnsi"/>
                <w:sz w:val="21"/>
                <w:szCs w:val="21"/>
              </w:rPr>
            </w:pPr>
          </w:p>
          <w:p w14:paraId="271388C1" w14:textId="2DF8990C" w:rsidR="008A4CA9" w:rsidRPr="00680E1A" w:rsidRDefault="008A4CA9" w:rsidP="00680E1A">
            <w:pPr>
              <w:pBdr>
                <w:left w:val="single" w:sz="4" w:space="4" w:color="auto"/>
                <w:right w:val="single" w:sz="4" w:space="4" w:color="auto"/>
              </w:pBdr>
              <w:rPr>
                <w:rFonts w:asciiTheme="minorHAnsi" w:hAnsiTheme="minorHAnsi" w:cstheme="minorHAnsi"/>
                <w:sz w:val="21"/>
                <w:szCs w:val="21"/>
              </w:rPr>
            </w:pPr>
            <w:r>
              <w:rPr>
                <w:rFonts w:asciiTheme="minorHAnsi" w:hAnsiTheme="minorHAnsi" w:cstheme="minorHAnsi"/>
                <w:sz w:val="21"/>
                <w:szCs w:val="21"/>
              </w:rPr>
              <w:t xml:space="preserve">* </w:t>
            </w:r>
            <w:r w:rsidRPr="002E740A">
              <w:rPr>
                <w:rFonts w:asciiTheme="minorHAnsi" w:hAnsiTheme="minorHAnsi" w:cstheme="minorHAnsi"/>
                <w:sz w:val="18"/>
                <w:szCs w:val="18"/>
              </w:rPr>
              <w:t xml:space="preserve">To clarify, the data elements listed here are the aggregate of data elements that ICANN Compliance may request. As noted in the </w:t>
            </w:r>
            <w:hyperlink r:id="rId8" w:history="1">
              <w:r w:rsidRPr="002E740A">
                <w:rPr>
                  <w:rStyle w:val="Hyperlink"/>
                  <w:rFonts w:asciiTheme="minorHAnsi" w:hAnsiTheme="minorHAnsi" w:cstheme="minorHAnsi"/>
                  <w:sz w:val="18"/>
                  <w:szCs w:val="18"/>
                </w:rPr>
                <w:t>Summary of ICANN Organization’s Contractual Compliance Team Data Processing Activities</w:t>
              </w:r>
            </w:hyperlink>
            <w:r w:rsidRPr="002E740A">
              <w:rPr>
                <w:rFonts w:asciiTheme="minorHAnsi" w:hAnsiTheme="minorHAnsi" w:cstheme="minorHAnsi"/>
                <w:sz w:val="18"/>
                <w:szCs w:val="18"/>
              </w:rPr>
              <w:t xml:space="preserve"> “If the Contractual Compliance Team is unable to validate the issue(s) outlined in a complaint because the publicly available WHOIS data is redacted/masked, it will request the redacted/masked registration data directly from the contracted party (or its representative). In these instances, the Contractual Compliance Team will only request the redacted/masked data elements that are needed to validate the issue(s) outlined in the complaint”.</w:t>
            </w:r>
          </w:p>
        </w:tc>
        <w:tc>
          <w:tcPr>
            <w:tcW w:w="1518" w:type="dxa"/>
          </w:tcPr>
          <w:p w14:paraId="3372281C" w14:textId="05052C09" w:rsidR="000A24FD" w:rsidRPr="00E82D1D" w:rsidRDefault="00DB018D" w:rsidP="00DB018D">
            <w:pPr>
              <w:rPr>
                <w:rFonts w:asciiTheme="minorHAnsi" w:hAnsiTheme="minorHAnsi" w:cstheme="minorHAnsi"/>
                <w:b/>
                <w:sz w:val="21"/>
                <w:szCs w:val="21"/>
              </w:rPr>
            </w:pPr>
            <w:r>
              <w:rPr>
                <w:rFonts w:asciiTheme="minorHAnsi" w:hAnsiTheme="minorHAnsi" w:cstheme="minorHAnsi"/>
                <w:sz w:val="21"/>
                <w:szCs w:val="21"/>
              </w:rPr>
              <w:lastRenderedPageBreak/>
              <w:t xml:space="preserve">Full </w:t>
            </w:r>
            <w:proofErr w:type="spellStart"/>
            <w:r>
              <w:rPr>
                <w:rFonts w:asciiTheme="minorHAnsi" w:hAnsiTheme="minorHAnsi" w:cstheme="minorHAnsi"/>
                <w:sz w:val="21"/>
                <w:szCs w:val="21"/>
              </w:rPr>
              <w:t>Consnesus</w:t>
            </w:r>
            <w:proofErr w:type="spellEnd"/>
            <w:r>
              <w:rPr>
                <w:rFonts w:asciiTheme="minorHAnsi" w:hAnsiTheme="minorHAnsi" w:cstheme="minorHAnsi"/>
                <w:sz w:val="21"/>
                <w:szCs w:val="21"/>
              </w:rPr>
              <w:t xml:space="preserve"> / Consensus</w:t>
            </w:r>
          </w:p>
        </w:tc>
        <w:tc>
          <w:tcPr>
            <w:tcW w:w="2000" w:type="dxa"/>
          </w:tcPr>
          <w:p w14:paraId="3D798566" w14:textId="4DE83611" w:rsidR="004B5CB2" w:rsidRPr="00E82D1D" w:rsidRDefault="004B5CB2" w:rsidP="00AA14F2">
            <w:pPr>
              <w:rPr>
                <w:rFonts w:asciiTheme="minorHAnsi" w:hAnsiTheme="minorHAnsi" w:cstheme="minorHAnsi"/>
                <w:sz w:val="21"/>
                <w:szCs w:val="21"/>
              </w:rPr>
            </w:pPr>
          </w:p>
        </w:tc>
      </w:tr>
      <w:tr w:rsidR="00F16588" w:rsidRPr="00E82D1D" w14:paraId="2A9B191B" w14:textId="77777777" w:rsidTr="00DB018D">
        <w:tc>
          <w:tcPr>
            <w:tcW w:w="2180" w:type="dxa"/>
          </w:tcPr>
          <w:p w14:paraId="1E989630" w14:textId="70B102EA" w:rsidR="00F16588" w:rsidRPr="00E82D1D" w:rsidRDefault="00F16588" w:rsidP="00AA14F2">
            <w:pPr>
              <w:spacing w:before="6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lastRenderedPageBreak/>
              <w:t>Recommendation #</w:t>
            </w:r>
            <w:r w:rsidR="002521EF">
              <w:rPr>
                <w:rFonts w:asciiTheme="minorHAnsi" w:hAnsiTheme="minorHAnsi" w:cstheme="minorHAnsi"/>
                <w:color w:val="000000" w:themeColor="text1"/>
                <w:sz w:val="21"/>
                <w:szCs w:val="21"/>
              </w:rPr>
              <w:t>10</w:t>
            </w:r>
            <w:r w:rsidR="00691D3F">
              <w:rPr>
                <w:rFonts w:asciiTheme="minorHAnsi" w:hAnsiTheme="minorHAnsi" w:cstheme="minorHAnsi"/>
                <w:color w:val="000000" w:themeColor="text1"/>
                <w:sz w:val="21"/>
                <w:szCs w:val="21"/>
              </w:rPr>
              <w:t xml:space="preserve"> (</w:t>
            </w:r>
            <w:r w:rsidR="002521EF">
              <w:rPr>
                <w:rFonts w:asciiTheme="minorHAnsi" w:hAnsiTheme="minorHAnsi" w:cstheme="minorHAnsi"/>
                <w:color w:val="000000" w:themeColor="text1"/>
                <w:sz w:val="21"/>
                <w:szCs w:val="21"/>
              </w:rPr>
              <w:t>old</w:t>
            </w:r>
            <w:r w:rsidR="00691D3F">
              <w:rPr>
                <w:rFonts w:asciiTheme="minorHAnsi" w:hAnsiTheme="minorHAnsi" w:cstheme="minorHAnsi"/>
                <w:color w:val="000000" w:themeColor="text1"/>
                <w:sz w:val="21"/>
                <w:szCs w:val="21"/>
              </w:rPr>
              <w:t xml:space="preserve"> #</w:t>
            </w:r>
            <w:r w:rsidR="002521EF">
              <w:rPr>
                <w:rFonts w:asciiTheme="minorHAnsi" w:hAnsiTheme="minorHAnsi" w:cstheme="minorHAnsi"/>
                <w:color w:val="000000" w:themeColor="text1"/>
                <w:sz w:val="21"/>
                <w:szCs w:val="21"/>
              </w:rPr>
              <w:t>8</w:t>
            </w:r>
            <w:r w:rsidR="00691D3F">
              <w:rPr>
                <w:rFonts w:asciiTheme="minorHAnsi" w:hAnsiTheme="minorHAnsi" w:cstheme="minorHAnsi"/>
                <w:color w:val="000000" w:themeColor="text1"/>
                <w:sz w:val="21"/>
                <w:szCs w:val="21"/>
              </w:rPr>
              <w:t>)</w:t>
            </w:r>
            <w:r>
              <w:rPr>
                <w:rFonts w:asciiTheme="minorHAnsi" w:hAnsiTheme="minorHAnsi" w:cstheme="minorHAnsi"/>
                <w:color w:val="000000" w:themeColor="text1"/>
                <w:sz w:val="21"/>
                <w:szCs w:val="21"/>
              </w:rPr>
              <w:t xml:space="preserve"> – Data Redaction</w:t>
            </w:r>
          </w:p>
        </w:tc>
        <w:tc>
          <w:tcPr>
            <w:tcW w:w="7421" w:type="dxa"/>
          </w:tcPr>
          <w:p w14:paraId="448E5619" w14:textId="77777777" w:rsidR="00F16588" w:rsidRDefault="002E740A" w:rsidP="00AA14F2">
            <w:pPr>
              <w:rPr>
                <w:rFonts w:asciiTheme="minorHAnsi" w:hAnsiTheme="minorHAnsi" w:cstheme="minorHAnsi"/>
                <w:sz w:val="21"/>
                <w:szCs w:val="21"/>
              </w:rPr>
            </w:pPr>
            <w:r w:rsidRPr="002E740A">
              <w:rPr>
                <w:rFonts w:asciiTheme="minorHAnsi" w:hAnsiTheme="minorHAnsi" w:cstheme="minorHAnsi"/>
                <w:sz w:val="21"/>
                <w:szCs w:val="21"/>
              </w:rPr>
              <w:t>Requirements for processing personal data in public RDDS where processing is subject to GDPR: The EPDP Team recommends that redaction must be applied as follows to the data elements that are collected. Data elements neither redacted nor anonymized must appear via free public based query access:</w:t>
            </w:r>
          </w:p>
          <w:p w14:paraId="51B189EF" w14:textId="77777777" w:rsidR="002E740A" w:rsidRDefault="002E740A" w:rsidP="00AA14F2">
            <w:pPr>
              <w:rPr>
                <w:rFonts w:asciiTheme="minorHAnsi" w:hAnsiTheme="minorHAnsi" w:cstheme="minorHAnsi"/>
                <w:sz w:val="21"/>
                <w:szCs w:val="21"/>
              </w:rPr>
            </w:pPr>
          </w:p>
          <w:p w14:paraId="49C1F7B6" w14:textId="3148D21E" w:rsidR="002E740A" w:rsidRDefault="002E740A" w:rsidP="00AA14F2">
            <w:pPr>
              <w:rPr>
                <w:rFonts w:asciiTheme="minorHAnsi" w:hAnsiTheme="minorHAnsi" w:cstheme="minorHAnsi"/>
                <w:sz w:val="21"/>
                <w:szCs w:val="21"/>
              </w:rPr>
            </w:pPr>
            <w:r>
              <w:rPr>
                <w:rFonts w:asciiTheme="minorHAnsi" w:hAnsiTheme="minorHAnsi" w:cstheme="minorHAnsi"/>
                <w:sz w:val="21"/>
                <w:szCs w:val="21"/>
              </w:rPr>
              <w:t>[see table in Final Report]</w:t>
            </w:r>
          </w:p>
          <w:p w14:paraId="26FDBEDD" w14:textId="77777777" w:rsidR="002E740A" w:rsidRDefault="002E740A" w:rsidP="00AA14F2">
            <w:pPr>
              <w:rPr>
                <w:rFonts w:asciiTheme="minorHAnsi" w:hAnsiTheme="minorHAnsi" w:cstheme="minorHAnsi"/>
                <w:color w:val="000000" w:themeColor="text1"/>
                <w:sz w:val="21"/>
                <w:szCs w:val="21"/>
              </w:rPr>
            </w:pPr>
          </w:p>
          <w:p w14:paraId="5EC67A24" w14:textId="70C5A240" w:rsidR="002E740A" w:rsidRPr="002E740A" w:rsidRDefault="002E740A" w:rsidP="002E740A">
            <w:pPr>
              <w:pBdr>
                <w:left w:val="single" w:sz="4" w:space="4" w:color="auto"/>
                <w:right w:val="single" w:sz="4" w:space="4" w:color="auto"/>
              </w:pBdr>
              <w:rPr>
                <w:rFonts w:asciiTheme="minorHAnsi" w:hAnsiTheme="minorHAnsi" w:cstheme="minorHAnsi"/>
                <w:sz w:val="21"/>
                <w:szCs w:val="21"/>
              </w:rPr>
            </w:pPr>
            <w:r w:rsidRPr="002E740A">
              <w:rPr>
                <w:rFonts w:asciiTheme="minorHAnsi" w:hAnsiTheme="minorHAnsi" w:cstheme="minorHAnsi"/>
                <w:sz w:val="21"/>
                <w:szCs w:val="21"/>
              </w:rPr>
              <w:t>The EPDP Team also confirms that Registry Operator and Registrar MAY apply the requirements outlined in this recommendation, as well as recommendation #12, #13, #14 and #15 (</w:t>
            </w:r>
            <w:proofErr w:type="spellStart"/>
            <w:r w:rsidRPr="002E740A">
              <w:rPr>
                <w:rFonts w:asciiTheme="minorHAnsi" w:hAnsiTheme="minorHAnsi" w:cstheme="minorHAnsi"/>
                <w:sz w:val="21"/>
                <w:szCs w:val="21"/>
              </w:rPr>
              <w:t>i</w:t>
            </w:r>
            <w:proofErr w:type="spellEnd"/>
            <w:r w:rsidRPr="002E740A">
              <w:rPr>
                <w:rFonts w:asciiTheme="minorHAnsi" w:hAnsiTheme="minorHAnsi" w:cstheme="minorHAnsi"/>
                <w:sz w:val="21"/>
                <w:szCs w:val="21"/>
              </w:rPr>
              <w:t xml:space="preserve">) where it has a commercially reasonable purpose to do so, or (ii) where it is not technically feasible to limit application of these requirements. </w:t>
            </w:r>
          </w:p>
        </w:tc>
        <w:tc>
          <w:tcPr>
            <w:tcW w:w="1518" w:type="dxa"/>
          </w:tcPr>
          <w:p w14:paraId="7F489496" w14:textId="32770334" w:rsidR="00F16588" w:rsidRPr="00E82D1D" w:rsidRDefault="00DB018D" w:rsidP="00DB018D">
            <w:pPr>
              <w:rPr>
                <w:rFonts w:asciiTheme="minorHAnsi" w:hAnsiTheme="minorHAnsi" w:cstheme="minorHAnsi"/>
                <w:b/>
                <w:sz w:val="21"/>
                <w:szCs w:val="21"/>
              </w:rPr>
            </w:pPr>
            <w:r>
              <w:rPr>
                <w:rFonts w:asciiTheme="minorHAnsi" w:hAnsiTheme="minorHAnsi" w:cstheme="minorHAnsi"/>
                <w:sz w:val="21"/>
                <w:szCs w:val="21"/>
              </w:rPr>
              <w:t xml:space="preserve">Full </w:t>
            </w:r>
            <w:proofErr w:type="spellStart"/>
            <w:r>
              <w:rPr>
                <w:rFonts w:asciiTheme="minorHAnsi" w:hAnsiTheme="minorHAnsi" w:cstheme="minorHAnsi"/>
                <w:sz w:val="21"/>
                <w:szCs w:val="21"/>
              </w:rPr>
              <w:t>Consnesus</w:t>
            </w:r>
            <w:proofErr w:type="spellEnd"/>
            <w:r>
              <w:rPr>
                <w:rFonts w:asciiTheme="minorHAnsi" w:hAnsiTheme="minorHAnsi" w:cstheme="minorHAnsi"/>
                <w:sz w:val="21"/>
                <w:szCs w:val="21"/>
              </w:rPr>
              <w:t xml:space="preserve"> / Consensus</w:t>
            </w:r>
          </w:p>
        </w:tc>
        <w:tc>
          <w:tcPr>
            <w:tcW w:w="2000" w:type="dxa"/>
          </w:tcPr>
          <w:p w14:paraId="1E7932B5" w14:textId="06B37054" w:rsidR="004B5CB2" w:rsidRPr="00E82D1D" w:rsidRDefault="00DB018D" w:rsidP="00AA14F2">
            <w:pPr>
              <w:rPr>
                <w:rFonts w:asciiTheme="minorHAnsi" w:hAnsiTheme="minorHAnsi" w:cstheme="minorHAnsi"/>
                <w:sz w:val="21"/>
                <w:szCs w:val="21"/>
              </w:rPr>
            </w:pPr>
            <w:r>
              <w:rPr>
                <w:rFonts w:asciiTheme="minorHAnsi" w:hAnsiTheme="minorHAnsi" w:cstheme="minorHAnsi"/>
                <w:sz w:val="21"/>
                <w:szCs w:val="21"/>
              </w:rPr>
              <w:t>The city field is being held separate from this.</w:t>
            </w:r>
          </w:p>
        </w:tc>
      </w:tr>
      <w:tr w:rsidR="00F16588" w:rsidRPr="00E82D1D" w14:paraId="71CFE4F3" w14:textId="77777777" w:rsidTr="00DB018D">
        <w:trPr>
          <w:trHeight w:val="665"/>
        </w:trPr>
        <w:tc>
          <w:tcPr>
            <w:tcW w:w="2180" w:type="dxa"/>
          </w:tcPr>
          <w:p w14:paraId="1F515DAF" w14:textId="1290EE3C" w:rsidR="00F16588" w:rsidRPr="00E82D1D" w:rsidRDefault="00F16588" w:rsidP="00AA14F2">
            <w:pPr>
              <w:spacing w:before="60"/>
              <w:rPr>
                <w:rFonts w:asciiTheme="minorHAnsi" w:hAnsiTheme="minorHAnsi" w:cstheme="minorHAnsi"/>
                <w:color w:val="000000" w:themeColor="text1"/>
                <w:sz w:val="21"/>
                <w:szCs w:val="21"/>
              </w:rPr>
            </w:pPr>
            <w:r w:rsidRPr="00E82D1D">
              <w:rPr>
                <w:rFonts w:asciiTheme="minorHAnsi" w:hAnsiTheme="minorHAnsi" w:cstheme="minorHAnsi"/>
                <w:color w:val="000000" w:themeColor="text1"/>
                <w:sz w:val="21"/>
                <w:szCs w:val="21"/>
              </w:rPr>
              <w:t>Recommendation #</w:t>
            </w:r>
            <w:r w:rsidR="002521EF">
              <w:rPr>
                <w:rFonts w:asciiTheme="minorHAnsi" w:hAnsiTheme="minorHAnsi" w:cstheme="minorHAnsi"/>
                <w:color w:val="000000" w:themeColor="text1"/>
                <w:sz w:val="21"/>
                <w:szCs w:val="21"/>
              </w:rPr>
              <w:t>12</w:t>
            </w:r>
            <w:r w:rsidR="00691D3F">
              <w:rPr>
                <w:rFonts w:asciiTheme="minorHAnsi" w:hAnsiTheme="minorHAnsi" w:cstheme="minorHAnsi"/>
                <w:color w:val="000000" w:themeColor="text1"/>
                <w:sz w:val="21"/>
                <w:szCs w:val="21"/>
              </w:rPr>
              <w:t xml:space="preserve"> (</w:t>
            </w:r>
            <w:r w:rsidR="002521EF">
              <w:rPr>
                <w:rFonts w:asciiTheme="minorHAnsi" w:hAnsiTheme="minorHAnsi" w:cstheme="minorHAnsi"/>
                <w:color w:val="000000" w:themeColor="text1"/>
                <w:sz w:val="21"/>
                <w:szCs w:val="21"/>
              </w:rPr>
              <w:t>old</w:t>
            </w:r>
            <w:r w:rsidR="00691D3F">
              <w:rPr>
                <w:rFonts w:asciiTheme="minorHAnsi" w:hAnsiTheme="minorHAnsi" w:cstheme="minorHAnsi"/>
                <w:color w:val="000000" w:themeColor="text1"/>
                <w:sz w:val="21"/>
                <w:szCs w:val="21"/>
              </w:rPr>
              <w:t xml:space="preserve"> #</w:t>
            </w:r>
            <w:r w:rsidR="002521EF">
              <w:rPr>
                <w:rFonts w:asciiTheme="minorHAnsi" w:hAnsiTheme="minorHAnsi" w:cstheme="minorHAnsi"/>
                <w:color w:val="000000" w:themeColor="text1"/>
                <w:sz w:val="21"/>
                <w:szCs w:val="21"/>
              </w:rPr>
              <w:t>9</w:t>
            </w:r>
            <w:r w:rsidR="00691D3F">
              <w:rPr>
                <w:rFonts w:asciiTheme="minorHAnsi" w:hAnsiTheme="minorHAnsi" w:cstheme="minorHAnsi"/>
                <w:color w:val="000000" w:themeColor="text1"/>
                <w:sz w:val="21"/>
                <w:szCs w:val="21"/>
              </w:rPr>
              <w:t>)</w:t>
            </w:r>
            <w:r w:rsidRPr="00E82D1D">
              <w:rPr>
                <w:rFonts w:asciiTheme="minorHAnsi" w:hAnsiTheme="minorHAnsi" w:cstheme="minorHAnsi"/>
                <w:color w:val="000000" w:themeColor="text1"/>
                <w:sz w:val="21"/>
                <w:szCs w:val="21"/>
              </w:rPr>
              <w:t xml:space="preserve"> – Organization field</w:t>
            </w:r>
          </w:p>
        </w:tc>
        <w:tc>
          <w:tcPr>
            <w:tcW w:w="7421" w:type="dxa"/>
          </w:tcPr>
          <w:p w14:paraId="50933072" w14:textId="77777777" w:rsidR="002E740A" w:rsidRPr="002E740A" w:rsidRDefault="002E740A" w:rsidP="002E740A">
            <w:pPr>
              <w:pBdr>
                <w:top w:val="single" w:sz="4" w:space="1" w:color="auto"/>
                <w:left w:val="single" w:sz="4" w:space="4" w:color="auto"/>
                <w:right w:val="single" w:sz="4" w:space="4" w:color="auto"/>
              </w:pBdr>
              <w:rPr>
                <w:rFonts w:asciiTheme="minorHAnsi" w:hAnsiTheme="minorHAnsi" w:cstheme="minorHAnsi"/>
                <w:color w:val="000000"/>
                <w:sz w:val="21"/>
                <w:szCs w:val="21"/>
              </w:rPr>
            </w:pPr>
            <w:r w:rsidRPr="002E740A">
              <w:rPr>
                <w:rFonts w:asciiTheme="minorHAnsi" w:hAnsiTheme="minorHAnsi" w:cstheme="minorHAnsi"/>
                <w:color w:val="000000"/>
                <w:sz w:val="21"/>
                <w:szCs w:val="21"/>
                <w:lang w:val="en-AU"/>
              </w:rPr>
              <w:t>The EPDP Team recommends that:</w:t>
            </w:r>
          </w:p>
          <w:p w14:paraId="39B666BF" w14:textId="77777777" w:rsidR="002E740A" w:rsidRPr="002E740A" w:rsidRDefault="002E740A" w:rsidP="002E740A">
            <w:pPr>
              <w:pStyle w:val="ListParagraph"/>
              <w:numPr>
                <w:ilvl w:val="0"/>
                <w:numId w:val="35"/>
              </w:numPr>
              <w:spacing w:before="0" w:beforeAutospacing="0" w:after="0" w:afterAutospacing="0"/>
              <w:contextualSpacing/>
              <w:rPr>
                <w:rFonts w:asciiTheme="minorHAnsi" w:hAnsiTheme="minorHAnsi" w:cstheme="minorHAnsi"/>
                <w:color w:val="000000"/>
                <w:sz w:val="21"/>
                <w:szCs w:val="21"/>
              </w:rPr>
            </w:pPr>
            <w:r w:rsidRPr="002E740A">
              <w:rPr>
                <w:rFonts w:asciiTheme="minorHAnsi" w:hAnsiTheme="minorHAnsi" w:cstheme="minorHAnsi"/>
                <w:color w:val="000000"/>
                <w:sz w:val="21"/>
                <w:szCs w:val="21"/>
                <w:lang w:val="en-AU"/>
              </w:rPr>
              <w:t xml:space="preserve">The Organization field will be published if that publication is acknowledged or confirmed by the registrant via a process that can be determined by each registrar. If the registered name holder does not confirm the publication, </w:t>
            </w:r>
            <w:r w:rsidRPr="002E740A">
              <w:rPr>
                <w:rFonts w:asciiTheme="minorHAnsi" w:hAnsiTheme="minorHAnsi" w:cstheme="minorHAnsi"/>
                <w:color w:val="000000"/>
                <w:sz w:val="21"/>
                <w:szCs w:val="21"/>
                <w:lang w:val="en-AU"/>
              </w:rPr>
              <w:lastRenderedPageBreak/>
              <w:t>the Organization field can be redacted or the field contents deleted at the option of the registrar.</w:t>
            </w:r>
          </w:p>
          <w:p w14:paraId="2590855B" w14:textId="77777777" w:rsidR="002E740A" w:rsidRPr="002E740A" w:rsidRDefault="002E740A" w:rsidP="002E740A">
            <w:pPr>
              <w:pStyle w:val="ListParagraph"/>
              <w:numPr>
                <w:ilvl w:val="0"/>
                <w:numId w:val="35"/>
              </w:numPr>
              <w:spacing w:before="0" w:beforeAutospacing="0" w:after="0" w:afterAutospacing="0"/>
              <w:contextualSpacing/>
              <w:rPr>
                <w:rFonts w:asciiTheme="minorHAnsi" w:hAnsiTheme="minorHAnsi" w:cstheme="minorHAnsi"/>
                <w:color w:val="000000"/>
                <w:sz w:val="21"/>
                <w:szCs w:val="21"/>
              </w:rPr>
            </w:pPr>
            <w:r w:rsidRPr="002E740A">
              <w:rPr>
                <w:rFonts w:asciiTheme="minorHAnsi" w:hAnsiTheme="minorHAnsi" w:cstheme="minorHAnsi"/>
                <w:color w:val="000000"/>
                <w:sz w:val="21"/>
                <w:szCs w:val="21"/>
                <w:lang w:val="en-AU"/>
              </w:rPr>
              <w:t>The implementation will have a phase-in period to allow registrars the time to deal with existing registrations and develop procedures.</w:t>
            </w:r>
          </w:p>
          <w:p w14:paraId="3458B0FA" w14:textId="77777777" w:rsidR="002E740A" w:rsidRPr="002E740A" w:rsidRDefault="002E740A" w:rsidP="002E740A">
            <w:pPr>
              <w:pStyle w:val="ListParagraph"/>
              <w:numPr>
                <w:ilvl w:val="0"/>
                <w:numId w:val="35"/>
              </w:numPr>
              <w:spacing w:before="0" w:beforeAutospacing="0" w:after="0" w:afterAutospacing="0"/>
              <w:contextualSpacing/>
              <w:rPr>
                <w:rFonts w:asciiTheme="minorHAnsi" w:hAnsiTheme="minorHAnsi" w:cstheme="minorHAnsi"/>
                <w:color w:val="000000"/>
                <w:sz w:val="21"/>
                <w:szCs w:val="21"/>
              </w:rPr>
            </w:pPr>
            <w:r w:rsidRPr="002E740A">
              <w:rPr>
                <w:rFonts w:asciiTheme="minorHAnsi" w:hAnsiTheme="minorHAnsi" w:cstheme="minorHAnsi"/>
                <w:color w:val="000000"/>
                <w:sz w:val="21"/>
                <w:szCs w:val="21"/>
                <w:lang w:val="en-AU"/>
              </w:rPr>
              <w:t>In the meantime, registrars will be permitted to redact the Organization Field. </w:t>
            </w:r>
          </w:p>
          <w:p w14:paraId="498A3425" w14:textId="77777777" w:rsidR="002E740A" w:rsidRPr="002E740A" w:rsidRDefault="002E740A" w:rsidP="002E740A">
            <w:pPr>
              <w:pStyle w:val="ListParagraph"/>
              <w:numPr>
                <w:ilvl w:val="0"/>
                <w:numId w:val="35"/>
              </w:numPr>
              <w:spacing w:before="0" w:beforeAutospacing="0" w:after="0" w:afterAutospacing="0"/>
              <w:contextualSpacing/>
              <w:rPr>
                <w:rFonts w:asciiTheme="minorHAnsi" w:hAnsiTheme="minorHAnsi" w:cstheme="minorHAnsi"/>
                <w:color w:val="000000"/>
                <w:sz w:val="21"/>
                <w:szCs w:val="21"/>
                <w:lang w:val="en-AU"/>
              </w:rPr>
            </w:pPr>
            <w:r w:rsidRPr="002E740A">
              <w:rPr>
                <w:rFonts w:asciiTheme="minorHAnsi" w:hAnsiTheme="minorHAnsi" w:cstheme="minorHAnsi"/>
                <w:color w:val="000000"/>
                <w:sz w:val="21"/>
                <w:szCs w:val="21"/>
                <w:lang w:val="en-AU"/>
              </w:rPr>
              <w:t xml:space="preserve">A registry Operator, where they believe it feasible to do so, may publish or redact the Org Field in the RDDS output. </w:t>
            </w:r>
          </w:p>
          <w:p w14:paraId="55FF5AAA" w14:textId="77777777" w:rsidR="002E740A" w:rsidRPr="002E740A" w:rsidRDefault="002E740A" w:rsidP="002E740A">
            <w:pPr>
              <w:ind w:left="94"/>
              <w:rPr>
                <w:rFonts w:asciiTheme="minorHAnsi" w:hAnsiTheme="minorHAnsi" w:cstheme="minorHAnsi"/>
                <w:b/>
                <w:bCs/>
                <w:color w:val="000000"/>
                <w:sz w:val="21"/>
                <w:szCs w:val="21"/>
              </w:rPr>
            </w:pPr>
          </w:p>
          <w:p w14:paraId="404602D3" w14:textId="77777777" w:rsidR="002E740A" w:rsidRPr="002E740A" w:rsidRDefault="002E740A" w:rsidP="002E740A">
            <w:pPr>
              <w:ind w:left="94"/>
              <w:rPr>
                <w:rFonts w:asciiTheme="minorHAnsi" w:hAnsiTheme="minorHAnsi" w:cstheme="minorHAnsi"/>
                <w:color w:val="000000"/>
                <w:sz w:val="21"/>
                <w:szCs w:val="21"/>
              </w:rPr>
            </w:pPr>
            <w:r w:rsidRPr="002E740A">
              <w:rPr>
                <w:rFonts w:asciiTheme="minorHAnsi" w:hAnsiTheme="minorHAnsi" w:cstheme="minorHAnsi"/>
                <w:b/>
                <w:bCs/>
                <w:color w:val="000000"/>
                <w:sz w:val="21"/>
                <w:szCs w:val="21"/>
              </w:rPr>
              <w:t>Implementation advice:</w:t>
            </w:r>
            <w:r w:rsidRPr="002E740A">
              <w:rPr>
                <w:rStyle w:val="apple-converted-space"/>
                <w:rFonts w:asciiTheme="minorHAnsi" w:eastAsiaTheme="majorEastAsia" w:hAnsiTheme="minorHAnsi" w:cstheme="minorHAnsi"/>
                <w:color w:val="000000"/>
                <w:sz w:val="21"/>
                <w:szCs w:val="21"/>
              </w:rPr>
              <w:t> </w:t>
            </w:r>
            <w:r w:rsidRPr="002E740A">
              <w:rPr>
                <w:rFonts w:asciiTheme="minorHAnsi" w:hAnsiTheme="minorHAnsi" w:cstheme="minorHAnsi"/>
                <w:color w:val="000000"/>
                <w:sz w:val="21"/>
                <w:szCs w:val="21"/>
              </w:rPr>
              <w:t>the implementation review team should consider the following implementation model discussed by the EPDP Team:</w:t>
            </w:r>
          </w:p>
          <w:p w14:paraId="58E7350A" w14:textId="77777777" w:rsidR="002E740A" w:rsidRPr="002E740A" w:rsidRDefault="002E740A" w:rsidP="002E740A">
            <w:pPr>
              <w:ind w:left="94"/>
              <w:rPr>
                <w:rFonts w:asciiTheme="minorHAnsi" w:hAnsiTheme="minorHAnsi" w:cstheme="minorHAnsi"/>
                <w:color w:val="000000"/>
                <w:sz w:val="21"/>
                <w:szCs w:val="21"/>
              </w:rPr>
            </w:pPr>
          </w:p>
          <w:p w14:paraId="38EA990D" w14:textId="77777777" w:rsidR="002E740A" w:rsidRPr="002E740A" w:rsidRDefault="002E740A" w:rsidP="002E740A">
            <w:pPr>
              <w:ind w:left="94"/>
              <w:rPr>
                <w:rFonts w:asciiTheme="minorHAnsi" w:hAnsiTheme="minorHAnsi" w:cstheme="minorHAnsi"/>
                <w:color w:val="000000"/>
                <w:sz w:val="21"/>
                <w:szCs w:val="21"/>
              </w:rPr>
            </w:pPr>
            <w:r w:rsidRPr="002E740A">
              <w:rPr>
                <w:rFonts w:asciiTheme="minorHAnsi" w:hAnsiTheme="minorHAnsi" w:cstheme="minorHAnsi"/>
                <w:color w:val="000000"/>
                <w:sz w:val="21"/>
                <w:szCs w:val="21"/>
                <w:lang w:val="en-AU"/>
              </w:rPr>
              <w:t>For existing registrations, the first step will be to confirm the correctness / accuracy of the existing Organization field data.</w:t>
            </w:r>
            <w:r w:rsidRPr="002E740A">
              <w:rPr>
                <w:rFonts w:asciiTheme="minorHAnsi" w:hAnsiTheme="minorHAnsi" w:cstheme="minorHAnsi"/>
                <w:color w:val="000000"/>
                <w:sz w:val="21"/>
                <w:szCs w:val="21"/>
              </w:rPr>
              <w:t> </w:t>
            </w:r>
          </w:p>
          <w:p w14:paraId="1AFE4817" w14:textId="77777777" w:rsidR="002E740A" w:rsidRPr="002E740A" w:rsidRDefault="002E740A" w:rsidP="002E740A">
            <w:pPr>
              <w:ind w:left="94"/>
              <w:rPr>
                <w:rFonts w:asciiTheme="minorHAnsi" w:hAnsiTheme="minorHAnsi" w:cstheme="minorHAnsi"/>
                <w:color w:val="000000"/>
                <w:sz w:val="21"/>
                <w:szCs w:val="21"/>
                <w:lang w:val="en-AU"/>
              </w:rPr>
            </w:pPr>
          </w:p>
          <w:p w14:paraId="28204EF5" w14:textId="77777777" w:rsidR="002E740A" w:rsidRPr="002E740A" w:rsidRDefault="002E740A" w:rsidP="002E740A">
            <w:pPr>
              <w:ind w:left="94"/>
              <w:rPr>
                <w:rFonts w:asciiTheme="minorHAnsi" w:hAnsiTheme="minorHAnsi" w:cstheme="minorHAnsi"/>
                <w:color w:val="000000"/>
                <w:sz w:val="21"/>
                <w:szCs w:val="21"/>
              </w:rPr>
            </w:pPr>
            <w:r w:rsidRPr="002E740A">
              <w:rPr>
                <w:rFonts w:asciiTheme="minorHAnsi" w:hAnsiTheme="minorHAnsi" w:cstheme="minorHAnsi"/>
                <w:color w:val="000000"/>
                <w:sz w:val="21"/>
                <w:szCs w:val="21"/>
                <w:lang w:val="en-AU"/>
              </w:rPr>
              <w:t>For the period between the adoption of EPDP policy recommendations and some future “date certain” to be determined by the implementation review:</w:t>
            </w:r>
          </w:p>
          <w:p w14:paraId="7A81D41C" w14:textId="77777777" w:rsidR="002E740A" w:rsidRPr="00550627" w:rsidRDefault="002E740A" w:rsidP="00550627">
            <w:pPr>
              <w:rPr>
                <w:rFonts w:asciiTheme="minorHAnsi" w:hAnsiTheme="minorHAnsi" w:cstheme="minorHAnsi"/>
                <w:color w:val="000000"/>
                <w:sz w:val="21"/>
                <w:szCs w:val="21"/>
                <w:lang w:val="en-AU"/>
              </w:rPr>
            </w:pPr>
          </w:p>
          <w:p w14:paraId="61B31E78" w14:textId="77777777" w:rsidR="002E740A" w:rsidRPr="002E740A" w:rsidRDefault="002E740A" w:rsidP="002E740A">
            <w:pPr>
              <w:pStyle w:val="ListParagraph"/>
              <w:numPr>
                <w:ilvl w:val="0"/>
                <w:numId w:val="36"/>
              </w:numPr>
              <w:spacing w:before="0" w:beforeAutospacing="0" w:after="0" w:afterAutospacing="0"/>
              <w:contextualSpacing/>
              <w:rPr>
                <w:rFonts w:asciiTheme="minorHAnsi" w:hAnsiTheme="minorHAnsi" w:cstheme="minorHAnsi"/>
                <w:color w:val="000000"/>
                <w:sz w:val="21"/>
                <w:szCs w:val="21"/>
              </w:rPr>
            </w:pPr>
            <w:r w:rsidRPr="002E740A">
              <w:rPr>
                <w:rFonts w:asciiTheme="minorHAnsi" w:hAnsiTheme="minorHAnsi" w:cstheme="minorHAnsi"/>
                <w:color w:val="000000"/>
                <w:sz w:val="21"/>
                <w:szCs w:val="21"/>
                <w:lang w:val="en-AU"/>
              </w:rPr>
              <w:t>Registrars will redact the Organization field</w:t>
            </w:r>
          </w:p>
          <w:p w14:paraId="2FA4DBCE" w14:textId="77777777" w:rsidR="002E740A" w:rsidRPr="002E740A" w:rsidRDefault="002E740A" w:rsidP="002E740A">
            <w:pPr>
              <w:pStyle w:val="ListParagraph"/>
              <w:numPr>
                <w:ilvl w:val="0"/>
                <w:numId w:val="36"/>
              </w:numPr>
              <w:spacing w:before="0" w:beforeAutospacing="0" w:after="0" w:afterAutospacing="0"/>
              <w:contextualSpacing/>
              <w:rPr>
                <w:rFonts w:asciiTheme="minorHAnsi" w:hAnsiTheme="minorHAnsi" w:cstheme="minorHAnsi"/>
                <w:color w:val="000000"/>
                <w:sz w:val="21"/>
                <w:szCs w:val="21"/>
              </w:rPr>
            </w:pPr>
            <w:r w:rsidRPr="002E740A">
              <w:rPr>
                <w:rFonts w:asciiTheme="minorHAnsi" w:hAnsiTheme="minorHAnsi" w:cstheme="minorHAnsi"/>
                <w:color w:val="000000"/>
                <w:sz w:val="21"/>
                <w:szCs w:val="21"/>
                <w:lang w:val="en-AU"/>
              </w:rPr>
              <w:t>Registrars will contact the registered name holders that have entered data in the Organization field and request review and confirmation that the data is correct.</w:t>
            </w:r>
          </w:p>
          <w:p w14:paraId="62912B20" w14:textId="77777777" w:rsidR="002E740A" w:rsidRPr="002E740A" w:rsidRDefault="002E740A" w:rsidP="002E740A">
            <w:pPr>
              <w:pStyle w:val="ListParagraph"/>
              <w:numPr>
                <w:ilvl w:val="0"/>
                <w:numId w:val="37"/>
              </w:numPr>
              <w:spacing w:before="0" w:beforeAutospacing="0" w:after="0" w:afterAutospacing="0"/>
              <w:contextualSpacing/>
              <w:rPr>
                <w:rFonts w:asciiTheme="minorHAnsi" w:hAnsiTheme="minorHAnsi" w:cstheme="minorHAnsi"/>
                <w:color w:val="000000"/>
                <w:sz w:val="21"/>
                <w:szCs w:val="21"/>
              </w:rPr>
            </w:pPr>
            <w:r w:rsidRPr="002E740A">
              <w:rPr>
                <w:rFonts w:asciiTheme="minorHAnsi" w:hAnsiTheme="minorHAnsi" w:cstheme="minorHAnsi"/>
                <w:color w:val="000000"/>
                <w:sz w:val="21"/>
                <w:szCs w:val="21"/>
                <w:lang w:val="en-AU"/>
              </w:rPr>
              <w:t>If the registered name holder confirms or corrects the data will remain in the Organization field.</w:t>
            </w:r>
          </w:p>
          <w:p w14:paraId="76305ACA" w14:textId="77777777" w:rsidR="002E740A" w:rsidRPr="002E740A" w:rsidRDefault="002E740A" w:rsidP="002E740A">
            <w:pPr>
              <w:pStyle w:val="ListParagraph"/>
              <w:numPr>
                <w:ilvl w:val="0"/>
                <w:numId w:val="37"/>
              </w:numPr>
              <w:spacing w:before="0" w:beforeAutospacing="0" w:after="0" w:afterAutospacing="0"/>
              <w:contextualSpacing/>
              <w:rPr>
                <w:rFonts w:asciiTheme="minorHAnsi" w:hAnsiTheme="minorHAnsi" w:cstheme="minorHAnsi"/>
                <w:color w:val="000000"/>
                <w:sz w:val="21"/>
                <w:szCs w:val="21"/>
              </w:rPr>
            </w:pPr>
            <w:r w:rsidRPr="002E740A">
              <w:rPr>
                <w:rFonts w:asciiTheme="minorHAnsi" w:hAnsiTheme="minorHAnsi" w:cstheme="minorHAnsi"/>
                <w:color w:val="000000"/>
                <w:sz w:val="21"/>
                <w:szCs w:val="21"/>
                <w:lang w:val="en-AU"/>
              </w:rPr>
              <w:t>If the registrant declines, or does not respond to the query, the Registrar may redact the Organization field, or delete the field contents. If necessary, the registration will be re-assigned to the Registered Name Holder.</w:t>
            </w:r>
          </w:p>
          <w:p w14:paraId="3817F45D" w14:textId="77777777" w:rsidR="002E740A" w:rsidRPr="002E740A" w:rsidRDefault="002E740A" w:rsidP="002E740A">
            <w:pPr>
              <w:pStyle w:val="ListParagraph"/>
              <w:numPr>
                <w:ilvl w:val="0"/>
                <w:numId w:val="36"/>
              </w:numPr>
              <w:spacing w:before="0" w:beforeAutospacing="0" w:after="0" w:afterAutospacing="0"/>
              <w:contextualSpacing/>
              <w:rPr>
                <w:rFonts w:asciiTheme="minorHAnsi" w:hAnsiTheme="minorHAnsi" w:cstheme="minorHAnsi"/>
                <w:color w:val="000000"/>
                <w:sz w:val="21"/>
                <w:szCs w:val="21"/>
                <w:lang w:val="en-AU"/>
              </w:rPr>
            </w:pPr>
            <w:r w:rsidRPr="002E740A">
              <w:rPr>
                <w:rFonts w:asciiTheme="minorHAnsi" w:hAnsiTheme="minorHAnsi" w:cstheme="minorHAnsi"/>
                <w:color w:val="000000"/>
                <w:sz w:val="21"/>
                <w:szCs w:val="21"/>
                <w:lang w:val="en-AU"/>
              </w:rPr>
              <w:t>If Registrar chooses to publish the Registrant Organization field, it will notify these registered name holders that of the “date certain,” the Organization field will be treated as non-personal data and be published, for those Registered Names Holders who have confirmed the data and agreed to publication.</w:t>
            </w:r>
          </w:p>
          <w:p w14:paraId="0A066CBB" w14:textId="77777777" w:rsidR="002E740A" w:rsidRPr="002E740A" w:rsidRDefault="002E740A" w:rsidP="002E740A">
            <w:pPr>
              <w:ind w:left="94"/>
              <w:rPr>
                <w:rFonts w:asciiTheme="minorHAnsi" w:hAnsiTheme="minorHAnsi" w:cstheme="minorHAnsi"/>
                <w:color w:val="000000"/>
                <w:sz w:val="21"/>
                <w:szCs w:val="21"/>
              </w:rPr>
            </w:pPr>
          </w:p>
          <w:p w14:paraId="3385E65A" w14:textId="77777777" w:rsidR="002E740A" w:rsidRPr="002E740A" w:rsidRDefault="002E740A" w:rsidP="002E740A">
            <w:pPr>
              <w:ind w:left="94"/>
              <w:rPr>
                <w:rFonts w:asciiTheme="minorHAnsi" w:hAnsiTheme="minorHAnsi" w:cstheme="minorHAnsi"/>
                <w:sz w:val="21"/>
                <w:szCs w:val="21"/>
              </w:rPr>
            </w:pPr>
            <w:r w:rsidRPr="002E740A">
              <w:rPr>
                <w:rFonts w:asciiTheme="minorHAnsi" w:hAnsiTheme="minorHAnsi" w:cstheme="minorHAnsi"/>
                <w:color w:val="000000"/>
                <w:sz w:val="21"/>
                <w:szCs w:val="21"/>
              </w:rPr>
              <w:t>For new registrations, beginning with the “date certain”:</w:t>
            </w:r>
            <w:r w:rsidRPr="002E740A">
              <w:rPr>
                <w:rFonts w:asciiTheme="minorHAnsi" w:hAnsiTheme="minorHAnsi" w:cstheme="minorHAnsi"/>
                <w:color w:val="000000"/>
                <w:sz w:val="21"/>
                <w:szCs w:val="21"/>
              </w:rPr>
              <w:br/>
            </w:r>
          </w:p>
          <w:p w14:paraId="32E2C8D0" w14:textId="77777777" w:rsidR="002E740A" w:rsidRPr="002E740A" w:rsidRDefault="002E740A" w:rsidP="002E740A">
            <w:pPr>
              <w:ind w:left="94"/>
              <w:rPr>
                <w:rFonts w:asciiTheme="minorHAnsi" w:hAnsiTheme="minorHAnsi" w:cstheme="minorHAnsi"/>
                <w:color w:val="000000"/>
                <w:sz w:val="21"/>
                <w:szCs w:val="21"/>
              </w:rPr>
            </w:pPr>
            <w:r w:rsidRPr="002E740A">
              <w:rPr>
                <w:rFonts w:asciiTheme="minorHAnsi" w:hAnsiTheme="minorHAnsi" w:cstheme="minorHAnsi"/>
                <w:color w:val="000000"/>
                <w:sz w:val="21"/>
                <w:szCs w:val="21"/>
                <w:lang w:val="en-AU"/>
              </w:rPr>
              <w:t>1) New registrations will present some disclosure, disclaimer or confirmation when data is entered in the Organization field. Registrars are free to develop their own process (e.g., opt-in, pop-up advisory or question, locked/</w:t>
            </w:r>
            <w:proofErr w:type="spellStart"/>
            <w:r w:rsidRPr="002E740A">
              <w:rPr>
                <w:rFonts w:asciiTheme="minorHAnsi" w:hAnsiTheme="minorHAnsi" w:cstheme="minorHAnsi"/>
                <w:color w:val="000000"/>
                <w:sz w:val="21"/>
                <w:szCs w:val="21"/>
                <w:lang w:val="en-AU"/>
              </w:rPr>
              <w:t>grayed</w:t>
            </w:r>
            <w:proofErr w:type="spellEnd"/>
            <w:r w:rsidRPr="002E740A">
              <w:rPr>
                <w:rFonts w:asciiTheme="minorHAnsi" w:hAnsiTheme="minorHAnsi" w:cstheme="minorHAnsi"/>
                <w:color w:val="000000"/>
                <w:sz w:val="21"/>
                <w:szCs w:val="21"/>
                <w:lang w:val="en-AU"/>
              </w:rPr>
              <w:t xml:space="preserve"> out field).</w:t>
            </w:r>
          </w:p>
          <w:p w14:paraId="413E9D4B" w14:textId="77777777" w:rsidR="002E740A" w:rsidRPr="002E740A" w:rsidRDefault="002E740A" w:rsidP="002E740A">
            <w:pPr>
              <w:pStyle w:val="ListParagraph"/>
              <w:ind w:left="94"/>
              <w:rPr>
                <w:rFonts w:asciiTheme="minorHAnsi" w:hAnsiTheme="minorHAnsi" w:cstheme="minorHAnsi"/>
                <w:color w:val="000000"/>
                <w:sz w:val="21"/>
                <w:szCs w:val="21"/>
              </w:rPr>
            </w:pPr>
            <w:r w:rsidRPr="002E740A">
              <w:rPr>
                <w:rFonts w:asciiTheme="minorHAnsi" w:hAnsiTheme="minorHAnsi" w:cstheme="minorHAnsi"/>
                <w:color w:val="000000"/>
                <w:sz w:val="21"/>
                <w:szCs w:val="21"/>
                <w:lang w:val="en-AU"/>
              </w:rPr>
              <w:t>2)   </w:t>
            </w:r>
            <w:r w:rsidRPr="002E740A">
              <w:rPr>
                <w:rStyle w:val="apple-converted-space"/>
                <w:rFonts w:asciiTheme="minorHAnsi" w:eastAsiaTheme="majorEastAsia" w:hAnsiTheme="minorHAnsi" w:cstheme="minorHAnsi"/>
                <w:color w:val="000000"/>
                <w:sz w:val="21"/>
                <w:szCs w:val="21"/>
                <w:lang w:val="en-AU"/>
              </w:rPr>
              <w:t> </w:t>
            </w:r>
            <w:r w:rsidRPr="002E740A">
              <w:rPr>
                <w:rFonts w:asciiTheme="minorHAnsi" w:hAnsiTheme="minorHAnsi" w:cstheme="minorHAnsi"/>
                <w:color w:val="000000"/>
                <w:sz w:val="21"/>
                <w:szCs w:val="21"/>
                <w:lang w:val="en-AU"/>
              </w:rPr>
              <w:t>If the registered name holder confirms the data and agrees to publication:</w:t>
            </w:r>
          </w:p>
          <w:p w14:paraId="1A2515E6" w14:textId="77777777" w:rsidR="002E740A" w:rsidRPr="002E740A" w:rsidRDefault="002E740A" w:rsidP="002E740A">
            <w:pPr>
              <w:pStyle w:val="ListParagraph"/>
              <w:numPr>
                <w:ilvl w:val="0"/>
                <w:numId w:val="38"/>
              </w:numPr>
              <w:spacing w:before="0" w:beforeAutospacing="0" w:after="0" w:afterAutospacing="0"/>
              <w:contextualSpacing/>
              <w:rPr>
                <w:rFonts w:asciiTheme="minorHAnsi" w:hAnsiTheme="minorHAnsi" w:cstheme="minorHAnsi"/>
                <w:color w:val="000000"/>
                <w:sz w:val="21"/>
                <w:szCs w:val="21"/>
                <w:lang w:val="en-AU"/>
              </w:rPr>
            </w:pPr>
            <w:r w:rsidRPr="002E740A">
              <w:rPr>
                <w:rFonts w:asciiTheme="minorHAnsi" w:hAnsiTheme="minorHAnsi" w:cstheme="minorHAnsi"/>
                <w:color w:val="000000"/>
                <w:sz w:val="21"/>
                <w:szCs w:val="21"/>
                <w:lang w:val="en-AU"/>
              </w:rPr>
              <w:t>The data in the Organization field will be published,</w:t>
            </w:r>
          </w:p>
          <w:p w14:paraId="1BC5CF41" w14:textId="77777777" w:rsidR="002E740A" w:rsidRPr="002E740A" w:rsidRDefault="002E740A" w:rsidP="002E740A">
            <w:pPr>
              <w:pStyle w:val="ListParagraph"/>
              <w:numPr>
                <w:ilvl w:val="0"/>
                <w:numId w:val="38"/>
              </w:numPr>
              <w:spacing w:before="0" w:beforeAutospacing="0" w:after="0" w:afterAutospacing="0"/>
              <w:contextualSpacing/>
              <w:rPr>
                <w:rFonts w:asciiTheme="minorHAnsi" w:hAnsiTheme="minorHAnsi" w:cstheme="minorHAnsi"/>
                <w:color w:val="000000"/>
                <w:sz w:val="21"/>
                <w:szCs w:val="21"/>
                <w:lang w:val="en-AU"/>
              </w:rPr>
            </w:pPr>
            <w:r w:rsidRPr="002E740A">
              <w:rPr>
                <w:rFonts w:asciiTheme="minorHAnsi" w:hAnsiTheme="minorHAnsi" w:cstheme="minorHAnsi"/>
                <w:color w:val="000000"/>
                <w:sz w:val="21"/>
                <w:szCs w:val="21"/>
                <w:lang w:val="en-AU"/>
              </w:rPr>
              <w:t xml:space="preserve">The Organization will be listed as the Registered Name Holder. </w:t>
            </w:r>
          </w:p>
          <w:p w14:paraId="0EACBB05" w14:textId="77777777" w:rsidR="002E740A" w:rsidRPr="002E740A" w:rsidRDefault="002E740A" w:rsidP="002E740A">
            <w:pPr>
              <w:pStyle w:val="ListParagraph"/>
              <w:numPr>
                <w:ilvl w:val="0"/>
                <w:numId w:val="38"/>
              </w:numPr>
              <w:spacing w:before="0" w:beforeAutospacing="0" w:after="0" w:afterAutospacing="0"/>
              <w:contextualSpacing/>
              <w:rPr>
                <w:rFonts w:asciiTheme="minorHAnsi" w:hAnsiTheme="minorHAnsi" w:cstheme="minorHAnsi"/>
                <w:sz w:val="21"/>
                <w:szCs w:val="21"/>
              </w:rPr>
            </w:pPr>
            <w:r w:rsidRPr="002E740A">
              <w:rPr>
                <w:rFonts w:asciiTheme="minorHAnsi" w:hAnsiTheme="minorHAnsi" w:cstheme="minorHAnsi"/>
                <w:color w:val="000000"/>
                <w:sz w:val="21"/>
                <w:szCs w:val="21"/>
                <w:lang w:val="en-AU"/>
              </w:rPr>
              <w:t>The name of the registered name holder (a natural person) will be listed as the point of contact at the Registrant Organization.</w:t>
            </w:r>
          </w:p>
          <w:p w14:paraId="138F7075" w14:textId="77777777" w:rsidR="002E740A" w:rsidRPr="002E740A" w:rsidRDefault="002E740A" w:rsidP="002E740A">
            <w:pPr>
              <w:pBdr>
                <w:bottom w:val="single" w:sz="4" w:space="1" w:color="auto"/>
              </w:pBdr>
              <w:rPr>
                <w:rFonts w:asciiTheme="minorHAnsi" w:hAnsiTheme="minorHAnsi" w:cstheme="minorHAnsi"/>
                <w:sz w:val="21"/>
                <w:szCs w:val="21"/>
              </w:rPr>
            </w:pPr>
          </w:p>
          <w:p w14:paraId="0F83C8EF" w14:textId="102AC1B9" w:rsidR="00F16588" w:rsidRPr="002E740A" w:rsidRDefault="002E740A" w:rsidP="002E740A">
            <w:pPr>
              <w:pBdr>
                <w:bottom w:val="single" w:sz="4" w:space="1" w:color="auto"/>
              </w:pBdr>
              <w:rPr>
                <w:rFonts w:asciiTheme="minorHAnsi" w:hAnsiTheme="minorHAnsi" w:cstheme="minorHAnsi"/>
                <w:color w:val="000000"/>
                <w:sz w:val="21"/>
                <w:szCs w:val="21"/>
              </w:rPr>
            </w:pPr>
            <w:r w:rsidRPr="002E740A">
              <w:rPr>
                <w:rFonts w:asciiTheme="minorHAnsi" w:hAnsiTheme="minorHAnsi" w:cstheme="minorHAnsi"/>
                <w:color w:val="000000"/>
                <w:sz w:val="21"/>
                <w:szCs w:val="21"/>
              </w:rPr>
              <w:t>After the implementation phase-in period, the ORG FIELD will no longer be REDACTED by the registrar</w:t>
            </w:r>
            <w:r w:rsidR="00720305">
              <w:rPr>
                <w:rFonts w:asciiTheme="minorHAnsi" w:hAnsiTheme="minorHAnsi" w:cstheme="minorHAnsi"/>
                <w:color w:val="000000"/>
                <w:sz w:val="21"/>
                <w:szCs w:val="21"/>
              </w:rPr>
              <w:t>.</w:t>
            </w:r>
          </w:p>
        </w:tc>
        <w:tc>
          <w:tcPr>
            <w:tcW w:w="1518" w:type="dxa"/>
          </w:tcPr>
          <w:p w14:paraId="4DC041CE" w14:textId="3E7888CF" w:rsidR="00F16588" w:rsidRPr="008F52C5" w:rsidRDefault="008F52C5" w:rsidP="008F52C5">
            <w:pPr>
              <w:rPr>
                <w:rFonts w:asciiTheme="minorHAnsi" w:hAnsiTheme="minorHAnsi" w:cstheme="minorHAnsi"/>
                <w:sz w:val="21"/>
                <w:szCs w:val="21"/>
              </w:rPr>
            </w:pPr>
            <w:r w:rsidRPr="008F52C5">
              <w:rPr>
                <w:rFonts w:asciiTheme="minorHAnsi" w:hAnsiTheme="minorHAnsi" w:cstheme="minorHAnsi"/>
                <w:sz w:val="21"/>
                <w:szCs w:val="21"/>
              </w:rPr>
              <w:lastRenderedPageBreak/>
              <w:t xml:space="preserve">Full Consensus / </w:t>
            </w:r>
            <w:proofErr w:type="spellStart"/>
            <w:r w:rsidRPr="008F52C5">
              <w:rPr>
                <w:rFonts w:asciiTheme="minorHAnsi" w:hAnsiTheme="minorHAnsi" w:cstheme="minorHAnsi"/>
                <w:sz w:val="21"/>
                <w:szCs w:val="21"/>
              </w:rPr>
              <w:t>Consensus</w:t>
            </w:r>
            <w:proofErr w:type="spellEnd"/>
          </w:p>
        </w:tc>
        <w:tc>
          <w:tcPr>
            <w:tcW w:w="2000" w:type="dxa"/>
          </w:tcPr>
          <w:p w14:paraId="63A95287" w14:textId="77777777" w:rsidR="00F16588" w:rsidRPr="00E82D1D" w:rsidRDefault="00F16588" w:rsidP="00AA14F2">
            <w:pPr>
              <w:rPr>
                <w:rFonts w:asciiTheme="minorHAnsi" w:hAnsiTheme="minorHAnsi" w:cstheme="minorHAnsi"/>
                <w:sz w:val="21"/>
                <w:szCs w:val="21"/>
              </w:rPr>
            </w:pPr>
          </w:p>
        </w:tc>
      </w:tr>
      <w:tr w:rsidR="00DB018D" w:rsidRPr="00E82D1D" w14:paraId="6EF82345" w14:textId="77777777" w:rsidTr="00DB018D">
        <w:tc>
          <w:tcPr>
            <w:tcW w:w="2180" w:type="dxa"/>
          </w:tcPr>
          <w:p w14:paraId="01212DA0" w14:textId="6AB1DD02" w:rsidR="00DB018D" w:rsidRPr="00E82D1D" w:rsidRDefault="00DB018D" w:rsidP="00AA14F2">
            <w:pPr>
              <w:spacing w:before="60"/>
              <w:rPr>
                <w:rFonts w:asciiTheme="minorHAnsi" w:hAnsiTheme="minorHAnsi" w:cstheme="minorHAnsi"/>
                <w:color w:val="000000" w:themeColor="text1"/>
                <w:sz w:val="21"/>
                <w:szCs w:val="21"/>
              </w:rPr>
            </w:pPr>
            <w:r w:rsidRPr="00E82D1D">
              <w:rPr>
                <w:rFonts w:asciiTheme="minorHAnsi" w:hAnsiTheme="minorHAnsi" w:cstheme="minorHAnsi"/>
                <w:color w:val="000000" w:themeColor="text1"/>
                <w:sz w:val="21"/>
                <w:szCs w:val="21"/>
              </w:rPr>
              <w:lastRenderedPageBreak/>
              <w:t>Recommendation #</w:t>
            </w:r>
            <w:r>
              <w:rPr>
                <w:rFonts w:asciiTheme="minorHAnsi" w:hAnsiTheme="minorHAnsi" w:cstheme="minorHAnsi"/>
                <w:color w:val="000000" w:themeColor="text1"/>
                <w:sz w:val="21"/>
                <w:szCs w:val="21"/>
              </w:rPr>
              <w:t>13 (old #10)</w:t>
            </w:r>
            <w:r w:rsidRPr="00E82D1D">
              <w:rPr>
                <w:rFonts w:asciiTheme="minorHAnsi" w:hAnsiTheme="minorHAnsi" w:cstheme="minorHAnsi"/>
                <w:color w:val="000000" w:themeColor="text1"/>
                <w:sz w:val="21"/>
                <w:szCs w:val="21"/>
              </w:rPr>
              <w:t xml:space="preserve"> – Email communication</w:t>
            </w:r>
          </w:p>
        </w:tc>
        <w:tc>
          <w:tcPr>
            <w:tcW w:w="7421" w:type="dxa"/>
          </w:tcPr>
          <w:p w14:paraId="0EE4D538" w14:textId="77777777" w:rsidR="00DB018D" w:rsidRPr="00720305" w:rsidRDefault="00DB018D" w:rsidP="00720305">
            <w:pPr>
              <w:rPr>
                <w:rFonts w:asciiTheme="minorHAnsi" w:hAnsiTheme="minorHAnsi" w:cstheme="minorHAnsi"/>
                <w:color w:val="000000"/>
                <w:sz w:val="21"/>
                <w:szCs w:val="21"/>
              </w:rPr>
            </w:pPr>
            <w:r w:rsidRPr="00720305">
              <w:rPr>
                <w:rFonts w:asciiTheme="minorHAnsi" w:hAnsiTheme="minorHAnsi" w:cstheme="minorHAnsi"/>
                <w:color w:val="000000"/>
                <w:sz w:val="21"/>
                <w:szCs w:val="21"/>
              </w:rPr>
              <w:t>1) The EPDP Team recommends that the Registrar MUST provide an email address or a web form to facilitate email communication with the relevant contact, but MUST NOT identify the contact email address or the contact itself, unless as per Recommendation X, the Registered Name Holder has provided consent for the publication of its email address.</w:t>
            </w:r>
          </w:p>
          <w:p w14:paraId="7BD48EB2" w14:textId="77777777" w:rsidR="00DB018D" w:rsidRPr="00720305" w:rsidRDefault="00DB018D" w:rsidP="00720305">
            <w:pPr>
              <w:rPr>
                <w:rFonts w:asciiTheme="minorHAnsi" w:hAnsiTheme="minorHAnsi" w:cstheme="minorHAnsi"/>
                <w:color w:val="000000"/>
                <w:sz w:val="21"/>
                <w:szCs w:val="21"/>
              </w:rPr>
            </w:pPr>
          </w:p>
          <w:p w14:paraId="55309524" w14:textId="763AB74E" w:rsidR="00DB018D" w:rsidRDefault="00DB018D" w:rsidP="00720305">
            <w:pPr>
              <w:rPr>
                <w:rFonts w:asciiTheme="minorHAnsi" w:hAnsiTheme="minorHAnsi" w:cstheme="minorHAnsi"/>
                <w:color w:val="000000"/>
                <w:sz w:val="21"/>
                <w:szCs w:val="21"/>
              </w:rPr>
            </w:pPr>
            <w:r w:rsidRPr="00720305">
              <w:rPr>
                <w:rFonts w:asciiTheme="minorHAnsi" w:hAnsiTheme="minorHAnsi" w:cstheme="minorHAnsi"/>
                <w:color w:val="000000"/>
                <w:sz w:val="21"/>
                <w:szCs w:val="21"/>
              </w:rPr>
              <w:t xml:space="preserve">2) The EPDP Team recommends Registrars MUST maintain Log Files, which shall not contain any Personal Information, and which shall contain confirmation that a relay of the communication between the requestor and the Registered Name Holder has occurred, not including the origin, recipient, or content of the message. Such records will be available to ICANN for compliance purposes, upon request. Nothing in this recommendation should be construed to prevent the registrar from taking reasonable and appropriate action to prevent the abuse of the registrar contact </w:t>
            </w:r>
            <w:proofErr w:type="gramStart"/>
            <w:r w:rsidRPr="00720305">
              <w:rPr>
                <w:rFonts w:asciiTheme="minorHAnsi" w:hAnsiTheme="minorHAnsi" w:cstheme="minorHAnsi"/>
                <w:color w:val="000000"/>
                <w:sz w:val="21"/>
                <w:szCs w:val="21"/>
              </w:rPr>
              <w:t>process.</w:t>
            </w:r>
            <w:r>
              <w:rPr>
                <w:rFonts w:asciiTheme="minorHAnsi" w:hAnsiTheme="minorHAnsi" w:cstheme="minorHAnsi"/>
                <w:color w:val="000000"/>
                <w:sz w:val="21"/>
                <w:szCs w:val="21"/>
              </w:rPr>
              <w:t>*</w:t>
            </w:r>
            <w:proofErr w:type="gramEnd"/>
          </w:p>
          <w:p w14:paraId="1110D8B8" w14:textId="77777777" w:rsidR="00DB018D" w:rsidRDefault="00DB018D" w:rsidP="00720305">
            <w:pPr>
              <w:rPr>
                <w:rFonts w:asciiTheme="minorHAnsi" w:hAnsiTheme="minorHAnsi" w:cstheme="minorHAnsi"/>
                <w:color w:val="000000"/>
                <w:sz w:val="21"/>
                <w:szCs w:val="21"/>
              </w:rPr>
            </w:pPr>
          </w:p>
          <w:p w14:paraId="70E01655" w14:textId="5CE5C81C" w:rsidR="00DB018D" w:rsidRPr="00767106" w:rsidRDefault="00DB018D" w:rsidP="00720305">
            <w:pPr>
              <w:rPr>
                <w:rFonts w:asciiTheme="minorHAnsi" w:hAnsiTheme="minorHAnsi" w:cstheme="minorHAnsi"/>
                <w:color w:val="000000"/>
                <w:sz w:val="21"/>
                <w:szCs w:val="21"/>
              </w:rPr>
            </w:pPr>
            <w:r w:rsidRPr="00767106">
              <w:rPr>
                <w:rFonts w:asciiTheme="minorHAnsi" w:hAnsiTheme="minorHAnsi" w:cstheme="minorHAnsi"/>
                <w:color w:val="000000"/>
                <w:sz w:val="21"/>
                <w:szCs w:val="21"/>
              </w:rPr>
              <w:lastRenderedPageBreak/>
              <w:t>*</w:t>
            </w:r>
            <w:r w:rsidRPr="00767106">
              <w:rPr>
                <w:rFonts w:asciiTheme="minorHAnsi" w:hAnsiTheme="minorHAnsi" w:cstheme="minorHAnsi"/>
                <w:sz w:val="21"/>
                <w:szCs w:val="21"/>
              </w:rPr>
              <w:t xml:space="preserve"> Examples of abuse could include, but are not limited to, requestors purposely flooding the registrar’s system with voluminous and invalid contact requests. This recommendation is not intended to prevent legitimate requests.</w:t>
            </w:r>
          </w:p>
        </w:tc>
        <w:tc>
          <w:tcPr>
            <w:tcW w:w="1518" w:type="dxa"/>
          </w:tcPr>
          <w:p w14:paraId="5FC5B875" w14:textId="7B92445A" w:rsidR="00DB018D" w:rsidRPr="00E82D1D" w:rsidRDefault="00DB018D" w:rsidP="00DB018D">
            <w:pPr>
              <w:rPr>
                <w:rFonts w:asciiTheme="minorHAnsi" w:hAnsiTheme="minorHAnsi" w:cstheme="minorHAnsi"/>
                <w:b/>
                <w:sz w:val="21"/>
                <w:szCs w:val="21"/>
              </w:rPr>
            </w:pPr>
            <w:r w:rsidRPr="00EC108A">
              <w:rPr>
                <w:rFonts w:asciiTheme="minorHAnsi" w:hAnsiTheme="minorHAnsi" w:cstheme="minorHAnsi"/>
                <w:sz w:val="21"/>
                <w:szCs w:val="21"/>
              </w:rPr>
              <w:lastRenderedPageBreak/>
              <w:t xml:space="preserve">Full Consensus / </w:t>
            </w:r>
            <w:proofErr w:type="spellStart"/>
            <w:r w:rsidRPr="00EC108A">
              <w:rPr>
                <w:rFonts w:asciiTheme="minorHAnsi" w:hAnsiTheme="minorHAnsi" w:cstheme="minorHAnsi"/>
                <w:sz w:val="21"/>
                <w:szCs w:val="21"/>
              </w:rPr>
              <w:t>Consensus</w:t>
            </w:r>
            <w:proofErr w:type="spellEnd"/>
          </w:p>
        </w:tc>
        <w:tc>
          <w:tcPr>
            <w:tcW w:w="2000" w:type="dxa"/>
          </w:tcPr>
          <w:p w14:paraId="3F42565E" w14:textId="5C1E7AF8" w:rsidR="00DB018D" w:rsidRPr="00E82D1D" w:rsidRDefault="00DB018D" w:rsidP="00AA14F2">
            <w:pPr>
              <w:rPr>
                <w:rFonts w:asciiTheme="minorHAnsi" w:hAnsiTheme="minorHAnsi" w:cstheme="minorHAnsi"/>
                <w:sz w:val="21"/>
                <w:szCs w:val="21"/>
              </w:rPr>
            </w:pPr>
          </w:p>
        </w:tc>
      </w:tr>
      <w:tr w:rsidR="00DB018D" w:rsidRPr="00E82D1D" w14:paraId="661BFA0D" w14:textId="77777777" w:rsidTr="00DB018D">
        <w:tc>
          <w:tcPr>
            <w:tcW w:w="2180" w:type="dxa"/>
          </w:tcPr>
          <w:p w14:paraId="5FF1C3B2" w14:textId="2618D87C" w:rsidR="00DB018D" w:rsidRPr="00E82D1D" w:rsidRDefault="00DB018D" w:rsidP="00AA14F2">
            <w:pPr>
              <w:spacing w:before="6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lastRenderedPageBreak/>
              <w:t>Recommendation #</w:t>
            </w:r>
            <w:proofErr w:type="gramStart"/>
            <w:r>
              <w:rPr>
                <w:rFonts w:asciiTheme="minorHAnsi" w:hAnsiTheme="minorHAnsi" w:cstheme="minorHAnsi"/>
                <w:color w:val="000000" w:themeColor="text1"/>
                <w:sz w:val="21"/>
                <w:szCs w:val="21"/>
              </w:rPr>
              <w:t>14  –</w:t>
            </w:r>
            <w:proofErr w:type="gramEnd"/>
            <w:r>
              <w:rPr>
                <w:rFonts w:asciiTheme="minorHAnsi" w:hAnsiTheme="minorHAnsi" w:cstheme="minorHAnsi"/>
                <w:color w:val="000000" w:themeColor="text1"/>
                <w:sz w:val="21"/>
                <w:szCs w:val="21"/>
              </w:rPr>
              <w:t xml:space="preserve"> Privacy/Proxy Registrations</w:t>
            </w:r>
          </w:p>
        </w:tc>
        <w:tc>
          <w:tcPr>
            <w:tcW w:w="7421" w:type="dxa"/>
          </w:tcPr>
          <w:p w14:paraId="1591A053" w14:textId="4A9B87B0" w:rsidR="00DB018D" w:rsidRDefault="00DB018D" w:rsidP="00AA14F2">
            <w:pPr>
              <w:rPr>
                <w:rFonts w:asciiTheme="minorHAnsi" w:hAnsiTheme="minorHAnsi" w:cstheme="minorHAnsi"/>
                <w:color w:val="000000"/>
                <w:sz w:val="21"/>
                <w:szCs w:val="21"/>
              </w:rPr>
            </w:pPr>
            <w:r w:rsidRPr="00720305">
              <w:rPr>
                <w:rFonts w:asciiTheme="minorHAnsi" w:hAnsiTheme="minorHAnsi" w:cstheme="minorHAnsi"/>
                <w:color w:val="000000"/>
                <w:sz w:val="21"/>
                <w:szCs w:val="21"/>
              </w:rPr>
              <w:t xml:space="preserve">In the case of a domain name registration where an </w:t>
            </w:r>
            <w:r>
              <w:rPr>
                <w:rFonts w:asciiTheme="minorHAnsi" w:hAnsiTheme="minorHAnsi" w:cstheme="minorHAnsi"/>
                <w:color w:val="000000"/>
                <w:sz w:val="21"/>
                <w:szCs w:val="21"/>
              </w:rPr>
              <w:t>“</w:t>
            </w:r>
            <w:proofErr w:type="gramStart"/>
            <w:r w:rsidRPr="00720305">
              <w:rPr>
                <w:rFonts w:asciiTheme="minorHAnsi" w:hAnsiTheme="minorHAnsi" w:cstheme="minorHAnsi"/>
                <w:color w:val="000000"/>
                <w:sz w:val="21"/>
                <w:szCs w:val="21"/>
              </w:rPr>
              <w:t>affiliated</w:t>
            </w:r>
            <w:r>
              <w:rPr>
                <w:rFonts w:asciiTheme="minorHAnsi" w:hAnsiTheme="minorHAnsi" w:cstheme="minorHAnsi"/>
                <w:color w:val="000000"/>
                <w:sz w:val="21"/>
                <w:szCs w:val="21"/>
              </w:rPr>
              <w:t>”</w:t>
            </w:r>
            <w:r w:rsidR="00767106">
              <w:rPr>
                <w:rFonts w:asciiTheme="minorHAnsi" w:hAnsiTheme="minorHAnsi" w:cstheme="minorHAnsi"/>
                <w:color w:val="000000"/>
                <w:sz w:val="21"/>
                <w:szCs w:val="21"/>
              </w:rPr>
              <w:t>*</w:t>
            </w:r>
            <w:proofErr w:type="gramEnd"/>
            <w:r w:rsidRPr="00720305">
              <w:rPr>
                <w:rFonts w:asciiTheme="minorHAnsi" w:hAnsiTheme="minorHAnsi" w:cstheme="minorHAnsi"/>
                <w:color w:val="000000"/>
                <w:sz w:val="21"/>
                <w:szCs w:val="21"/>
              </w:rPr>
              <w:t xml:space="preserve"> privacy/proxy service used (e.g. where data associated with a natural person is masked), Registrar (and Registry where applicable) MUST include in the public RDDS and return in response to any query full non-personal RDDS data of the privacy/proxy service, which MAY also include the existing privacy/proxy </w:t>
            </w:r>
            <w:proofErr w:type="spellStart"/>
            <w:r w:rsidRPr="00720305">
              <w:rPr>
                <w:rFonts w:asciiTheme="minorHAnsi" w:hAnsiTheme="minorHAnsi" w:cstheme="minorHAnsi"/>
                <w:color w:val="000000"/>
                <w:sz w:val="21"/>
                <w:szCs w:val="21"/>
              </w:rPr>
              <w:t>pseudonymized</w:t>
            </w:r>
            <w:proofErr w:type="spellEnd"/>
            <w:r w:rsidRPr="00720305">
              <w:rPr>
                <w:rFonts w:asciiTheme="minorHAnsi" w:hAnsiTheme="minorHAnsi" w:cstheme="minorHAnsi"/>
                <w:color w:val="000000"/>
                <w:sz w:val="21"/>
                <w:szCs w:val="21"/>
              </w:rPr>
              <w:t xml:space="preserve"> email. </w:t>
            </w:r>
          </w:p>
          <w:p w14:paraId="031CF013" w14:textId="77777777" w:rsidR="00DB018D" w:rsidRDefault="00DB018D" w:rsidP="00AA14F2">
            <w:pPr>
              <w:rPr>
                <w:rFonts w:asciiTheme="minorHAnsi" w:hAnsiTheme="minorHAnsi" w:cstheme="minorHAnsi"/>
                <w:color w:val="000000"/>
                <w:sz w:val="21"/>
                <w:szCs w:val="21"/>
              </w:rPr>
            </w:pPr>
          </w:p>
          <w:p w14:paraId="58ED7C26" w14:textId="11B8C9E7" w:rsidR="00DB018D" w:rsidRPr="00767106" w:rsidRDefault="00DB018D" w:rsidP="00AA14F2">
            <w:pPr>
              <w:rPr>
                <w:rFonts w:asciiTheme="minorHAnsi" w:hAnsiTheme="minorHAnsi" w:cstheme="minorHAnsi"/>
                <w:color w:val="000000"/>
                <w:sz w:val="21"/>
                <w:szCs w:val="21"/>
              </w:rPr>
            </w:pPr>
            <w:r w:rsidRPr="00767106">
              <w:rPr>
                <w:rFonts w:asciiTheme="minorHAnsi" w:hAnsiTheme="minorHAnsi" w:cstheme="minorHAnsi"/>
                <w:color w:val="000000"/>
                <w:sz w:val="21"/>
                <w:szCs w:val="21"/>
              </w:rPr>
              <w:t>*</w:t>
            </w:r>
            <w:r w:rsidRPr="00767106">
              <w:rPr>
                <w:rFonts w:asciiTheme="minorHAnsi" w:hAnsiTheme="minorHAnsi" w:cstheme="minorHAnsi"/>
                <w:sz w:val="21"/>
                <w:szCs w:val="21"/>
              </w:rPr>
              <w:t xml:space="preserve"> As defined in the </w:t>
            </w:r>
            <w:hyperlink r:id="rId9" w:anchor="privacy-proxy" w:history="1">
              <w:r w:rsidRPr="00767106">
                <w:rPr>
                  <w:rStyle w:val="Hyperlink"/>
                  <w:rFonts w:asciiTheme="minorHAnsi" w:hAnsiTheme="minorHAnsi" w:cstheme="minorHAnsi"/>
                  <w:sz w:val="21"/>
                  <w:szCs w:val="21"/>
                </w:rPr>
                <w:t>Registrar Accreditation Agreement, Specification on Privacy and Proxy Registrations</w:t>
              </w:r>
            </w:hyperlink>
            <w:r w:rsidRPr="00767106">
              <w:rPr>
                <w:rFonts w:asciiTheme="minorHAnsi" w:hAnsiTheme="minorHAnsi" w:cstheme="minorHAnsi"/>
                <w:sz w:val="21"/>
                <w:szCs w:val="21"/>
              </w:rPr>
              <w:t>: “</w:t>
            </w:r>
            <w:r w:rsidRPr="00767106">
              <w:rPr>
                <w:rFonts w:asciiTheme="minorHAnsi" w:hAnsiTheme="minorHAnsi" w:cstheme="minorHAnsi"/>
                <w:color w:val="000000"/>
                <w:sz w:val="21"/>
                <w:szCs w:val="21"/>
              </w:rPr>
              <w:t>For any Proxy Service or Privacy Service offered by the Registrar or its Affiliates, including any of Registrar's or its Affiliates' P/P services distributed through Resellers, and used in connection with Registered Names Sponsored by the Registrar, the Registrar and its Affiliates”.</w:t>
            </w:r>
          </w:p>
        </w:tc>
        <w:tc>
          <w:tcPr>
            <w:tcW w:w="1518" w:type="dxa"/>
          </w:tcPr>
          <w:p w14:paraId="29C09AA4" w14:textId="5D40CA67" w:rsidR="00DB018D" w:rsidRPr="00EC108A" w:rsidRDefault="00DB018D" w:rsidP="00EC108A">
            <w:pPr>
              <w:rPr>
                <w:rFonts w:asciiTheme="minorHAnsi" w:hAnsiTheme="minorHAnsi" w:cstheme="minorHAnsi"/>
                <w:sz w:val="21"/>
                <w:szCs w:val="21"/>
              </w:rPr>
            </w:pPr>
            <w:r w:rsidRPr="00EC108A">
              <w:rPr>
                <w:rFonts w:asciiTheme="minorHAnsi" w:hAnsiTheme="minorHAnsi" w:cstheme="minorHAnsi"/>
                <w:sz w:val="21"/>
                <w:szCs w:val="21"/>
              </w:rPr>
              <w:t xml:space="preserve">Full Consensus / </w:t>
            </w:r>
            <w:proofErr w:type="spellStart"/>
            <w:r w:rsidRPr="00EC108A">
              <w:rPr>
                <w:rFonts w:asciiTheme="minorHAnsi" w:hAnsiTheme="minorHAnsi" w:cstheme="minorHAnsi"/>
                <w:sz w:val="21"/>
                <w:szCs w:val="21"/>
              </w:rPr>
              <w:t>Consensus</w:t>
            </w:r>
            <w:proofErr w:type="spellEnd"/>
          </w:p>
        </w:tc>
        <w:tc>
          <w:tcPr>
            <w:tcW w:w="2000" w:type="dxa"/>
          </w:tcPr>
          <w:p w14:paraId="5CF96170" w14:textId="18605B68" w:rsidR="00DB018D" w:rsidRPr="00E82D1D" w:rsidRDefault="00DB018D" w:rsidP="00AA14F2">
            <w:pPr>
              <w:rPr>
                <w:rFonts w:asciiTheme="minorHAnsi" w:hAnsiTheme="minorHAnsi" w:cstheme="minorHAnsi"/>
                <w:sz w:val="21"/>
                <w:szCs w:val="21"/>
              </w:rPr>
            </w:pPr>
          </w:p>
        </w:tc>
      </w:tr>
      <w:tr w:rsidR="00DB018D" w:rsidRPr="00E82D1D" w14:paraId="51616D56" w14:textId="77777777" w:rsidTr="00DB018D">
        <w:tc>
          <w:tcPr>
            <w:tcW w:w="2180" w:type="dxa"/>
          </w:tcPr>
          <w:p w14:paraId="700DD582" w14:textId="298A1185" w:rsidR="00DB018D" w:rsidRPr="00E82D1D" w:rsidRDefault="00DB018D" w:rsidP="00AA14F2">
            <w:pPr>
              <w:spacing w:before="6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 xml:space="preserve">Recommendation #16 –  </w:t>
            </w:r>
            <w:r w:rsidRPr="00E82D1D">
              <w:rPr>
                <w:rFonts w:asciiTheme="minorHAnsi" w:hAnsiTheme="minorHAnsi" w:cstheme="minorHAnsi"/>
                <w:color w:val="000000" w:themeColor="text1"/>
                <w:sz w:val="21"/>
                <w:szCs w:val="21"/>
              </w:rPr>
              <w:t>Geographic Basis</w:t>
            </w:r>
          </w:p>
        </w:tc>
        <w:tc>
          <w:tcPr>
            <w:tcW w:w="7421" w:type="dxa"/>
            <w:tcBorders>
              <w:bottom w:val="single" w:sz="4" w:space="0" w:color="auto"/>
            </w:tcBorders>
          </w:tcPr>
          <w:p w14:paraId="5DC4D42F" w14:textId="2F0A0E4C" w:rsidR="00DB018D" w:rsidRPr="00720305" w:rsidRDefault="00DB018D" w:rsidP="00720305">
            <w:pPr>
              <w:rPr>
                <w:rFonts w:asciiTheme="minorHAnsi" w:hAnsiTheme="minorHAnsi" w:cstheme="minorHAnsi"/>
                <w:sz w:val="21"/>
                <w:szCs w:val="21"/>
              </w:rPr>
            </w:pPr>
            <w:r w:rsidRPr="00720305">
              <w:rPr>
                <w:rFonts w:asciiTheme="minorHAnsi" w:hAnsiTheme="minorHAnsi" w:cstheme="minorHAnsi"/>
                <w:sz w:val="21"/>
                <w:szCs w:val="21"/>
              </w:rPr>
              <w:t>The EPDP Team recommends that Registrars and Registry Operators are permitted to differentiate between registrants on a geographic basis, but are not obligated to do so.</w:t>
            </w:r>
          </w:p>
        </w:tc>
        <w:tc>
          <w:tcPr>
            <w:tcW w:w="1518" w:type="dxa"/>
          </w:tcPr>
          <w:p w14:paraId="630D07EF" w14:textId="08DD1905" w:rsidR="00DB018D" w:rsidRPr="00E82D1D" w:rsidRDefault="00767106" w:rsidP="00767106">
            <w:pPr>
              <w:rPr>
                <w:rFonts w:asciiTheme="minorHAnsi" w:hAnsiTheme="minorHAnsi" w:cstheme="minorHAnsi"/>
                <w:color w:val="000000" w:themeColor="text1"/>
                <w:sz w:val="21"/>
                <w:szCs w:val="21"/>
              </w:rPr>
            </w:pPr>
            <w:r w:rsidRPr="00EC108A">
              <w:rPr>
                <w:rFonts w:asciiTheme="minorHAnsi" w:hAnsiTheme="minorHAnsi" w:cstheme="minorHAnsi"/>
                <w:sz w:val="21"/>
                <w:szCs w:val="21"/>
              </w:rPr>
              <w:t xml:space="preserve">Full Consensus / </w:t>
            </w:r>
            <w:proofErr w:type="spellStart"/>
            <w:r w:rsidRPr="00EC108A">
              <w:rPr>
                <w:rFonts w:asciiTheme="minorHAnsi" w:hAnsiTheme="minorHAnsi" w:cstheme="minorHAnsi"/>
                <w:sz w:val="21"/>
                <w:szCs w:val="21"/>
              </w:rPr>
              <w:t>Consensus</w:t>
            </w:r>
            <w:proofErr w:type="spellEnd"/>
          </w:p>
        </w:tc>
        <w:tc>
          <w:tcPr>
            <w:tcW w:w="2000" w:type="dxa"/>
          </w:tcPr>
          <w:p w14:paraId="05F63525" w14:textId="4EB6FEF9" w:rsidR="00DB018D" w:rsidRPr="00E82D1D" w:rsidRDefault="00DB018D" w:rsidP="00AA14F2">
            <w:pPr>
              <w:rPr>
                <w:rFonts w:asciiTheme="minorHAnsi" w:hAnsiTheme="minorHAnsi" w:cstheme="minorHAnsi"/>
                <w:color w:val="000000" w:themeColor="text1"/>
                <w:sz w:val="21"/>
                <w:szCs w:val="21"/>
              </w:rPr>
            </w:pPr>
          </w:p>
        </w:tc>
      </w:tr>
      <w:tr w:rsidR="00DB018D" w:rsidRPr="00E82D1D" w14:paraId="483924C4" w14:textId="77777777" w:rsidTr="00DB018D">
        <w:tc>
          <w:tcPr>
            <w:tcW w:w="2180" w:type="dxa"/>
          </w:tcPr>
          <w:p w14:paraId="21AC4C1E" w14:textId="75D37BE8" w:rsidR="00DB018D" w:rsidRDefault="00DB018D" w:rsidP="00AA14F2">
            <w:pPr>
              <w:spacing w:before="6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Recommendation #17 –  Natural vs. legal</w:t>
            </w:r>
          </w:p>
        </w:tc>
        <w:tc>
          <w:tcPr>
            <w:tcW w:w="7421" w:type="dxa"/>
            <w:tcBorders>
              <w:top w:val="single" w:sz="4" w:space="0" w:color="auto"/>
            </w:tcBorders>
          </w:tcPr>
          <w:p w14:paraId="392230E6" w14:textId="300401E1" w:rsidR="00DB018D" w:rsidRPr="002F39C0" w:rsidRDefault="00DB018D" w:rsidP="00550627">
            <w:pPr>
              <w:ind w:left="375" w:hanging="375"/>
              <w:rPr>
                <w:rFonts w:ascii="Calibri" w:hAnsi="Calibri" w:cs="Calibri"/>
                <w:color w:val="000000"/>
                <w:sz w:val="21"/>
                <w:szCs w:val="21"/>
              </w:rPr>
            </w:pPr>
            <w:r>
              <w:rPr>
                <w:rFonts w:ascii="Calibri" w:hAnsi="Calibri" w:cs="Calibri"/>
                <w:color w:val="000000"/>
                <w:sz w:val="21"/>
                <w:szCs w:val="21"/>
              </w:rPr>
              <w:t xml:space="preserve">1) </w:t>
            </w:r>
            <w:r w:rsidRPr="002F39C0">
              <w:rPr>
                <w:rFonts w:ascii="Calibri" w:hAnsi="Calibri" w:cs="Calibri"/>
                <w:color w:val="000000"/>
                <w:sz w:val="21"/>
                <w:szCs w:val="21"/>
              </w:rPr>
              <w:t xml:space="preserve">The EPDP Team recommends </w:t>
            </w:r>
            <w:r>
              <w:rPr>
                <w:rFonts w:ascii="Calibri" w:hAnsi="Calibri" w:cs="Calibri"/>
                <w:color w:val="000000"/>
                <w:sz w:val="21"/>
                <w:szCs w:val="21"/>
              </w:rPr>
              <w:t xml:space="preserve">that the policy recommendations </w:t>
            </w:r>
            <w:r w:rsidRPr="002F39C0">
              <w:rPr>
                <w:rFonts w:ascii="Calibri" w:hAnsi="Calibri" w:cs="Calibri"/>
                <w:color w:val="000000"/>
                <w:sz w:val="21"/>
                <w:szCs w:val="21"/>
              </w:rPr>
              <w:t xml:space="preserve">in this Final Report apply to all </w:t>
            </w:r>
            <w:proofErr w:type="spellStart"/>
            <w:r w:rsidRPr="002F39C0">
              <w:rPr>
                <w:rFonts w:ascii="Calibri" w:hAnsi="Calibri" w:cs="Calibri"/>
                <w:color w:val="000000"/>
                <w:sz w:val="21"/>
                <w:szCs w:val="21"/>
              </w:rPr>
              <w:t>gTLD</w:t>
            </w:r>
            <w:proofErr w:type="spellEnd"/>
            <w:r w:rsidRPr="002F39C0">
              <w:rPr>
                <w:rFonts w:ascii="Calibri" w:hAnsi="Calibri" w:cs="Calibri"/>
                <w:color w:val="000000"/>
                <w:sz w:val="21"/>
                <w:szCs w:val="21"/>
              </w:rPr>
              <w:t xml:space="preserve"> registrations, without requiring Registrars or registries to differentiate between registrations of legal and natural persons, although registrars and registries are permitted to make this distinction.</w:t>
            </w:r>
          </w:p>
          <w:p w14:paraId="6FBAA7D7" w14:textId="77777777" w:rsidR="00DB018D" w:rsidRPr="002F39C0" w:rsidRDefault="00DB018D" w:rsidP="00550627">
            <w:pPr>
              <w:ind w:left="375" w:hanging="375"/>
              <w:rPr>
                <w:rFonts w:ascii="Calibri" w:hAnsi="Calibri" w:cs="Calibri"/>
                <w:color w:val="000000"/>
                <w:sz w:val="21"/>
                <w:szCs w:val="21"/>
              </w:rPr>
            </w:pPr>
            <w:r w:rsidRPr="002F39C0">
              <w:rPr>
                <w:rFonts w:ascii="Calibri" w:hAnsi="Calibri" w:cs="Calibri"/>
                <w:color w:val="000000"/>
                <w:sz w:val="21"/>
                <w:szCs w:val="21"/>
              </w:rPr>
              <w:t>2)</w:t>
            </w:r>
            <w:r w:rsidRPr="002F39C0">
              <w:rPr>
                <w:color w:val="000000"/>
                <w:sz w:val="21"/>
                <w:szCs w:val="21"/>
              </w:rPr>
              <w:t>   </w:t>
            </w:r>
            <w:r w:rsidRPr="002F39C0">
              <w:rPr>
                <w:rFonts w:ascii="Calibri" w:hAnsi="Calibri" w:cs="Calibri"/>
                <w:color w:val="000000"/>
                <w:sz w:val="21"/>
                <w:szCs w:val="21"/>
              </w:rPr>
              <w:t>The EPDP Team recommends that as soon as possible ICANN Org undertakes a study, for which the terms of reference are developed in consultation with the community, that considers:</w:t>
            </w:r>
          </w:p>
          <w:p w14:paraId="66C5DD76" w14:textId="77777777" w:rsidR="00DB018D" w:rsidRPr="002F39C0" w:rsidRDefault="00DB018D" w:rsidP="002F39C0">
            <w:pPr>
              <w:numPr>
                <w:ilvl w:val="0"/>
                <w:numId w:val="41"/>
              </w:numPr>
              <w:rPr>
                <w:rFonts w:ascii="Calibri" w:hAnsi="Calibri" w:cs="Calibri"/>
                <w:color w:val="000000"/>
                <w:sz w:val="21"/>
                <w:szCs w:val="21"/>
              </w:rPr>
            </w:pPr>
            <w:r w:rsidRPr="002F39C0">
              <w:rPr>
                <w:rFonts w:ascii="Calibri" w:hAnsi="Calibri" w:cs="Calibri"/>
                <w:color w:val="000000"/>
                <w:sz w:val="21"/>
                <w:szCs w:val="21"/>
              </w:rPr>
              <w:t>The feasibility and costs including both implementation and potential liability costs of differentiating between legal and natural persons;</w:t>
            </w:r>
          </w:p>
          <w:p w14:paraId="4FCDE988" w14:textId="77777777" w:rsidR="00DB018D" w:rsidRPr="002F39C0" w:rsidRDefault="00DB018D" w:rsidP="002F39C0">
            <w:pPr>
              <w:numPr>
                <w:ilvl w:val="0"/>
                <w:numId w:val="41"/>
              </w:numPr>
              <w:rPr>
                <w:rFonts w:ascii="Calibri" w:hAnsi="Calibri" w:cs="Calibri"/>
                <w:color w:val="000000"/>
                <w:sz w:val="21"/>
                <w:szCs w:val="21"/>
              </w:rPr>
            </w:pPr>
            <w:r w:rsidRPr="002F39C0">
              <w:rPr>
                <w:rFonts w:ascii="Calibri" w:hAnsi="Calibri" w:cs="Calibri"/>
                <w:color w:val="000000"/>
                <w:sz w:val="21"/>
                <w:szCs w:val="21"/>
              </w:rPr>
              <w:t>Examples of industries or other organizations that have successfully differentiated between legal and natural persons;</w:t>
            </w:r>
          </w:p>
          <w:p w14:paraId="2984F54D" w14:textId="77777777" w:rsidR="00DB018D" w:rsidRPr="002F39C0" w:rsidRDefault="00DB018D" w:rsidP="002F39C0">
            <w:pPr>
              <w:numPr>
                <w:ilvl w:val="0"/>
                <w:numId w:val="41"/>
              </w:numPr>
              <w:rPr>
                <w:rFonts w:ascii="Calibri" w:hAnsi="Calibri" w:cs="Calibri"/>
                <w:color w:val="000000"/>
                <w:sz w:val="21"/>
                <w:szCs w:val="21"/>
              </w:rPr>
            </w:pPr>
            <w:r w:rsidRPr="002F39C0">
              <w:rPr>
                <w:rFonts w:ascii="Calibri" w:hAnsi="Calibri" w:cs="Calibri"/>
                <w:color w:val="000000"/>
                <w:sz w:val="21"/>
                <w:szCs w:val="21"/>
              </w:rPr>
              <w:t xml:space="preserve">Privacy risks to registered name holders of differentiating between legal and natural persons; and </w:t>
            </w:r>
          </w:p>
          <w:p w14:paraId="6CC35E37" w14:textId="77777777" w:rsidR="00DB018D" w:rsidRPr="002F39C0" w:rsidRDefault="00DB018D" w:rsidP="002F39C0">
            <w:pPr>
              <w:numPr>
                <w:ilvl w:val="0"/>
                <w:numId w:val="41"/>
              </w:numPr>
              <w:rPr>
                <w:rFonts w:ascii="Calibri" w:hAnsi="Calibri" w:cs="Calibri"/>
                <w:color w:val="000000"/>
                <w:sz w:val="21"/>
                <w:szCs w:val="21"/>
              </w:rPr>
            </w:pPr>
            <w:r w:rsidRPr="002F39C0">
              <w:rPr>
                <w:rFonts w:ascii="Calibri" w:hAnsi="Calibri" w:cs="Calibri"/>
                <w:color w:val="000000"/>
                <w:sz w:val="21"/>
                <w:szCs w:val="21"/>
              </w:rPr>
              <w:t>Other potential risks (if any) to registrars and registries of not differentiating. </w:t>
            </w:r>
          </w:p>
          <w:p w14:paraId="69F0E680" w14:textId="0D7CB70D" w:rsidR="00DB018D" w:rsidRPr="002F39C0" w:rsidRDefault="00DB018D" w:rsidP="002F39C0">
            <w:pPr>
              <w:ind w:left="360" w:hanging="360"/>
              <w:rPr>
                <w:color w:val="000000"/>
                <w:sz w:val="21"/>
                <w:szCs w:val="21"/>
              </w:rPr>
            </w:pPr>
            <w:r w:rsidRPr="002F39C0">
              <w:rPr>
                <w:rFonts w:ascii="Calibri" w:hAnsi="Calibri" w:cs="Calibri"/>
                <w:color w:val="000000"/>
                <w:sz w:val="21"/>
                <w:szCs w:val="21"/>
              </w:rPr>
              <w:lastRenderedPageBreak/>
              <w:t xml:space="preserve">3)   The EPDP Team will discuss the Legal vs. Natural issue in Phase 2. Depending on the timing of the research, its discussions may inform the scope of research and/or use its findings. </w:t>
            </w:r>
          </w:p>
        </w:tc>
        <w:tc>
          <w:tcPr>
            <w:tcW w:w="1518" w:type="dxa"/>
          </w:tcPr>
          <w:p w14:paraId="59C7A0E7" w14:textId="17B3BB84" w:rsidR="00DB018D" w:rsidRPr="00EC108A" w:rsidRDefault="00DB018D" w:rsidP="00EC108A">
            <w:pPr>
              <w:rPr>
                <w:rFonts w:asciiTheme="minorHAnsi" w:hAnsiTheme="minorHAnsi" w:cstheme="minorHAnsi"/>
                <w:sz w:val="21"/>
                <w:szCs w:val="21"/>
              </w:rPr>
            </w:pPr>
            <w:r>
              <w:rPr>
                <w:rFonts w:asciiTheme="minorHAnsi" w:hAnsiTheme="minorHAnsi" w:cstheme="minorHAnsi"/>
                <w:sz w:val="21"/>
                <w:szCs w:val="21"/>
              </w:rPr>
              <w:lastRenderedPageBreak/>
              <w:t xml:space="preserve">Full Consensus / </w:t>
            </w:r>
            <w:proofErr w:type="spellStart"/>
            <w:r>
              <w:rPr>
                <w:rFonts w:asciiTheme="minorHAnsi" w:hAnsiTheme="minorHAnsi" w:cstheme="minorHAnsi"/>
                <w:sz w:val="21"/>
                <w:szCs w:val="21"/>
              </w:rPr>
              <w:t>Consensus</w:t>
            </w:r>
            <w:proofErr w:type="spellEnd"/>
          </w:p>
        </w:tc>
        <w:tc>
          <w:tcPr>
            <w:tcW w:w="2000" w:type="dxa"/>
          </w:tcPr>
          <w:p w14:paraId="5A74A70B" w14:textId="77777777" w:rsidR="00DB018D" w:rsidRPr="00E82D1D" w:rsidRDefault="00DB018D" w:rsidP="00AA14F2">
            <w:pPr>
              <w:jc w:val="center"/>
              <w:rPr>
                <w:rFonts w:asciiTheme="minorHAnsi" w:hAnsiTheme="minorHAnsi" w:cstheme="minorHAnsi"/>
                <w:b/>
                <w:sz w:val="21"/>
                <w:szCs w:val="21"/>
              </w:rPr>
            </w:pPr>
          </w:p>
        </w:tc>
      </w:tr>
      <w:tr w:rsidR="001464EB" w:rsidRPr="00E82D1D" w14:paraId="1EBD4360" w14:textId="77777777" w:rsidTr="00DB018D">
        <w:tc>
          <w:tcPr>
            <w:tcW w:w="2180" w:type="dxa"/>
          </w:tcPr>
          <w:p w14:paraId="6277A3DA" w14:textId="218E1B0A" w:rsidR="001464EB" w:rsidRDefault="001464EB" w:rsidP="001464EB">
            <w:pPr>
              <w:spacing w:before="60"/>
              <w:rPr>
                <w:rFonts w:asciiTheme="minorHAnsi" w:hAnsiTheme="minorHAnsi" w:cstheme="minorHAnsi"/>
                <w:color w:val="000000" w:themeColor="text1"/>
                <w:sz w:val="21"/>
                <w:szCs w:val="21"/>
              </w:rPr>
            </w:pPr>
            <w:r w:rsidRPr="00E82D1D">
              <w:rPr>
                <w:rFonts w:asciiTheme="minorHAnsi" w:hAnsiTheme="minorHAnsi" w:cstheme="minorHAnsi"/>
                <w:color w:val="000000" w:themeColor="text1"/>
                <w:sz w:val="21"/>
                <w:szCs w:val="21"/>
              </w:rPr>
              <w:lastRenderedPageBreak/>
              <w:t>Recommendation #</w:t>
            </w:r>
            <w:r>
              <w:rPr>
                <w:rFonts w:asciiTheme="minorHAnsi" w:hAnsiTheme="minorHAnsi" w:cstheme="minorHAnsi"/>
                <w:color w:val="000000" w:themeColor="text1"/>
                <w:sz w:val="21"/>
                <w:szCs w:val="21"/>
              </w:rPr>
              <w:t>19 (old #13)</w:t>
            </w:r>
            <w:r w:rsidRPr="00E82D1D">
              <w:rPr>
                <w:rFonts w:asciiTheme="minorHAnsi" w:hAnsiTheme="minorHAnsi" w:cstheme="minorHAnsi"/>
                <w:color w:val="000000" w:themeColor="text1"/>
                <w:sz w:val="21"/>
                <w:szCs w:val="21"/>
              </w:rPr>
              <w:t xml:space="preserve"> - Controller Agreement</w:t>
            </w:r>
          </w:p>
        </w:tc>
        <w:tc>
          <w:tcPr>
            <w:tcW w:w="7421" w:type="dxa"/>
            <w:tcBorders>
              <w:top w:val="single" w:sz="4" w:space="0" w:color="auto"/>
            </w:tcBorders>
          </w:tcPr>
          <w:p w14:paraId="22D5BD4F" w14:textId="63B00E52" w:rsidR="001464EB" w:rsidRDefault="001464EB" w:rsidP="001464EB">
            <w:pPr>
              <w:ind w:left="35" w:hanging="35"/>
              <w:rPr>
                <w:rFonts w:ascii="Calibri" w:hAnsi="Calibri" w:cs="Calibri"/>
                <w:color w:val="000000"/>
                <w:sz w:val="21"/>
                <w:szCs w:val="21"/>
              </w:rPr>
            </w:pPr>
            <w:r w:rsidRPr="008A4CA9">
              <w:rPr>
                <w:rFonts w:asciiTheme="minorHAnsi" w:hAnsiTheme="minorHAnsi" w:cstheme="minorHAnsi"/>
                <w:sz w:val="21"/>
                <w:szCs w:val="21"/>
              </w:rPr>
              <w:t>The EPDP Team recommends that ICANN Org negotiates and enters into required data protection agreements, as appropriate, with the Contracted Parties. In addition to the legally required components of such agreement, the agreement shall specify the responsibilities of the respective parties for the processing activities as described therein. Indemnification clauses should ensure that the risk for certain data processing is borne, to the extent appropriate, by the parties that are involved in the processing. Due consideration should be given to the analysis carried out by the EPDP Team in its Final Report.</w:t>
            </w:r>
          </w:p>
        </w:tc>
        <w:tc>
          <w:tcPr>
            <w:tcW w:w="1518" w:type="dxa"/>
          </w:tcPr>
          <w:p w14:paraId="7CCC54BD" w14:textId="50AAA654" w:rsidR="001464EB" w:rsidRDefault="001464EB" w:rsidP="001464EB">
            <w:pPr>
              <w:rPr>
                <w:rFonts w:asciiTheme="minorHAnsi" w:hAnsiTheme="minorHAnsi" w:cstheme="minorHAnsi"/>
                <w:sz w:val="21"/>
                <w:szCs w:val="21"/>
              </w:rPr>
            </w:pPr>
            <w:r>
              <w:rPr>
                <w:rFonts w:asciiTheme="minorHAnsi" w:hAnsiTheme="minorHAnsi" w:cstheme="minorHAnsi"/>
                <w:sz w:val="21"/>
                <w:szCs w:val="21"/>
              </w:rPr>
              <w:t>Full C</w:t>
            </w:r>
            <w:r>
              <w:rPr>
                <w:rFonts w:asciiTheme="minorHAnsi" w:hAnsiTheme="minorHAnsi" w:cstheme="minorHAnsi"/>
                <w:sz w:val="21"/>
                <w:szCs w:val="21"/>
              </w:rPr>
              <w:t xml:space="preserve">onsensus / </w:t>
            </w:r>
            <w:proofErr w:type="spellStart"/>
            <w:r>
              <w:rPr>
                <w:rFonts w:asciiTheme="minorHAnsi" w:hAnsiTheme="minorHAnsi" w:cstheme="minorHAnsi"/>
                <w:sz w:val="21"/>
                <w:szCs w:val="21"/>
              </w:rPr>
              <w:t>Consensus</w:t>
            </w:r>
            <w:proofErr w:type="spellEnd"/>
          </w:p>
        </w:tc>
        <w:tc>
          <w:tcPr>
            <w:tcW w:w="2000" w:type="dxa"/>
          </w:tcPr>
          <w:p w14:paraId="45DBDD15" w14:textId="2393C582" w:rsidR="001464EB" w:rsidRPr="00E82D1D" w:rsidRDefault="001464EB" w:rsidP="001464EB">
            <w:pPr>
              <w:rPr>
                <w:rFonts w:asciiTheme="minorHAnsi" w:hAnsiTheme="minorHAnsi" w:cstheme="minorHAnsi"/>
                <w:b/>
                <w:sz w:val="21"/>
                <w:szCs w:val="21"/>
              </w:rPr>
            </w:pPr>
            <w:r>
              <w:rPr>
                <w:rFonts w:asciiTheme="minorHAnsi" w:hAnsiTheme="minorHAnsi" w:cstheme="minorHAnsi"/>
                <w:sz w:val="21"/>
                <w:szCs w:val="21"/>
              </w:rPr>
              <w:t>The language here reflects the latest comments</w:t>
            </w:r>
            <w:r>
              <w:rPr>
                <w:rFonts w:asciiTheme="minorHAnsi" w:hAnsiTheme="minorHAnsi" w:cstheme="minorHAnsi"/>
                <w:sz w:val="21"/>
                <w:szCs w:val="21"/>
              </w:rPr>
              <w:t xml:space="preserve"> on the sentence addressing indemnification</w:t>
            </w:r>
          </w:p>
        </w:tc>
      </w:tr>
      <w:tr w:rsidR="001464EB" w:rsidRPr="00E82D1D" w14:paraId="444393AD" w14:textId="77777777" w:rsidTr="00DB018D">
        <w:tc>
          <w:tcPr>
            <w:tcW w:w="2180" w:type="dxa"/>
          </w:tcPr>
          <w:p w14:paraId="708071B2" w14:textId="047A3150" w:rsidR="001464EB" w:rsidRPr="00E82D1D" w:rsidRDefault="001464EB" w:rsidP="001464EB">
            <w:pPr>
              <w:spacing w:before="60"/>
              <w:rPr>
                <w:rFonts w:asciiTheme="minorHAnsi" w:hAnsiTheme="minorHAnsi" w:cstheme="minorHAnsi"/>
                <w:color w:val="000000" w:themeColor="text1"/>
                <w:sz w:val="21"/>
                <w:szCs w:val="21"/>
              </w:rPr>
            </w:pPr>
            <w:r w:rsidRPr="00E82D1D">
              <w:rPr>
                <w:rFonts w:asciiTheme="minorHAnsi" w:hAnsiTheme="minorHAnsi" w:cstheme="minorHAnsi"/>
                <w:color w:val="000000" w:themeColor="text1"/>
                <w:sz w:val="21"/>
                <w:szCs w:val="21"/>
              </w:rPr>
              <w:t>Recommendation #</w:t>
            </w:r>
            <w:r>
              <w:rPr>
                <w:rFonts w:asciiTheme="minorHAnsi" w:hAnsiTheme="minorHAnsi" w:cstheme="minorHAnsi"/>
                <w:color w:val="000000" w:themeColor="text1"/>
                <w:sz w:val="21"/>
                <w:szCs w:val="21"/>
              </w:rPr>
              <w:t>20 (old #14)</w:t>
            </w:r>
            <w:r w:rsidRPr="00E82D1D">
              <w:rPr>
                <w:rFonts w:asciiTheme="minorHAnsi" w:hAnsiTheme="minorHAnsi" w:cstheme="minorHAnsi"/>
                <w:color w:val="000000" w:themeColor="text1"/>
                <w:sz w:val="21"/>
                <w:szCs w:val="21"/>
              </w:rPr>
              <w:t xml:space="preserve"> - R</w:t>
            </w:r>
            <w:r>
              <w:rPr>
                <w:rFonts w:asciiTheme="minorHAnsi" w:hAnsiTheme="minorHAnsi" w:cstheme="minorHAnsi"/>
                <w:color w:val="000000" w:themeColor="text1"/>
                <w:sz w:val="21"/>
                <w:szCs w:val="21"/>
              </w:rPr>
              <w:t>esponsible P</w:t>
            </w:r>
            <w:r w:rsidRPr="00E82D1D">
              <w:rPr>
                <w:rFonts w:asciiTheme="minorHAnsi" w:hAnsiTheme="minorHAnsi" w:cstheme="minorHAnsi"/>
                <w:color w:val="000000" w:themeColor="text1"/>
                <w:sz w:val="21"/>
                <w:szCs w:val="21"/>
              </w:rPr>
              <w:t>arties</w:t>
            </w:r>
          </w:p>
        </w:tc>
        <w:tc>
          <w:tcPr>
            <w:tcW w:w="7421" w:type="dxa"/>
            <w:tcBorders>
              <w:top w:val="single" w:sz="4" w:space="0" w:color="auto"/>
            </w:tcBorders>
          </w:tcPr>
          <w:p w14:paraId="5EC2737F" w14:textId="77777777" w:rsidR="001464EB" w:rsidRPr="008A4CA9" w:rsidRDefault="001464EB" w:rsidP="00F8502E">
            <w:pPr>
              <w:rPr>
                <w:rFonts w:asciiTheme="minorHAnsi" w:hAnsiTheme="minorHAnsi" w:cstheme="minorHAnsi"/>
                <w:sz w:val="21"/>
                <w:szCs w:val="21"/>
              </w:rPr>
            </w:pPr>
            <w:r w:rsidRPr="008A4CA9">
              <w:rPr>
                <w:rFonts w:asciiTheme="minorHAnsi" w:hAnsiTheme="minorHAnsi" w:cstheme="minorHAnsi"/>
                <w:sz w:val="21"/>
                <w:szCs w:val="21"/>
              </w:rPr>
              <w:t xml:space="preserve">During Phase 1 of its work, the EPDP Team documented the data processing activities and responsible parties associated with </w:t>
            </w:r>
            <w:proofErr w:type="spellStart"/>
            <w:r w:rsidRPr="008A4CA9">
              <w:rPr>
                <w:rFonts w:asciiTheme="minorHAnsi" w:hAnsiTheme="minorHAnsi" w:cstheme="minorHAnsi"/>
                <w:sz w:val="21"/>
                <w:szCs w:val="21"/>
              </w:rPr>
              <w:t>gTLD</w:t>
            </w:r>
            <w:proofErr w:type="spellEnd"/>
            <w:r w:rsidRPr="008A4CA9">
              <w:rPr>
                <w:rFonts w:asciiTheme="minorHAnsi" w:hAnsiTheme="minorHAnsi" w:cstheme="minorHAnsi"/>
                <w:sz w:val="21"/>
                <w:szCs w:val="21"/>
              </w:rPr>
              <w:t xml:space="preserve"> registration data. The EPDP Team, accordingly, recommends the inclusion of the data processing activities and responsible parties, outlined below, to be confirmed and documented in the relevant data protection agreements, noting, however, this Recommendation may be affected by the finalization of the necessary agreements that would confirm and define the roles and responsibilities.</w:t>
            </w:r>
          </w:p>
          <w:p w14:paraId="0A96A052" w14:textId="64D5BA22" w:rsidR="001464EB" w:rsidRPr="008A4CA9" w:rsidRDefault="001464EB" w:rsidP="001464EB">
            <w:pPr>
              <w:ind w:left="375" w:hanging="375"/>
              <w:rPr>
                <w:rFonts w:asciiTheme="minorHAnsi" w:hAnsiTheme="minorHAnsi" w:cstheme="minorHAnsi"/>
                <w:sz w:val="21"/>
                <w:szCs w:val="21"/>
              </w:rPr>
            </w:pPr>
            <w:r w:rsidRPr="008A4CA9">
              <w:rPr>
                <w:rFonts w:asciiTheme="minorHAnsi" w:hAnsiTheme="minorHAnsi" w:cstheme="minorHAnsi"/>
                <w:sz w:val="21"/>
                <w:szCs w:val="21"/>
              </w:rPr>
              <w:t xml:space="preserve"> [See Table in Final Report]</w:t>
            </w:r>
          </w:p>
        </w:tc>
        <w:tc>
          <w:tcPr>
            <w:tcW w:w="1518" w:type="dxa"/>
          </w:tcPr>
          <w:p w14:paraId="4F912535" w14:textId="701AD6AD" w:rsidR="001464EB" w:rsidRDefault="001464EB" w:rsidP="001464EB">
            <w:pPr>
              <w:rPr>
                <w:rFonts w:asciiTheme="minorHAnsi" w:hAnsiTheme="minorHAnsi" w:cstheme="minorHAnsi"/>
                <w:sz w:val="21"/>
                <w:szCs w:val="21"/>
              </w:rPr>
            </w:pPr>
            <w:r>
              <w:rPr>
                <w:rFonts w:asciiTheme="minorHAnsi" w:hAnsiTheme="minorHAnsi" w:cstheme="minorHAnsi"/>
                <w:sz w:val="21"/>
                <w:szCs w:val="21"/>
              </w:rPr>
              <w:t>Full C</w:t>
            </w:r>
            <w:r>
              <w:rPr>
                <w:rFonts w:asciiTheme="minorHAnsi" w:hAnsiTheme="minorHAnsi" w:cstheme="minorHAnsi"/>
                <w:sz w:val="21"/>
                <w:szCs w:val="21"/>
              </w:rPr>
              <w:t xml:space="preserve">onsensus / </w:t>
            </w:r>
            <w:proofErr w:type="spellStart"/>
            <w:r>
              <w:rPr>
                <w:rFonts w:asciiTheme="minorHAnsi" w:hAnsiTheme="minorHAnsi" w:cstheme="minorHAnsi"/>
                <w:sz w:val="21"/>
                <w:szCs w:val="21"/>
              </w:rPr>
              <w:t>Consensus</w:t>
            </w:r>
            <w:proofErr w:type="spellEnd"/>
          </w:p>
        </w:tc>
        <w:tc>
          <w:tcPr>
            <w:tcW w:w="2000" w:type="dxa"/>
          </w:tcPr>
          <w:p w14:paraId="0E4D3DAB" w14:textId="58D98420" w:rsidR="001464EB" w:rsidRDefault="001464EB" w:rsidP="001464EB">
            <w:pPr>
              <w:rPr>
                <w:rFonts w:asciiTheme="minorHAnsi" w:hAnsiTheme="minorHAnsi" w:cstheme="minorHAnsi"/>
                <w:sz w:val="21"/>
                <w:szCs w:val="21"/>
              </w:rPr>
            </w:pPr>
          </w:p>
        </w:tc>
      </w:tr>
      <w:tr w:rsidR="001464EB" w:rsidRPr="00E82D1D" w14:paraId="3312D3E4" w14:textId="77777777" w:rsidTr="00DB018D">
        <w:tc>
          <w:tcPr>
            <w:tcW w:w="2180" w:type="dxa"/>
          </w:tcPr>
          <w:p w14:paraId="113E54C2" w14:textId="4B74421E" w:rsidR="001464EB" w:rsidRPr="00E82D1D" w:rsidRDefault="001464EB" w:rsidP="00AA14F2">
            <w:pPr>
              <w:spacing w:before="60"/>
              <w:rPr>
                <w:rFonts w:asciiTheme="minorHAnsi" w:hAnsiTheme="minorHAnsi" w:cstheme="minorHAnsi"/>
                <w:color w:val="000000" w:themeColor="text1"/>
                <w:sz w:val="21"/>
                <w:szCs w:val="21"/>
              </w:rPr>
            </w:pPr>
            <w:r w:rsidRPr="00E82D1D">
              <w:rPr>
                <w:rFonts w:asciiTheme="minorHAnsi" w:hAnsiTheme="minorHAnsi" w:cstheme="minorHAnsi"/>
                <w:color w:val="000000" w:themeColor="text1"/>
                <w:sz w:val="21"/>
                <w:szCs w:val="21"/>
              </w:rPr>
              <w:t>Recommendation #</w:t>
            </w:r>
            <w:r>
              <w:rPr>
                <w:rFonts w:asciiTheme="minorHAnsi" w:hAnsiTheme="minorHAnsi" w:cstheme="minorHAnsi"/>
                <w:color w:val="000000" w:themeColor="text1"/>
                <w:sz w:val="21"/>
                <w:szCs w:val="21"/>
              </w:rPr>
              <w:t>27 (old #22)</w:t>
            </w:r>
            <w:r w:rsidRPr="00E82D1D">
              <w:rPr>
                <w:rFonts w:asciiTheme="minorHAnsi" w:hAnsiTheme="minorHAnsi" w:cstheme="minorHAnsi"/>
                <w:color w:val="000000" w:themeColor="text1"/>
                <w:sz w:val="21"/>
                <w:szCs w:val="21"/>
              </w:rPr>
              <w:t xml:space="preserve"> </w:t>
            </w:r>
            <w:r>
              <w:rPr>
                <w:rFonts w:asciiTheme="minorHAnsi" w:hAnsiTheme="minorHAnsi" w:cstheme="minorHAnsi"/>
                <w:color w:val="000000" w:themeColor="text1"/>
                <w:sz w:val="21"/>
                <w:szCs w:val="21"/>
              </w:rPr>
              <w:t>–</w:t>
            </w:r>
            <w:r w:rsidRPr="00E82D1D">
              <w:rPr>
                <w:rFonts w:asciiTheme="minorHAnsi" w:hAnsiTheme="minorHAnsi" w:cstheme="minorHAnsi"/>
                <w:color w:val="000000" w:themeColor="text1"/>
                <w:sz w:val="21"/>
                <w:szCs w:val="21"/>
              </w:rPr>
              <w:t xml:space="preserve"> Impact on other policies </w:t>
            </w:r>
          </w:p>
        </w:tc>
        <w:tc>
          <w:tcPr>
            <w:tcW w:w="7421" w:type="dxa"/>
          </w:tcPr>
          <w:p w14:paraId="61E7FEA0" w14:textId="77777777" w:rsidR="001464EB" w:rsidRPr="00C60DF9" w:rsidRDefault="001464EB" w:rsidP="00C60DF9">
            <w:pPr>
              <w:keepNext/>
              <w:rPr>
                <w:rFonts w:asciiTheme="minorHAnsi" w:hAnsiTheme="minorHAnsi" w:cstheme="minorHAnsi"/>
                <w:sz w:val="21"/>
                <w:szCs w:val="21"/>
              </w:rPr>
            </w:pPr>
            <w:r w:rsidRPr="00C60DF9">
              <w:rPr>
                <w:rFonts w:asciiTheme="minorHAnsi" w:hAnsiTheme="minorHAnsi" w:cstheme="minorHAnsi"/>
                <w:sz w:val="21"/>
                <w:szCs w:val="21"/>
              </w:rPr>
              <w:t>The EPDP Team recommends that as part of the implementation of these policy recommendations, updates are made to the following existing policies / procedures, and any others that may have been omitted, to ensure consistency with these policy recommendations as, for example, a number of these refer to administrative and/or technical contact which will no longer be required data elements:</w:t>
            </w:r>
          </w:p>
          <w:p w14:paraId="1C2037DD" w14:textId="77777777" w:rsidR="001464EB" w:rsidRPr="00C60DF9" w:rsidRDefault="001464EB" w:rsidP="00C60DF9">
            <w:pPr>
              <w:rPr>
                <w:rFonts w:asciiTheme="minorHAnsi" w:hAnsiTheme="minorHAnsi" w:cstheme="minorHAnsi"/>
                <w:sz w:val="21"/>
                <w:szCs w:val="21"/>
              </w:rPr>
            </w:pPr>
          </w:p>
          <w:p w14:paraId="1B0BD6CE" w14:textId="77777777" w:rsidR="001464EB" w:rsidRPr="00C60DF9" w:rsidRDefault="001464EB" w:rsidP="00C60DF9">
            <w:pPr>
              <w:numPr>
                <w:ilvl w:val="0"/>
                <w:numId w:val="43"/>
              </w:numPr>
              <w:rPr>
                <w:rFonts w:asciiTheme="minorHAnsi" w:hAnsiTheme="minorHAnsi" w:cstheme="minorHAnsi"/>
                <w:color w:val="000000"/>
                <w:sz w:val="21"/>
                <w:szCs w:val="21"/>
              </w:rPr>
            </w:pPr>
            <w:hyperlink r:id="rId10" w:history="1">
              <w:r w:rsidRPr="00C60DF9">
                <w:rPr>
                  <w:rStyle w:val="Hyperlink"/>
                  <w:rFonts w:asciiTheme="minorHAnsi" w:eastAsiaTheme="majorEastAsia" w:hAnsiTheme="minorHAnsi" w:cstheme="minorHAnsi"/>
                  <w:sz w:val="21"/>
                  <w:szCs w:val="21"/>
                </w:rPr>
                <w:t>Registry Registration Data Directory Services Consistent Labeling and Display Policy</w:t>
              </w:r>
            </w:hyperlink>
          </w:p>
          <w:p w14:paraId="303C552F" w14:textId="77777777" w:rsidR="001464EB" w:rsidRPr="00C60DF9" w:rsidRDefault="001464EB" w:rsidP="00C60DF9">
            <w:pPr>
              <w:numPr>
                <w:ilvl w:val="0"/>
                <w:numId w:val="43"/>
              </w:numPr>
              <w:rPr>
                <w:rFonts w:asciiTheme="minorHAnsi" w:hAnsiTheme="minorHAnsi" w:cstheme="minorHAnsi"/>
                <w:color w:val="000000"/>
                <w:sz w:val="21"/>
                <w:szCs w:val="21"/>
              </w:rPr>
            </w:pPr>
            <w:hyperlink r:id="rId11" w:history="1">
              <w:r w:rsidRPr="00C60DF9">
                <w:rPr>
                  <w:rStyle w:val="Hyperlink"/>
                  <w:rFonts w:asciiTheme="minorHAnsi" w:eastAsiaTheme="majorEastAsia" w:hAnsiTheme="minorHAnsi" w:cstheme="minorHAnsi"/>
                  <w:sz w:val="21"/>
                  <w:szCs w:val="21"/>
                </w:rPr>
                <w:t>Thick WHOIS Transition Policy for .COM, .NET, .JOBS</w:t>
              </w:r>
            </w:hyperlink>
          </w:p>
          <w:p w14:paraId="159CB655" w14:textId="77777777" w:rsidR="001464EB" w:rsidRPr="00C60DF9" w:rsidRDefault="001464EB" w:rsidP="00C60DF9">
            <w:pPr>
              <w:numPr>
                <w:ilvl w:val="0"/>
                <w:numId w:val="43"/>
              </w:numPr>
              <w:spacing w:before="100" w:beforeAutospacing="1" w:after="100" w:afterAutospacing="1"/>
              <w:rPr>
                <w:rFonts w:asciiTheme="minorHAnsi" w:hAnsiTheme="minorHAnsi" w:cstheme="minorHAnsi"/>
                <w:color w:val="000000"/>
                <w:sz w:val="21"/>
                <w:szCs w:val="21"/>
              </w:rPr>
            </w:pPr>
            <w:hyperlink r:id="rId12" w:history="1">
              <w:r w:rsidRPr="00C60DF9">
                <w:rPr>
                  <w:rStyle w:val="Hyperlink"/>
                  <w:rFonts w:asciiTheme="minorHAnsi" w:eastAsiaTheme="majorEastAsia" w:hAnsiTheme="minorHAnsi" w:cstheme="minorHAnsi"/>
                  <w:sz w:val="21"/>
                  <w:szCs w:val="21"/>
                </w:rPr>
                <w:t>Rules for Uniform Domain Name Dispute Resolution Policy</w:t>
              </w:r>
            </w:hyperlink>
          </w:p>
          <w:p w14:paraId="380B8E95" w14:textId="77777777" w:rsidR="001464EB" w:rsidRPr="00C60DF9" w:rsidRDefault="001464EB" w:rsidP="00C60DF9">
            <w:pPr>
              <w:numPr>
                <w:ilvl w:val="0"/>
                <w:numId w:val="43"/>
              </w:numPr>
              <w:spacing w:before="100" w:beforeAutospacing="1" w:after="100" w:afterAutospacing="1"/>
              <w:rPr>
                <w:rFonts w:asciiTheme="minorHAnsi" w:hAnsiTheme="minorHAnsi" w:cstheme="minorHAnsi"/>
                <w:color w:val="000000"/>
                <w:sz w:val="21"/>
                <w:szCs w:val="21"/>
              </w:rPr>
            </w:pPr>
            <w:hyperlink r:id="rId13" w:history="1">
              <w:r w:rsidRPr="00C60DF9">
                <w:rPr>
                  <w:rStyle w:val="Hyperlink"/>
                  <w:rFonts w:asciiTheme="minorHAnsi" w:eastAsiaTheme="majorEastAsia" w:hAnsiTheme="minorHAnsi" w:cstheme="minorHAnsi"/>
                  <w:sz w:val="21"/>
                  <w:szCs w:val="21"/>
                </w:rPr>
                <w:t>WHOIS Data Reminder Policy</w:t>
              </w:r>
            </w:hyperlink>
          </w:p>
          <w:p w14:paraId="2E69AA58" w14:textId="77777777" w:rsidR="001464EB" w:rsidRPr="00C60DF9" w:rsidRDefault="001464EB" w:rsidP="00C60DF9">
            <w:pPr>
              <w:numPr>
                <w:ilvl w:val="0"/>
                <w:numId w:val="43"/>
              </w:numPr>
              <w:spacing w:before="100" w:beforeAutospacing="1" w:after="100" w:afterAutospacing="1"/>
              <w:rPr>
                <w:rFonts w:asciiTheme="minorHAnsi" w:hAnsiTheme="minorHAnsi" w:cstheme="minorHAnsi"/>
                <w:color w:val="000000"/>
                <w:sz w:val="21"/>
                <w:szCs w:val="21"/>
              </w:rPr>
            </w:pPr>
            <w:hyperlink r:id="rId14" w:history="1">
              <w:r w:rsidRPr="00C60DF9">
                <w:rPr>
                  <w:rStyle w:val="Hyperlink"/>
                  <w:rFonts w:asciiTheme="minorHAnsi" w:eastAsiaTheme="majorEastAsia" w:hAnsiTheme="minorHAnsi" w:cstheme="minorHAnsi"/>
                  <w:sz w:val="21"/>
                  <w:szCs w:val="21"/>
                </w:rPr>
                <w:t>Transfer Policy</w:t>
              </w:r>
            </w:hyperlink>
          </w:p>
          <w:p w14:paraId="00067B68" w14:textId="77777777" w:rsidR="001464EB" w:rsidRDefault="001464EB" w:rsidP="00C60DF9">
            <w:pPr>
              <w:numPr>
                <w:ilvl w:val="0"/>
                <w:numId w:val="43"/>
              </w:numPr>
              <w:spacing w:before="100" w:beforeAutospacing="1" w:after="100" w:afterAutospacing="1"/>
              <w:rPr>
                <w:rStyle w:val="Hyperlink"/>
                <w:rFonts w:asciiTheme="minorHAnsi" w:hAnsiTheme="minorHAnsi" w:cstheme="minorHAnsi"/>
                <w:color w:val="000000"/>
                <w:sz w:val="21"/>
                <w:szCs w:val="21"/>
              </w:rPr>
            </w:pPr>
            <w:hyperlink r:id="rId15" w:history="1">
              <w:r w:rsidRPr="00C60DF9">
                <w:rPr>
                  <w:rStyle w:val="Hyperlink"/>
                  <w:rFonts w:asciiTheme="minorHAnsi" w:eastAsiaTheme="majorEastAsia" w:hAnsiTheme="minorHAnsi" w:cstheme="minorHAnsi"/>
                  <w:sz w:val="21"/>
                  <w:szCs w:val="21"/>
                </w:rPr>
                <w:t>Uniform Rapid Suspension System (URS) Rules</w:t>
              </w:r>
            </w:hyperlink>
          </w:p>
          <w:p w14:paraId="1F465831" w14:textId="37E8FB89" w:rsidR="001464EB" w:rsidRPr="00C60DF9" w:rsidRDefault="001464EB" w:rsidP="00C60DF9">
            <w:pPr>
              <w:numPr>
                <w:ilvl w:val="0"/>
                <w:numId w:val="43"/>
              </w:numPr>
              <w:spacing w:before="100" w:beforeAutospacing="1" w:after="100" w:afterAutospacing="1"/>
              <w:rPr>
                <w:rFonts w:asciiTheme="minorHAnsi" w:hAnsiTheme="minorHAnsi" w:cstheme="minorHAnsi"/>
                <w:color w:val="000000"/>
                <w:sz w:val="21"/>
                <w:szCs w:val="21"/>
                <w:u w:val="single"/>
              </w:rPr>
            </w:pPr>
            <w:r w:rsidRPr="00C60DF9">
              <w:rPr>
                <w:rStyle w:val="Hyperlink"/>
                <w:rFonts w:asciiTheme="minorHAnsi" w:eastAsiaTheme="majorEastAsia" w:hAnsiTheme="minorHAnsi" w:cstheme="minorHAnsi"/>
                <w:sz w:val="21"/>
                <w:szCs w:val="21"/>
              </w:rPr>
              <w:lastRenderedPageBreak/>
              <w:t>Transfer Dispute Resolution Policy</w:t>
            </w:r>
          </w:p>
        </w:tc>
        <w:tc>
          <w:tcPr>
            <w:tcW w:w="1518" w:type="dxa"/>
          </w:tcPr>
          <w:p w14:paraId="68B20EBD" w14:textId="07AFF213" w:rsidR="001464EB" w:rsidRPr="005E3C93" w:rsidRDefault="001464EB" w:rsidP="005E3C93">
            <w:pPr>
              <w:rPr>
                <w:rFonts w:asciiTheme="minorHAnsi" w:hAnsiTheme="minorHAnsi" w:cstheme="minorHAnsi"/>
                <w:sz w:val="21"/>
                <w:szCs w:val="21"/>
              </w:rPr>
            </w:pPr>
            <w:r>
              <w:rPr>
                <w:rFonts w:asciiTheme="minorHAnsi" w:hAnsiTheme="minorHAnsi" w:cstheme="minorHAnsi"/>
                <w:sz w:val="21"/>
                <w:szCs w:val="21"/>
              </w:rPr>
              <w:lastRenderedPageBreak/>
              <w:t xml:space="preserve">Full Consensus / </w:t>
            </w:r>
            <w:proofErr w:type="spellStart"/>
            <w:r>
              <w:rPr>
                <w:rFonts w:asciiTheme="minorHAnsi" w:hAnsiTheme="minorHAnsi" w:cstheme="minorHAnsi"/>
                <w:sz w:val="21"/>
                <w:szCs w:val="21"/>
              </w:rPr>
              <w:t>Consensus</w:t>
            </w:r>
            <w:proofErr w:type="spellEnd"/>
            <w:r>
              <w:rPr>
                <w:rFonts w:asciiTheme="minorHAnsi" w:hAnsiTheme="minorHAnsi" w:cstheme="minorHAnsi"/>
                <w:sz w:val="21"/>
                <w:szCs w:val="21"/>
              </w:rPr>
              <w:t xml:space="preserve"> </w:t>
            </w:r>
          </w:p>
        </w:tc>
        <w:tc>
          <w:tcPr>
            <w:tcW w:w="2000" w:type="dxa"/>
          </w:tcPr>
          <w:p w14:paraId="11EC58AE" w14:textId="77777777" w:rsidR="001464EB" w:rsidRPr="00E82D1D" w:rsidRDefault="001464EB" w:rsidP="00AA14F2">
            <w:pPr>
              <w:rPr>
                <w:rFonts w:asciiTheme="minorHAnsi" w:hAnsiTheme="minorHAnsi" w:cstheme="minorHAnsi"/>
                <w:sz w:val="21"/>
                <w:szCs w:val="21"/>
              </w:rPr>
            </w:pPr>
          </w:p>
        </w:tc>
      </w:tr>
      <w:tr w:rsidR="001464EB" w:rsidRPr="00E82D1D" w14:paraId="44C9DB2F" w14:textId="77777777" w:rsidTr="00DB018D">
        <w:tc>
          <w:tcPr>
            <w:tcW w:w="2180" w:type="dxa"/>
          </w:tcPr>
          <w:p w14:paraId="78BC1792" w14:textId="5C3C9A09" w:rsidR="001464EB" w:rsidRPr="00E82D1D" w:rsidRDefault="001464EB" w:rsidP="00AA14F2">
            <w:pPr>
              <w:spacing w:before="6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lastRenderedPageBreak/>
              <w:t xml:space="preserve">Recommendation #29 – Admin Contact Transition </w:t>
            </w:r>
          </w:p>
        </w:tc>
        <w:tc>
          <w:tcPr>
            <w:tcW w:w="7421" w:type="dxa"/>
          </w:tcPr>
          <w:p w14:paraId="62E1453B" w14:textId="6E059D57" w:rsidR="001464EB" w:rsidRPr="00C60DF9" w:rsidRDefault="001464EB" w:rsidP="00C60DF9">
            <w:pPr>
              <w:keepNext/>
              <w:rPr>
                <w:rFonts w:asciiTheme="minorHAnsi" w:hAnsiTheme="minorHAnsi" w:cstheme="minorHAnsi"/>
                <w:sz w:val="21"/>
                <w:szCs w:val="21"/>
              </w:rPr>
            </w:pPr>
            <w:r w:rsidRPr="00C60DF9">
              <w:rPr>
                <w:rFonts w:asciiTheme="minorHAnsi" w:hAnsiTheme="minorHAnsi" w:cstheme="minorHAnsi"/>
                <w:sz w:val="21"/>
                <w:szCs w:val="21"/>
              </w:rPr>
              <w:t>Recognizing that in the case of some existing registrations, there may be an Administrative Contact but no or incomplete Registered Name Holder contact information, the EPDP team recommends that prior to eliminating Administrative Contact fields, all Registrars must ensure that each registration contains Registered Name Holder contact information.</w:t>
            </w:r>
          </w:p>
        </w:tc>
        <w:tc>
          <w:tcPr>
            <w:tcW w:w="1518" w:type="dxa"/>
          </w:tcPr>
          <w:p w14:paraId="7729D8C0" w14:textId="75F327FD" w:rsidR="001464EB" w:rsidRPr="005E3C93" w:rsidRDefault="001464EB" w:rsidP="005E3C93">
            <w:pPr>
              <w:rPr>
                <w:rFonts w:asciiTheme="minorHAnsi" w:hAnsiTheme="minorHAnsi" w:cstheme="minorHAnsi"/>
                <w:sz w:val="21"/>
                <w:szCs w:val="21"/>
              </w:rPr>
            </w:pPr>
            <w:r>
              <w:rPr>
                <w:rFonts w:asciiTheme="minorHAnsi" w:hAnsiTheme="minorHAnsi" w:cstheme="minorHAnsi"/>
                <w:sz w:val="21"/>
                <w:szCs w:val="21"/>
              </w:rPr>
              <w:t xml:space="preserve">Full Consensus / </w:t>
            </w:r>
            <w:proofErr w:type="spellStart"/>
            <w:r>
              <w:rPr>
                <w:rFonts w:asciiTheme="minorHAnsi" w:hAnsiTheme="minorHAnsi" w:cstheme="minorHAnsi"/>
                <w:sz w:val="21"/>
                <w:szCs w:val="21"/>
              </w:rPr>
              <w:t>Consensus</w:t>
            </w:r>
            <w:proofErr w:type="spellEnd"/>
            <w:r>
              <w:rPr>
                <w:rFonts w:asciiTheme="minorHAnsi" w:hAnsiTheme="minorHAnsi" w:cstheme="minorHAnsi"/>
                <w:sz w:val="21"/>
                <w:szCs w:val="21"/>
              </w:rPr>
              <w:t xml:space="preserve"> </w:t>
            </w:r>
          </w:p>
        </w:tc>
        <w:tc>
          <w:tcPr>
            <w:tcW w:w="2000" w:type="dxa"/>
          </w:tcPr>
          <w:p w14:paraId="1B6D224E" w14:textId="52CE815A" w:rsidR="001464EB" w:rsidRPr="00E82D1D" w:rsidRDefault="001464EB" w:rsidP="00AA14F2">
            <w:pPr>
              <w:rPr>
                <w:rFonts w:asciiTheme="minorHAnsi" w:hAnsiTheme="minorHAnsi" w:cstheme="minorHAnsi"/>
                <w:sz w:val="21"/>
                <w:szCs w:val="21"/>
              </w:rPr>
            </w:pPr>
            <w:r>
              <w:rPr>
                <w:rFonts w:asciiTheme="minorHAnsi" w:hAnsiTheme="minorHAnsi" w:cstheme="minorHAnsi"/>
                <w:sz w:val="21"/>
                <w:szCs w:val="21"/>
              </w:rPr>
              <w:t xml:space="preserve"> </w:t>
            </w:r>
          </w:p>
        </w:tc>
      </w:tr>
    </w:tbl>
    <w:p w14:paraId="64B1E66D" w14:textId="17E1E2AE" w:rsidR="000A24FD" w:rsidRDefault="000A24FD"/>
    <w:p w14:paraId="4FC1E315" w14:textId="77777777" w:rsidR="000A24FD" w:rsidRDefault="000A24FD"/>
    <w:p w14:paraId="5DFB834C" w14:textId="3DBBCB8B" w:rsidR="00187BD5" w:rsidRDefault="00187BD5">
      <w:pPr>
        <w:rPr>
          <w:rFonts w:asciiTheme="minorHAnsi" w:hAnsiTheme="minorHAnsi" w:cstheme="minorHAnsi"/>
          <w:b/>
          <w:sz w:val="28"/>
          <w:szCs w:val="28"/>
        </w:rPr>
      </w:pPr>
    </w:p>
    <w:p w14:paraId="6E353A9D" w14:textId="459235C6" w:rsidR="00FF10EF" w:rsidRDefault="00187BD5">
      <w:pPr>
        <w:rPr>
          <w:rFonts w:asciiTheme="minorHAnsi" w:hAnsiTheme="minorHAnsi" w:cstheme="minorHAnsi"/>
          <w:b/>
          <w:sz w:val="28"/>
          <w:szCs w:val="28"/>
        </w:rPr>
      </w:pPr>
      <w:r w:rsidRPr="00187BD5">
        <w:rPr>
          <w:rFonts w:asciiTheme="minorHAnsi" w:hAnsiTheme="minorHAnsi" w:cstheme="minorHAnsi"/>
          <w:b/>
          <w:sz w:val="28"/>
          <w:szCs w:val="28"/>
        </w:rPr>
        <w:t>Cluster #3</w:t>
      </w:r>
      <w:r>
        <w:rPr>
          <w:rFonts w:asciiTheme="minorHAnsi" w:hAnsiTheme="minorHAnsi" w:cstheme="minorHAnsi"/>
          <w:b/>
          <w:sz w:val="28"/>
          <w:szCs w:val="28"/>
        </w:rPr>
        <w:t>B</w:t>
      </w:r>
      <w:r w:rsidRPr="00187BD5">
        <w:rPr>
          <w:rFonts w:asciiTheme="minorHAnsi" w:hAnsiTheme="minorHAnsi" w:cstheme="minorHAnsi"/>
          <w:b/>
          <w:sz w:val="28"/>
          <w:szCs w:val="28"/>
        </w:rPr>
        <w:t xml:space="preserve">– Additional recommendations </w:t>
      </w:r>
      <w:r>
        <w:rPr>
          <w:rFonts w:asciiTheme="minorHAnsi" w:hAnsiTheme="minorHAnsi" w:cstheme="minorHAnsi"/>
          <w:b/>
          <w:sz w:val="28"/>
          <w:szCs w:val="28"/>
        </w:rPr>
        <w:t>considered final</w:t>
      </w:r>
      <w:r w:rsidRPr="00187BD5">
        <w:rPr>
          <w:rFonts w:asciiTheme="minorHAnsi" w:hAnsiTheme="minorHAnsi" w:cstheme="minorHAnsi"/>
          <w:b/>
          <w:sz w:val="28"/>
          <w:szCs w:val="28"/>
        </w:rPr>
        <w:t xml:space="preserve"> </w:t>
      </w:r>
      <w:r>
        <w:rPr>
          <w:rFonts w:asciiTheme="minorHAnsi" w:hAnsiTheme="minorHAnsi" w:cstheme="minorHAnsi"/>
          <w:b/>
          <w:sz w:val="28"/>
          <w:szCs w:val="28"/>
        </w:rPr>
        <w:t>but</w:t>
      </w:r>
      <w:r w:rsidRPr="00187BD5">
        <w:rPr>
          <w:rFonts w:asciiTheme="minorHAnsi" w:hAnsiTheme="minorHAnsi" w:cstheme="minorHAnsi"/>
          <w:b/>
          <w:sz w:val="28"/>
          <w:szCs w:val="28"/>
        </w:rPr>
        <w:t xml:space="preserve"> final designation </w:t>
      </w:r>
      <w:r>
        <w:rPr>
          <w:rFonts w:asciiTheme="minorHAnsi" w:hAnsiTheme="minorHAnsi" w:cstheme="minorHAnsi"/>
          <w:b/>
          <w:sz w:val="28"/>
          <w:szCs w:val="28"/>
        </w:rPr>
        <w:t>pending</w:t>
      </w:r>
    </w:p>
    <w:p w14:paraId="1525C6C6" w14:textId="77777777" w:rsidR="00187BD5" w:rsidRDefault="00187BD5"/>
    <w:tbl>
      <w:tblPr>
        <w:tblStyle w:val="TableGrid"/>
        <w:tblW w:w="13119" w:type="dxa"/>
        <w:tblLook w:val="04A0" w:firstRow="1" w:lastRow="0" w:firstColumn="1" w:lastColumn="0" w:noHBand="0" w:noVBand="1"/>
      </w:tblPr>
      <w:tblGrid>
        <w:gridCol w:w="2180"/>
        <w:gridCol w:w="7421"/>
        <w:gridCol w:w="1518"/>
        <w:gridCol w:w="2000"/>
      </w:tblGrid>
      <w:tr w:rsidR="00187BD5" w:rsidRPr="00E82D1D" w14:paraId="7EE0C425" w14:textId="77777777" w:rsidTr="00F8502E">
        <w:trPr>
          <w:tblHeader/>
        </w:trPr>
        <w:tc>
          <w:tcPr>
            <w:tcW w:w="2180" w:type="dxa"/>
            <w:tcBorders>
              <w:top w:val="single" w:sz="18" w:space="0" w:color="000000"/>
              <w:left w:val="single" w:sz="18" w:space="0" w:color="000000"/>
              <w:bottom w:val="single" w:sz="18" w:space="0" w:color="000000"/>
              <w:right w:val="single" w:sz="18" w:space="0" w:color="000000"/>
            </w:tcBorders>
            <w:shd w:val="clear" w:color="auto" w:fill="F7CAAC" w:themeFill="accent2" w:themeFillTint="66"/>
          </w:tcPr>
          <w:p w14:paraId="5CDDEB38" w14:textId="77777777" w:rsidR="00187BD5" w:rsidRPr="00E82D1D" w:rsidRDefault="00187BD5" w:rsidP="00F8502E">
            <w:pPr>
              <w:jc w:val="center"/>
              <w:rPr>
                <w:rFonts w:asciiTheme="minorHAnsi" w:hAnsiTheme="minorHAnsi" w:cstheme="minorHAnsi"/>
                <w:b/>
                <w:sz w:val="21"/>
                <w:szCs w:val="21"/>
              </w:rPr>
            </w:pPr>
            <w:r w:rsidRPr="00E82D1D">
              <w:rPr>
                <w:rFonts w:asciiTheme="minorHAnsi" w:hAnsiTheme="minorHAnsi" w:cstheme="minorHAnsi"/>
                <w:b/>
                <w:sz w:val="21"/>
                <w:szCs w:val="21"/>
              </w:rPr>
              <w:t>Purpose / Recommendation #</w:t>
            </w:r>
          </w:p>
        </w:tc>
        <w:tc>
          <w:tcPr>
            <w:tcW w:w="7421" w:type="dxa"/>
            <w:tcBorders>
              <w:top w:val="single" w:sz="18" w:space="0" w:color="000000"/>
              <w:left w:val="single" w:sz="18" w:space="0" w:color="000000"/>
              <w:bottom w:val="single" w:sz="18" w:space="0" w:color="000000"/>
              <w:right w:val="single" w:sz="18" w:space="0" w:color="000000"/>
            </w:tcBorders>
            <w:shd w:val="clear" w:color="auto" w:fill="F7CAAC" w:themeFill="accent2" w:themeFillTint="66"/>
          </w:tcPr>
          <w:p w14:paraId="4895A0DB" w14:textId="77777777" w:rsidR="00187BD5" w:rsidRPr="00E82D1D" w:rsidRDefault="00187BD5" w:rsidP="00F8502E">
            <w:pPr>
              <w:jc w:val="center"/>
              <w:rPr>
                <w:rFonts w:asciiTheme="minorHAnsi" w:hAnsiTheme="minorHAnsi" w:cstheme="minorHAnsi"/>
                <w:b/>
                <w:sz w:val="21"/>
                <w:szCs w:val="21"/>
              </w:rPr>
            </w:pPr>
            <w:r>
              <w:rPr>
                <w:rFonts w:asciiTheme="minorHAnsi" w:hAnsiTheme="minorHAnsi" w:cstheme="minorHAnsi"/>
                <w:b/>
                <w:sz w:val="21"/>
                <w:szCs w:val="21"/>
              </w:rPr>
              <w:t>Final Language</w:t>
            </w:r>
            <w:r w:rsidRPr="00E82D1D">
              <w:rPr>
                <w:rFonts w:asciiTheme="minorHAnsi" w:hAnsiTheme="minorHAnsi" w:cstheme="minorHAnsi"/>
                <w:b/>
                <w:sz w:val="21"/>
                <w:szCs w:val="21"/>
              </w:rPr>
              <w:t xml:space="preserve"> </w:t>
            </w:r>
          </w:p>
        </w:tc>
        <w:tc>
          <w:tcPr>
            <w:tcW w:w="1518" w:type="dxa"/>
            <w:tcBorders>
              <w:top w:val="single" w:sz="18" w:space="0" w:color="000000"/>
              <w:left w:val="single" w:sz="18" w:space="0" w:color="000000"/>
              <w:bottom w:val="single" w:sz="18" w:space="0" w:color="000000"/>
              <w:right w:val="single" w:sz="18" w:space="0" w:color="000000"/>
            </w:tcBorders>
            <w:shd w:val="clear" w:color="auto" w:fill="F7CAAC" w:themeFill="accent2" w:themeFillTint="66"/>
          </w:tcPr>
          <w:p w14:paraId="2F48BF69" w14:textId="77777777" w:rsidR="00187BD5" w:rsidRDefault="00187BD5" w:rsidP="00F8502E">
            <w:pPr>
              <w:jc w:val="center"/>
              <w:rPr>
                <w:rFonts w:asciiTheme="minorHAnsi" w:hAnsiTheme="minorHAnsi" w:cstheme="minorHAnsi"/>
                <w:b/>
                <w:sz w:val="21"/>
                <w:szCs w:val="21"/>
              </w:rPr>
            </w:pPr>
            <w:r>
              <w:rPr>
                <w:rFonts w:asciiTheme="minorHAnsi" w:hAnsiTheme="minorHAnsi" w:cstheme="minorHAnsi"/>
                <w:b/>
                <w:sz w:val="21"/>
                <w:szCs w:val="21"/>
              </w:rPr>
              <w:t>Chair Proposed</w:t>
            </w:r>
          </w:p>
          <w:p w14:paraId="14E3EE6C" w14:textId="77777777" w:rsidR="00187BD5" w:rsidRPr="00E82D1D" w:rsidRDefault="00187BD5" w:rsidP="00F8502E">
            <w:pPr>
              <w:jc w:val="center"/>
              <w:rPr>
                <w:rFonts w:asciiTheme="minorHAnsi" w:hAnsiTheme="minorHAnsi" w:cstheme="minorHAnsi"/>
                <w:b/>
                <w:sz w:val="21"/>
                <w:szCs w:val="21"/>
              </w:rPr>
            </w:pPr>
            <w:r>
              <w:rPr>
                <w:rFonts w:asciiTheme="minorHAnsi" w:hAnsiTheme="minorHAnsi" w:cstheme="minorHAnsi"/>
                <w:b/>
                <w:sz w:val="21"/>
                <w:szCs w:val="21"/>
              </w:rPr>
              <w:t>Designation</w:t>
            </w:r>
          </w:p>
        </w:tc>
        <w:tc>
          <w:tcPr>
            <w:tcW w:w="2000" w:type="dxa"/>
            <w:tcBorders>
              <w:top w:val="single" w:sz="18" w:space="0" w:color="000000"/>
              <w:left w:val="single" w:sz="18" w:space="0" w:color="000000"/>
              <w:bottom w:val="single" w:sz="18" w:space="0" w:color="000000"/>
              <w:right w:val="single" w:sz="18" w:space="0" w:color="000000"/>
            </w:tcBorders>
            <w:shd w:val="clear" w:color="auto" w:fill="F7CAAC" w:themeFill="accent2" w:themeFillTint="66"/>
          </w:tcPr>
          <w:p w14:paraId="073E5F75" w14:textId="77777777" w:rsidR="00187BD5" w:rsidRPr="00E82D1D" w:rsidRDefault="00187BD5" w:rsidP="00F8502E">
            <w:pPr>
              <w:jc w:val="center"/>
              <w:rPr>
                <w:rFonts w:asciiTheme="minorHAnsi" w:hAnsiTheme="minorHAnsi" w:cstheme="minorHAnsi"/>
                <w:b/>
                <w:sz w:val="21"/>
                <w:szCs w:val="21"/>
              </w:rPr>
            </w:pPr>
            <w:r w:rsidRPr="00E82D1D">
              <w:rPr>
                <w:rFonts w:asciiTheme="minorHAnsi" w:hAnsiTheme="minorHAnsi" w:cstheme="minorHAnsi"/>
                <w:b/>
                <w:sz w:val="21"/>
                <w:szCs w:val="21"/>
              </w:rPr>
              <w:t>Notes</w:t>
            </w:r>
          </w:p>
        </w:tc>
      </w:tr>
      <w:tr w:rsidR="00187BD5" w:rsidRPr="00E82D1D" w14:paraId="70292FF0" w14:textId="77777777" w:rsidTr="00F8502E">
        <w:tc>
          <w:tcPr>
            <w:tcW w:w="2180" w:type="dxa"/>
          </w:tcPr>
          <w:p w14:paraId="0FD1CBEF" w14:textId="77777777" w:rsidR="00187BD5" w:rsidRPr="00E82D1D" w:rsidRDefault="00187BD5" w:rsidP="00F8502E">
            <w:pPr>
              <w:spacing w:before="60"/>
              <w:rPr>
                <w:rFonts w:asciiTheme="minorHAnsi" w:hAnsiTheme="minorHAnsi" w:cstheme="minorHAnsi"/>
                <w:color w:val="000000" w:themeColor="text1"/>
                <w:sz w:val="21"/>
                <w:szCs w:val="21"/>
              </w:rPr>
            </w:pPr>
            <w:r w:rsidRPr="00E82D1D">
              <w:rPr>
                <w:rFonts w:asciiTheme="minorHAnsi" w:hAnsiTheme="minorHAnsi" w:cstheme="minorHAnsi"/>
                <w:color w:val="000000" w:themeColor="text1"/>
                <w:sz w:val="21"/>
                <w:szCs w:val="21"/>
              </w:rPr>
              <w:t xml:space="preserve">Recommendation </w:t>
            </w:r>
            <w:r>
              <w:rPr>
                <w:rFonts w:asciiTheme="minorHAnsi" w:hAnsiTheme="minorHAnsi" w:cstheme="minorHAnsi"/>
                <w:color w:val="000000" w:themeColor="text1"/>
                <w:sz w:val="21"/>
                <w:szCs w:val="21"/>
              </w:rPr>
              <w:t>#2</w:t>
            </w:r>
            <w:r w:rsidRPr="00E82D1D">
              <w:rPr>
                <w:rFonts w:asciiTheme="minorHAnsi" w:hAnsiTheme="minorHAnsi" w:cstheme="minorHAnsi"/>
                <w:color w:val="000000" w:themeColor="text1"/>
                <w:sz w:val="21"/>
                <w:szCs w:val="21"/>
              </w:rPr>
              <w:t xml:space="preserve"> –</w:t>
            </w:r>
            <w:r>
              <w:rPr>
                <w:rFonts w:asciiTheme="minorHAnsi" w:hAnsiTheme="minorHAnsi" w:cstheme="minorHAnsi"/>
                <w:color w:val="000000" w:themeColor="text1"/>
                <w:sz w:val="21"/>
                <w:szCs w:val="21"/>
              </w:rPr>
              <w:t>Additional Purposes</w:t>
            </w:r>
            <w:r w:rsidRPr="00E82D1D">
              <w:rPr>
                <w:rFonts w:asciiTheme="minorHAnsi" w:hAnsiTheme="minorHAnsi" w:cstheme="minorHAnsi"/>
                <w:color w:val="000000" w:themeColor="text1"/>
                <w:sz w:val="21"/>
                <w:szCs w:val="21"/>
              </w:rPr>
              <w:t xml:space="preserve"> </w:t>
            </w:r>
          </w:p>
        </w:tc>
        <w:tc>
          <w:tcPr>
            <w:tcW w:w="7421" w:type="dxa"/>
          </w:tcPr>
          <w:p w14:paraId="7E89597A" w14:textId="77777777" w:rsidR="00187BD5" w:rsidRPr="00680E1A" w:rsidRDefault="00187BD5" w:rsidP="00F8502E">
            <w:pPr>
              <w:pStyle w:val="Default0"/>
              <w:rPr>
                <w:rFonts w:asciiTheme="minorHAnsi" w:hAnsiTheme="minorHAnsi" w:cstheme="minorHAnsi"/>
                <w:color w:val="000000" w:themeColor="text1"/>
                <w:sz w:val="21"/>
                <w:szCs w:val="21"/>
              </w:rPr>
            </w:pPr>
            <w:r w:rsidRPr="00680E1A">
              <w:rPr>
                <w:rFonts w:asciiTheme="minorHAnsi" w:hAnsiTheme="minorHAnsi" w:cstheme="minorHAnsi"/>
                <w:sz w:val="21"/>
                <w:szCs w:val="21"/>
              </w:rPr>
              <w:t xml:space="preserve">The EPDP Team commits to considering in Phase 2 of its work whether additional purposes should be considered to facilitate ICANN’s Office of the Chief Technology Officer (OCTO) to carry out its mission (see </w:t>
            </w:r>
            <w:hyperlink r:id="rId16" w:history="1">
              <w:r w:rsidRPr="00680E1A">
                <w:rPr>
                  <w:rStyle w:val="Hyperlink"/>
                  <w:rFonts w:asciiTheme="minorHAnsi" w:hAnsiTheme="minorHAnsi" w:cstheme="minorHAnsi"/>
                  <w:sz w:val="21"/>
                  <w:szCs w:val="21"/>
                </w:rPr>
                <w:t>https://www.icann.org/octo</w:t>
              </w:r>
            </w:hyperlink>
            <w:r w:rsidRPr="00680E1A">
              <w:rPr>
                <w:rFonts w:asciiTheme="minorHAnsi" w:hAnsiTheme="minorHAnsi" w:cstheme="minorHAnsi"/>
                <w:sz w:val="21"/>
                <w:szCs w:val="21"/>
              </w:rPr>
              <w:t xml:space="preserve">). This consideration should be informed by legal guidance on if/how provisions in the GDPR concerning research apply to ICANN Org </w:t>
            </w:r>
            <w:r w:rsidRPr="00680E1A">
              <w:rPr>
                <w:rFonts w:asciiTheme="minorHAnsi" w:hAnsiTheme="minorHAnsi" w:cstheme="minorHAnsi"/>
                <w:color w:val="000000" w:themeColor="text1"/>
                <w:sz w:val="21"/>
                <w:szCs w:val="21"/>
              </w:rPr>
              <w:t xml:space="preserve">and the expression for the need of such </w:t>
            </w:r>
            <w:proofErr w:type="spellStart"/>
            <w:r w:rsidRPr="00680E1A">
              <w:rPr>
                <w:rFonts w:asciiTheme="minorHAnsi" w:hAnsiTheme="minorHAnsi" w:cstheme="minorHAnsi"/>
                <w:color w:val="000000" w:themeColor="text1"/>
                <w:sz w:val="21"/>
                <w:szCs w:val="21"/>
              </w:rPr>
              <w:t>pseudonymized</w:t>
            </w:r>
            <w:proofErr w:type="spellEnd"/>
            <w:r w:rsidRPr="00680E1A">
              <w:rPr>
                <w:rFonts w:asciiTheme="minorHAnsi" w:hAnsiTheme="minorHAnsi" w:cstheme="minorHAnsi"/>
                <w:color w:val="000000" w:themeColor="text1"/>
                <w:sz w:val="21"/>
                <w:szCs w:val="21"/>
              </w:rPr>
              <w:t xml:space="preserve"> data by ICANN. </w:t>
            </w:r>
          </w:p>
        </w:tc>
        <w:tc>
          <w:tcPr>
            <w:tcW w:w="1518" w:type="dxa"/>
          </w:tcPr>
          <w:p w14:paraId="763A8C5C" w14:textId="77777777" w:rsidR="00187BD5" w:rsidRPr="00E82D1D" w:rsidRDefault="00187BD5" w:rsidP="00F8502E">
            <w:pPr>
              <w:jc w:val="center"/>
              <w:rPr>
                <w:rFonts w:asciiTheme="minorHAnsi" w:hAnsiTheme="minorHAnsi" w:cstheme="minorHAnsi"/>
                <w:b/>
                <w:sz w:val="21"/>
                <w:szCs w:val="21"/>
              </w:rPr>
            </w:pPr>
          </w:p>
        </w:tc>
        <w:tc>
          <w:tcPr>
            <w:tcW w:w="2000" w:type="dxa"/>
          </w:tcPr>
          <w:p w14:paraId="3F27AD1E" w14:textId="77777777" w:rsidR="00187BD5" w:rsidRPr="00E82D1D" w:rsidRDefault="00187BD5" w:rsidP="00F8502E">
            <w:pPr>
              <w:rPr>
                <w:rFonts w:asciiTheme="minorHAnsi" w:hAnsiTheme="minorHAnsi" w:cstheme="minorHAnsi"/>
                <w:sz w:val="21"/>
                <w:szCs w:val="21"/>
              </w:rPr>
            </w:pPr>
            <w:r>
              <w:rPr>
                <w:rFonts w:asciiTheme="minorHAnsi" w:hAnsiTheme="minorHAnsi" w:cstheme="minorHAnsi"/>
                <w:sz w:val="21"/>
                <w:szCs w:val="21"/>
              </w:rPr>
              <w:t xml:space="preserve">Projected: Strong Support. I am checking with a few groups. </w:t>
            </w:r>
          </w:p>
        </w:tc>
      </w:tr>
      <w:tr w:rsidR="00187BD5" w:rsidRPr="00E82D1D" w14:paraId="51D87E0E" w14:textId="77777777" w:rsidTr="00F8502E">
        <w:trPr>
          <w:trHeight w:val="665"/>
        </w:trPr>
        <w:tc>
          <w:tcPr>
            <w:tcW w:w="2180" w:type="dxa"/>
          </w:tcPr>
          <w:p w14:paraId="7720F46F" w14:textId="77777777" w:rsidR="00187BD5" w:rsidRPr="00E82D1D" w:rsidRDefault="00187BD5" w:rsidP="00F8502E">
            <w:pPr>
              <w:spacing w:before="6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Recommendation #11 City Field</w:t>
            </w:r>
          </w:p>
        </w:tc>
        <w:tc>
          <w:tcPr>
            <w:tcW w:w="7421" w:type="dxa"/>
          </w:tcPr>
          <w:p w14:paraId="464E360B" w14:textId="77777777" w:rsidR="00187BD5" w:rsidRPr="00550627" w:rsidRDefault="00187BD5" w:rsidP="00F8502E">
            <w:pPr>
              <w:pBdr>
                <w:top w:val="single" w:sz="4" w:space="1" w:color="auto"/>
                <w:left w:val="single" w:sz="4" w:space="4" w:color="auto"/>
                <w:right w:val="single" w:sz="4" w:space="4" w:color="auto"/>
              </w:pBdr>
              <w:rPr>
                <w:rFonts w:asciiTheme="minorHAnsi" w:hAnsiTheme="minorHAnsi" w:cstheme="minorHAnsi"/>
                <w:sz w:val="21"/>
                <w:szCs w:val="21"/>
              </w:rPr>
            </w:pPr>
            <w:r w:rsidRPr="00550627">
              <w:rPr>
                <w:rFonts w:asciiTheme="minorHAnsi" w:hAnsiTheme="minorHAnsi" w:cstheme="minorHAnsi"/>
                <w:sz w:val="21"/>
                <w:szCs w:val="21"/>
              </w:rPr>
              <w:t xml:space="preserve">The EPDP Team recommends that redaction must be applied as follows to this data element: </w:t>
            </w:r>
          </w:p>
          <w:tbl>
            <w:tblPr>
              <w:tblW w:w="7195" w:type="dxa"/>
              <w:jc w:val="center"/>
              <w:shd w:val="clear" w:color="auto" w:fill="E7E6E6" w:themeFill="background2"/>
              <w:tblLook w:val="04A0" w:firstRow="1" w:lastRow="0" w:firstColumn="1" w:lastColumn="0" w:noHBand="0" w:noVBand="1"/>
            </w:tblPr>
            <w:tblGrid>
              <w:gridCol w:w="3325"/>
              <w:gridCol w:w="3870"/>
            </w:tblGrid>
            <w:tr w:rsidR="00187BD5" w:rsidRPr="00550627" w14:paraId="6AC49184" w14:textId="77777777" w:rsidTr="00F8502E">
              <w:trPr>
                <w:trHeight w:val="332"/>
                <w:tblHeader/>
                <w:jc w:val="center"/>
              </w:trPr>
              <w:tc>
                <w:tcPr>
                  <w:tcW w:w="3325" w:type="dxa"/>
                  <w:tcBorders>
                    <w:top w:val="single" w:sz="4" w:space="0" w:color="auto"/>
                    <w:left w:val="single" w:sz="4" w:space="0" w:color="auto"/>
                    <w:bottom w:val="single" w:sz="4" w:space="0" w:color="auto"/>
                    <w:right w:val="single" w:sz="4" w:space="0" w:color="auto"/>
                  </w:tcBorders>
                  <w:shd w:val="clear" w:color="auto" w:fill="1768B1"/>
                </w:tcPr>
                <w:p w14:paraId="417C173E" w14:textId="77777777" w:rsidR="00187BD5" w:rsidRPr="00550627" w:rsidRDefault="00187BD5" w:rsidP="00F8502E">
                  <w:pPr>
                    <w:pBdr>
                      <w:top w:val="single" w:sz="4" w:space="1" w:color="auto"/>
                      <w:left w:val="single" w:sz="4" w:space="4" w:color="auto"/>
                      <w:bottom w:val="single" w:sz="4" w:space="1" w:color="auto"/>
                      <w:right w:val="single" w:sz="4" w:space="4" w:color="auto"/>
                    </w:pBdr>
                    <w:jc w:val="center"/>
                    <w:rPr>
                      <w:rFonts w:asciiTheme="minorHAnsi" w:hAnsiTheme="minorHAnsi" w:cstheme="minorHAnsi"/>
                      <w:b/>
                      <w:color w:val="FFFFFF" w:themeColor="background1"/>
                      <w:sz w:val="21"/>
                      <w:szCs w:val="21"/>
                    </w:rPr>
                  </w:pPr>
                  <w:r w:rsidRPr="00550627">
                    <w:rPr>
                      <w:rFonts w:asciiTheme="minorHAnsi" w:hAnsiTheme="minorHAnsi" w:cstheme="minorHAnsi"/>
                      <w:b/>
                      <w:color w:val="FFFFFF" w:themeColor="background1"/>
                      <w:sz w:val="21"/>
                      <w:szCs w:val="21"/>
                    </w:rPr>
                    <w:t>Data Element</w:t>
                  </w:r>
                </w:p>
              </w:tc>
              <w:tc>
                <w:tcPr>
                  <w:tcW w:w="3870" w:type="dxa"/>
                  <w:tcBorders>
                    <w:top w:val="single" w:sz="4" w:space="0" w:color="auto"/>
                    <w:left w:val="nil"/>
                    <w:bottom w:val="single" w:sz="4" w:space="0" w:color="auto"/>
                    <w:right w:val="single" w:sz="4" w:space="0" w:color="auto"/>
                  </w:tcBorders>
                  <w:shd w:val="clear" w:color="auto" w:fill="1768B1"/>
                </w:tcPr>
                <w:p w14:paraId="509477CB" w14:textId="77777777" w:rsidR="00187BD5" w:rsidRPr="00550627" w:rsidRDefault="00187BD5" w:rsidP="00F8502E">
                  <w:pPr>
                    <w:pBdr>
                      <w:top w:val="single" w:sz="4" w:space="1" w:color="auto"/>
                      <w:left w:val="single" w:sz="4" w:space="4" w:color="auto"/>
                      <w:bottom w:val="single" w:sz="4" w:space="1" w:color="auto"/>
                      <w:right w:val="single" w:sz="4" w:space="4" w:color="auto"/>
                    </w:pBdr>
                    <w:jc w:val="center"/>
                    <w:rPr>
                      <w:rFonts w:asciiTheme="minorHAnsi" w:hAnsiTheme="minorHAnsi" w:cstheme="minorHAnsi"/>
                      <w:b/>
                      <w:color w:val="FFFFFF" w:themeColor="background1"/>
                      <w:sz w:val="21"/>
                      <w:szCs w:val="21"/>
                    </w:rPr>
                  </w:pPr>
                  <w:r w:rsidRPr="00550627">
                    <w:rPr>
                      <w:rFonts w:asciiTheme="minorHAnsi" w:hAnsiTheme="minorHAnsi" w:cstheme="minorHAnsi"/>
                      <w:b/>
                      <w:color w:val="FFFFFF" w:themeColor="background1"/>
                      <w:sz w:val="21"/>
                      <w:szCs w:val="21"/>
                    </w:rPr>
                    <w:t>Redacted</w:t>
                  </w:r>
                </w:p>
              </w:tc>
            </w:tr>
            <w:tr w:rsidR="00187BD5" w:rsidRPr="00550627" w14:paraId="5D79BC5B" w14:textId="77777777" w:rsidTr="00F8502E">
              <w:trPr>
                <w:trHeight w:val="300"/>
                <w:jc w:val="center"/>
              </w:trPr>
              <w:tc>
                <w:tcPr>
                  <w:tcW w:w="3325" w:type="dxa"/>
                  <w:tcBorders>
                    <w:top w:val="nil"/>
                    <w:left w:val="single" w:sz="4" w:space="0" w:color="auto"/>
                    <w:bottom w:val="single" w:sz="4" w:space="0" w:color="auto"/>
                    <w:right w:val="single" w:sz="4" w:space="0" w:color="auto"/>
                  </w:tcBorders>
                  <w:shd w:val="clear" w:color="auto" w:fill="E7E6E6" w:themeFill="background2"/>
                  <w:hideMark/>
                </w:tcPr>
                <w:p w14:paraId="120F6EF1" w14:textId="77777777" w:rsidR="00187BD5" w:rsidRPr="00550627" w:rsidRDefault="00187BD5" w:rsidP="00F8502E">
                  <w:pPr>
                    <w:pBdr>
                      <w:top w:val="single" w:sz="4" w:space="1" w:color="auto"/>
                      <w:left w:val="single" w:sz="4" w:space="4" w:color="auto"/>
                      <w:bottom w:val="single" w:sz="4" w:space="1" w:color="auto"/>
                      <w:right w:val="single" w:sz="4" w:space="4" w:color="auto"/>
                    </w:pBdr>
                    <w:rPr>
                      <w:rFonts w:asciiTheme="minorHAnsi" w:hAnsiTheme="minorHAnsi" w:cstheme="minorHAnsi"/>
                      <w:color w:val="000000"/>
                      <w:sz w:val="21"/>
                      <w:szCs w:val="21"/>
                    </w:rPr>
                  </w:pPr>
                  <w:r w:rsidRPr="00550627">
                    <w:rPr>
                      <w:rFonts w:asciiTheme="minorHAnsi" w:hAnsiTheme="minorHAnsi" w:cstheme="minorHAnsi"/>
                      <w:color w:val="000000"/>
                      <w:sz w:val="21"/>
                      <w:szCs w:val="21"/>
                    </w:rPr>
                    <w:t>Registrant Field</w:t>
                  </w:r>
                </w:p>
              </w:tc>
              <w:tc>
                <w:tcPr>
                  <w:tcW w:w="3870" w:type="dxa"/>
                  <w:tcBorders>
                    <w:top w:val="nil"/>
                    <w:left w:val="single" w:sz="4" w:space="0" w:color="auto"/>
                    <w:bottom w:val="single" w:sz="4" w:space="0" w:color="auto"/>
                    <w:right w:val="single" w:sz="4" w:space="0" w:color="auto"/>
                  </w:tcBorders>
                  <w:shd w:val="clear" w:color="auto" w:fill="E7E6E6" w:themeFill="background2"/>
                </w:tcPr>
                <w:p w14:paraId="751FBBEF" w14:textId="77777777" w:rsidR="00187BD5" w:rsidRPr="00550627" w:rsidRDefault="00187BD5" w:rsidP="00F8502E">
                  <w:pPr>
                    <w:pBdr>
                      <w:top w:val="single" w:sz="4" w:space="1" w:color="auto"/>
                      <w:left w:val="single" w:sz="4" w:space="4" w:color="auto"/>
                      <w:bottom w:val="single" w:sz="4" w:space="1" w:color="auto"/>
                      <w:right w:val="single" w:sz="4" w:space="4" w:color="auto"/>
                    </w:pBdr>
                    <w:rPr>
                      <w:rFonts w:asciiTheme="minorHAnsi" w:hAnsiTheme="minorHAnsi" w:cstheme="minorHAnsi"/>
                      <w:color w:val="000000"/>
                      <w:sz w:val="21"/>
                      <w:szCs w:val="21"/>
                    </w:rPr>
                  </w:pPr>
                </w:p>
              </w:tc>
            </w:tr>
            <w:tr w:rsidR="00187BD5" w:rsidRPr="00550627" w14:paraId="1C49ED96" w14:textId="77777777" w:rsidTr="00F8502E">
              <w:trPr>
                <w:trHeight w:val="341"/>
                <w:jc w:val="center"/>
              </w:trPr>
              <w:tc>
                <w:tcPr>
                  <w:tcW w:w="3325" w:type="dxa"/>
                  <w:tcBorders>
                    <w:top w:val="nil"/>
                    <w:left w:val="single" w:sz="4" w:space="0" w:color="auto"/>
                    <w:bottom w:val="single" w:sz="4" w:space="0" w:color="auto"/>
                    <w:right w:val="single" w:sz="4" w:space="0" w:color="auto"/>
                  </w:tcBorders>
                  <w:shd w:val="clear" w:color="auto" w:fill="E7E6E6" w:themeFill="background2"/>
                  <w:hideMark/>
                </w:tcPr>
                <w:p w14:paraId="223BC4B4" w14:textId="77777777" w:rsidR="00187BD5" w:rsidRPr="00550627" w:rsidRDefault="00187BD5" w:rsidP="00F8502E">
                  <w:pPr>
                    <w:pStyle w:val="ListParagraph"/>
                    <w:numPr>
                      <w:ilvl w:val="0"/>
                      <w:numId w:val="34"/>
                    </w:numPr>
                    <w:pBdr>
                      <w:top w:val="single" w:sz="4" w:space="1" w:color="auto"/>
                      <w:left w:val="single" w:sz="4" w:space="4" w:color="auto"/>
                      <w:bottom w:val="single" w:sz="4" w:space="1" w:color="auto"/>
                      <w:right w:val="single" w:sz="4" w:space="4" w:color="auto"/>
                    </w:pBdr>
                    <w:spacing w:before="0" w:beforeAutospacing="0" w:after="0" w:afterAutospacing="0"/>
                    <w:contextualSpacing/>
                    <w:rPr>
                      <w:rFonts w:asciiTheme="minorHAnsi" w:hAnsiTheme="minorHAnsi" w:cstheme="minorHAnsi"/>
                      <w:color w:val="000000"/>
                      <w:sz w:val="21"/>
                      <w:szCs w:val="21"/>
                    </w:rPr>
                  </w:pPr>
                  <w:r w:rsidRPr="00550627">
                    <w:rPr>
                      <w:rFonts w:asciiTheme="minorHAnsi" w:hAnsiTheme="minorHAnsi" w:cstheme="minorHAnsi"/>
                      <w:color w:val="000000"/>
                      <w:sz w:val="21"/>
                      <w:szCs w:val="21"/>
                    </w:rPr>
                    <w:t>City</w:t>
                  </w:r>
                </w:p>
              </w:tc>
              <w:tc>
                <w:tcPr>
                  <w:tcW w:w="3870" w:type="dxa"/>
                  <w:tcBorders>
                    <w:top w:val="nil"/>
                    <w:left w:val="nil"/>
                    <w:bottom w:val="single" w:sz="4" w:space="0" w:color="auto"/>
                    <w:right w:val="single" w:sz="4" w:space="0" w:color="auto"/>
                  </w:tcBorders>
                  <w:shd w:val="clear" w:color="auto" w:fill="FFFFFF" w:themeFill="background1"/>
                </w:tcPr>
                <w:p w14:paraId="69F5F877" w14:textId="77777777" w:rsidR="00187BD5" w:rsidRPr="00550627" w:rsidRDefault="00187BD5" w:rsidP="00F8502E">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000000" w:themeColor="text1"/>
                      <w:sz w:val="21"/>
                      <w:szCs w:val="21"/>
                    </w:rPr>
                  </w:pPr>
                  <w:r w:rsidRPr="00550627">
                    <w:rPr>
                      <w:rFonts w:asciiTheme="minorHAnsi" w:hAnsiTheme="minorHAnsi" w:cstheme="minorHAnsi"/>
                      <w:color w:val="000000" w:themeColor="text1"/>
                      <w:sz w:val="21"/>
                      <w:szCs w:val="21"/>
                    </w:rPr>
                    <w:t>Yes</w:t>
                  </w:r>
                  <w:r>
                    <w:t>*</w:t>
                  </w:r>
                </w:p>
              </w:tc>
            </w:tr>
          </w:tbl>
          <w:p w14:paraId="5B2C4CBC" w14:textId="77777777" w:rsidR="00187BD5" w:rsidRPr="00767106" w:rsidRDefault="00187BD5" w:rsidP="00F8502E">
            <w:pPr>
              <w:rPr>
                <w:rFonts w:asciiTheme="minorHAnsi" w:hAnsiTheme="minorHAnsi" w:cstheme="minorHAnsi"/>
                <w:b/>
                <w:sz w:val="21"/>
                <w:szCs w:val="21"/>
              </w:rPr>
            </w:pPr>
            <w:r w:rsidRPr="00767106">
              <w:rPr>
                <w:rFonts w:asciiTheme="majorHAnsi" w:hAnsiTheme="majorHAnsi" w:cstheme="majorHAnsi"/>
                <w:color w:val="000000" w:themeColor="text1"/>
                <w:sz w:val="21"/>
                <w:szCs w:val="21"/>
              </w:rPr>
              <w:t>*The IPC, GAC and BC indicated that they do not support this recommendation for redacting the city field.</w:t>
            </w:r>
          </w:p>
        </w:tc>
        <w:tc>
          <w:tcPr>
            <w:tcW w:w="1518" w:type="dxa"/>
          </w:tcPr>
          <w:p w14:paraId="4D88BFCF" w14:textId="77777777" w:rsidR="00187BD5" w:rsidRPr="00E82D1D" w:rsidRDefault="00187BD5" w:rsidP="00F8502E">
            <w:pPr>
              <w:jc w:val="center"/>
              <w:rPr>
                <w:rFonts w:asciiTheme="minorHAnsi" w:hAnsiTheme="minorHAnsi" w:cstheme="minorHAnsi"/>
                <w:b/>
                <w:sz w:val="21"/>
                <w:szCs w:val="21"/>
              </w:rPr>
            </w:pPr>
          </w:p>
        </w:tc>
        <w:tc>
          <w:tcPr>
            <w:tcW w:w="2000" w:type="dxa"/>
          </w:tcPr>
          <w:p w14:paraId="1233372D" w14:textId="77777777" w:rsidR="00187BD5" w:rsidRPr="00E82D1D" w:rsidRDefault="00187BD5" w:rsidP="00F8502E">
            <w:pPr>
              <w:rPr>
                <w:rFonts w:asciiTheme="minorHAnsi" w:hAnsiTheme="minorHAnsi" w:cstheme="minorHAnsi"/>
                <w:sz w:val="21"/>
                <w:szCs w:val="21"/>
              </w:rPr>
            </w:pPr>
            <w:r>
              <w:rPr>
                <w:rFonts w:asciiTheme="minorHAnsi" w:hAnsiTheme="minorHAnsi" w:cstheme="minorHAnsi"/>
                <w:sz w:val="21"/>
                <w:szCs w:val="21"/>
              </w:rPr>
              <w:t xml:space="preserve">Waiting for legal advice before a final discussion. </w:t>
            </w:r>
          </w:p>
        </w:tc>
      </w:tr>
      <w:tr w:rsidR="00187BD5" w:rsidRPr="00E82D1D" w14:paraId="428F2DC5" w14:textId="77777777" w:rsidTr="00F8502E">
        <w:tc>
          <w:tcPr>
            <w:tcW w:w="2180" w:type="dxa"/>
          </w:tcPr>
          <w:p w14:paraId="7968CE93" w14:textId="77777777" w:rsidR="00187BD5" w:rsidRPr="00E82D1D" w:rsidRDefault="00187BD5" w:rsidP="00F8502E">
            <w:pPr>
              <w:spacing w:before="60"/>
              <w:rPr>
                <w:rFonts w:asciiTheme="minorHAnsi" w:hAnsiTheme="minorHAnsi" w:cstheme="minorHAnsi"/>
                <w:color w:val="000000" w:themeColor="text1"/>
                <w:sz w:val="21"/>
                <w:szCs w:val="21"/>
              </w:rPr>
            </w:pPr>
            <w:r w:rsidRPr="00E82D1D">
              <w:rPr>
                <w:rFonts w:asciiTheme="minorHAnsi" w:hAnsiTheme="minorHAnsi" w:cstheme="minorHAnsi"/>
                <w:color w:val="000000" w:themeColor="text1"/>
                <w:sz w:val="21"/>
                <w:szCs w:val="21"/>
              </w:rPr>
              <w:lastRenderedPageBreak/>
              <w:t>Recommendation #1</w:t>
            </w:r>
            <w:r>
              <w:rPr>
                <w:rFonts w:asciiTheme="minorHAnsi" w:hAnsiTheme="minorHAnsi" w:cstheme="minorHAnsi"/>
                <w:color w:val="000000" w:themeColor="text1"/>
                <w:sz w:val="21"/>
                <w:szCs w:val="21"/>
              </w:rPr>
              <w:t>5 (new #11)</w:t>
            </w:r>
            <w:r w:rsidRPr="00E82D1D">
              <w:rPr>
                <w:rFonts w:asciiTheme="minorHAnsi" w:hAnsiTheme="minorHAnsi" w:cstheme="minorHAnsi"/>
                <w:color w:val="000000" w:themeColor="text1"/>
                <w:sz w:val="21"/>
                <w:szCs w:val="21"/>
              </w:rPr>
              <w:t xml:space="preserve"> - Data retention</w:t>
            </w:r>
          </w:p>
        </w:tc>
        <w:tc>
          <w:tcPr>
            <w:tcW w:w="7421" w:type="dxa"/>
            <w:tcBorders>
              <w:bottom w:val="single" w:sz="4" w:space="0" w:color="auto"/>
            </w:tcBorders>
          </w:tcPr>
          <w:p w14:paraId="44C9E865" w14:textId="77777777" w:rsidR="00187BD5" w:rsidRPr="00550627" w:rsidRDefault="00187BD5" w:rsidP="00F8502E">
            <w:pPr>
              <w:pStyle w:val="ListParagraph"/>
              <w:numPr>
                <w:ilvl w:val="0"/>
                <w:numId w:val="44"/>
              </w:numPr>
              <w:spacing w:before="0" w:beforeAutospacing="0" w:after="0" w:afterAutospacing="0"/>
              <w:contextualSpacing/>
              <w:rPr>
                <w:rFonts w:asciiTheme="minorHAnsi" w:hAnsiTheme="minorHAnsi" w:cstheme="minorHAnsi"/>
                <w:color w:val="000000"/>
                <w:sz w:val="21"/>
                <w:szCs w:val="21"/>
                <w:shd w:val="clear" w:color="auto" w:fill="FFFFFF"/>
              </w:rPr>
            </w:pPr>
            <w:r w:rsidRPr="00550627">
              <w:rPr>
                <w:rFonts w:asciiTheme="minorHAnsi" w:hAnsiTheme="minorHAnsi" w:cstheme="minorHAnsi"/>
                <w:color w:val="000000"/>
                <w:sz w:val="21"/>
                <w:szCs w:val="21"/>
                <w:shd w:val="clear" w:color="auto" w:fill="FFFFFF"/>
              </w:rPr>
              <w:t>In order to inform its Phase 2 deliberations, the EPDP team recommends that ICANN Org, </w:t>
            </w:r>
            <w:r w:rsidRPr="00550627">
              <w:rPr>
                <w:rFonts w:asciiTheme="minorHAnsi" w:hAnsiTheme="minorHAnsi" w:cstheme="minorHAnsi"/>
                <w:bCs/>
                <w:iCs/>
                <w:color w:val="000000"/>
                <w:sz w:val="21"/>
                <w:szCs w:val="21"/>
                <w:shd w:val="clear" w:color="auto" w:fill="FFFFFF"/>
              </w:rPr>
              <w:t>as a matter of urgency</w:t>
            </w:r>
            <w:r w:rsidRPr="00550627">
              <w:rPr>
                <w:rFonts w:asciiTheme="minorHAnsi" w:hAnsiTheme="minorHAnsi" w:cstheme="minorHAnsi"/>
                <w:color w:val="000000"/>
                <w:sz w:val="21"/>
                <w:szCs w:val="21"/>
                <w:shd w:val="clear" w:color="auto" w:fill="FFFFFF"/>
              </w:rPr>
              <w:t>, undertakes a review of all of its active processes and procedures so as to identify and document the instances in which personal data is requested from a registrar beyond the period of the 'life of the registration'. Retention periods for specific data elements should then be identified, documented, and relied upon to establish the required relevant and specific minimum data retention expectations for registrars. </w:t>
            </w:r>
            <w:r w:rsidRPr="00550627">
              <w:rPr>
                <w:rFonts w:asciiTheme="minorHAnsi" w:hAnsiTheme="minorHAnsi" w:cstheme="minorHAnsi"/>
                <w:bCs/>
                <w:iCs/>
                <w:color w:val="000000"/>
                <w:sz w:val="21"/>
                <w:szCs w:val="21"/>
                <w:shd w:val="clear" w:color="auto" w:fill="FFFFFF"/>
              </w:rPr>
              <w:t>The EPDP Team recommends community members be invited to contribute to this data gathering exercise by providing input on other legitimate purposes for which different retention periods</w:t>
            </w:r>
            <w:r w:rsidRPr="00550627">
              <w:rPr>
                <w:rFonts w:asciiTheme="minorHAnsi" w:hAnsiTheme="minorHAnsi" w:cstheme="minorHAnsi"/>
                <w:b/>
                <w:bCs/>
                <w:i/>
                <w:iCs/>
                <w:color w:val="000000"/>
                <w:sz w:val="21"/>
                <w:szCs w:val="21"/>
                <w:shd w:val="clear" w:color="auto" w:fill="FFFFFF"/>
              </w:rPr>
              <w:t xml:space="preserve"> </w:t>
            </w:r>
            <w:r w:rsidRPr="00550627">
              <w:rPr>
                <w:rFonts w:asciiTheme="minorHAnsi" w:hAnsiTheme="minorHAnsi" w:cstheme="minorHAnsi"/>
                <w:bCs/>
                <w:iCs/>
                <w:color w:val="000000"/>
                <w:sz w:val="21"/>
                <w:szCs w:val="21"/>
                <w:shd w:val="clear" w:color="auto" w:fill="FFFFFF"/>
              </w:rPr>
              <w:t xml:space="preserve">may be applicable. </w:t>
            </w:r>
            <w:r w:rsidRPr="00550627">
              <w:rPr>
                <w:rFonts w:asciiTheme="minorHAnsi" w:hAnsiTheme="minorHAnsi" w:cstheme="minorHAnsi"/>
                <w:bCs/>
                <w:iCs/>
                <w:sz w:val="21"/>
                <w:szCs w:val="21"/>
                <w:shd w:val="clear" w:color="auto" w:fill="FFFFFF"/>
              </w:rPr>
              <w:t> </w:t>
            </w:r>
          </w:p>
          <w:p w14:paraId="10E54270" w14:textId="77777777" w:rsidR="00187BD5" w:rsidRPr="00550627" w:rsidRDefault="00187BD5" w:rsidP="00F8502E">
            <w:pPr>
              <w:pStyle w:val="ListParagraph"/>
              <w:numPr>
                <w:ilvl w:val="0"/>
                <w:numId w:val="44"/>
              </w:numPr>
              <w:spacing w:before="0" w:beforeAutospacing="0" w:after="0" w:afterAutospacing="0"/>
              <w:contextualSpacing/>
              <w:rPr>
                <w:rFonts w:asciiTheme="minorHAnsi" w:hAnsiTheme="minorHAnsi" w:cstheme="minorHAnsi"/>
                <w:color w:val="000000"/>
                <w:sz w:val="21"/>
                <w:szCs w:val="21"/>
                <w:shd w:val="clear" w:color="auto" w:fill="FFFFFF"/>
              </w:rPr>
            </w:pPr>
            <w:r w:rsidRPr="00550627">
              <w:rPr>
                <w:rFonts w:asciiTheme="minorHAnsi" w:hAnsiTheme="minorHAnsi" w:cstheme="minorHAnsi"/>
                <w:color w:val="000000"/>
                <w:sz w:val="21"/>
                <w:szCs w:val="21"/>
                <w:shd w:val="clear" w:color="auto" w:fill="FFFFFF"/>
              </w:rPr>
              <w:t>In the interim, the EPDP team has recognized that the Transfer Dispute Resolution Policy (“TDRP”) has been identified </w:t>
            </w:r>
            <w:r w:rsidRPr="00550627">
              <w:rPr>
                <w:rFonts w:asciiTheme="minorHAnsi" w:hAnsiTheme="minorHAnsi" w:cstheme="minorHAnsi"/>
                <w:bCs/>
                <w:iCs/>
                <w:color w:val="000000"/>
                <w:sz w:val="21"/>
                <w:szCs w:val="21"/>
                <w:shd w:val="clear" w:color="auto" w:fill="FFFFFF"/>
              </w:rPr>
              <w:t>as having the longest justified retention period of one year and has therefore recommended registrars be required to retain</w:t>
            </w:r>
            <w:r w:rsidRPr="00550627">
              <w:rPr>
                <w:rFonts w:asciiTheme="minorHAnsi" w:hAnsiTheme="minorHAnsi" w:cstheme="minorHAnsi"/>
                <w:color w:val="000000"/>
                <w:sz w:val="21"/>
                <w:szCs w:val="21"/>
                <w:shd w:val="clear" w:color="auto" w:fill="FFFFFF"/>
              </w:rPr>
              <w:t> only those data elements deemed necessary for the purposes of the TDRP, for a period of one year following the life of the registration plus six months to implement the deletion, i.e., 18 months. This retention is grounded on the stated policy stipulation within the TDRP that claims under the policy may only be raised for a period of 12 months after the alleged breach (FN: see TDRP section 2.2) of the Transfer Policy (FN: see Section 1.15 of TDRP). </w:t>
            </w:r>
            <w:r w:rsidRPr="00550627">
              <w:rPr>
                <w:rFonts w:asciiTheme="minorHAnsi" w:hAnsiTheme="minorHAnsi" w:cstheme="minorHAnsi"/>
                <w:bCs/>
                <w:iCs/>
                <w:color w:val="000000"/>
                <w:sz w:val="21"/>
                <w:szCs w:val="21"/>
                <w:shd w:val="clear" w:color="auto" w:fill="FFFFFF"/>
              </w:rPr>
              <w:t xml:space="preserve">This retention period does not restrict the ability of registries and registrars to retain data elements provided in Recommendations 4 -7 for other purposes specified in Recommendation 1 for shorter </w:t>
            </w:r>
            <w:proofErr w:type="gramStart"/>
            <w:r w:rsidRPr="00550627">
              <w:rPr>
                <w:rFonts w:asciiTheme="minorHAnsi" w:hAnsiTheme="minorHAnsi" w:cstheme="minorHAnsi"/>
                <w:bCs/>
                <w:iCs/>
                <w:color w:val="000000"/>
                <w:sz w:val="21"/>
                <w:szCs w:val="21"/>
                <w:shd w:val="clear" w:color="auto" w:fill="FFFFFF"/>
              </w:rPr>
              <w:t>periods.</w:t>
            </w:r>
            <w:r>
              <w:t>*</w:t>
            </w:r>
            <w:proofErr w:type="gramEnd"/>
          </w:p>
          <w:p w14:paraId="46326AB3" w14:textId="77777777" w:rsidR="00187BD5" w:rsidRDefault="00187BD5" w:rsidP="00F8502E">
            <w:pPr>
              <w:pStyle w:val="ListParagraph"/>
              <w:numPr>
                <w:ilvl w:val="0"/>
                <w:numId w:val="44"/>
              </w:numPr>
              <w:spacing w:before="0" w:beforeAutospacing="0" w:after="0" w:afterAutospacing="0"/>
              <w:contextualSpacing/>
              <w:rPr>
                <w:rFonts w:asciiTheme="minorHAnsi" w:hAnsiTheme="minorHAnsi" w:cstheme="minorHAnsi"/>
                <w:color w:val="000000"/>
                <w:sz w:val="21"/>
                <w:szCs w:val="21"/>
                <w:shd w:val="clear" w:color="auto" w:fill="FFFFFF"/>
              </w:rPr>
            </w:pPr>
            <w:r w:rsidRPr="00550627">
              <w:rPr>
                <w:rFonts w:asciiTheme="minorHAnsi" w:hAnsiTheme="minorHAnsi" w:cstheme="minorHAnsi"/>
                <w:color w:val="000000"/>
                <w:sz w:val="21"/>
                <w:szCs w:val="21"/>
                <w:shd w:val="clear" w:color="auto" w:fill="FFFFFF"/>
              </w:rPr>
              <w:t xml:space="preserve">The EPDP team recognizes that Contracted Parties may have needs or requirements for different retention periods in line with local law or other requirements. The EPDP team notes that nothing in this recommendation, or in separate ICANN-mandated policy, prohibits contracted parties from setting their own retention periods, which may be longer or shorter than what is specified in ICANN policy. </w:t>
            </w:r>
          </w:p>
          <w:p w14:paraId="17342EB8" w14:textId="77777777" w:rsidR="00187BD5" w:rsidRDefault="00187BD5" w:rsidP="00F8502E">
            <w:pPr>
              <w:pStyle w:val="ListParagraph"/>
              <w:numPr>
                <w:ilvl w:val="0"/>
                <w:numId w:val="44"/>
              </w:numPr>
              <w:spacing w:before="0" w:beforeAutospacing="0" w:after="0" w:afterAutospacing="0"/>
              <w:contextualSpacing/>
              <w:rPr>
                <w:rFonts w:asciiTheme="minorHAnsi" w:hAnsiTheme="minorHAnsi" w:cstheme="minorHAnsi"/>
                <w:color w:val="000000"/>
                <w:sz w:val="21"/>
                <w:szCs w:val="21"/>
                <w:shd w:val="clear" w:color="auto" w:fill="FFFFFF"/>
              </w:rPr>
            </w:pPr>
            <w:r w:rsidRPr="00550627">
              <w:rPr>
                <w:rFonts w:asciiTheme="minorHAnsi" w:hAnsiTheme="minorHAnsi" w:cstheme="minorHAnsi"/>
                <w:color w:val="000000"/>
                <w:sz w:val="21"/>
                <w:szCs w:val="21"/>
                <w:shd w:val="clear" w:color="auto" w:fill="FFFFFF"/>
              </w:rPr>
              <w:t>The EPDP team recommends that ICANN Org review its current data retention waiver procedure</w:t>
            </w:r>
            <w:r w:rsidRPr="00767106">
              <w:rPr>
                <w:vertAlign w:val="superscript"/>
              </w:rPr>
              <w:t>+</w:t>
            </w:r>
            <w:r w:rsidRPr="00550627">
              <w:rPr>
                <w:rFonts w:asciiTheme="minorHAnsi" w:hAnsiTheme="minorHAnsi" w:cstheme="minorHAnsi"/>
                <w:color w:val="000000"/>
                <w:sz w:val="21"/>
                <w:szCs w:val="21"/>
                <w:shd w:val="clear" w:color="auto" w:fill="FFFFFF"/>
              </w:rPr>
              <w:t xml:space="preserve"> to improve efficiency, request response times, and GDPR compliance, e.g., if a Registrar from a certain jurisdiction is successfully granted a data retention waiver, similarly-situated Registrars might apply the same </w:t>
            </w:r>
            <w:r w:rsidRPr="00550627">
              <w:rPr>
                <w:rFonts w:asciiTheme="minorHAnsi" w:hAnsiTheme="minorHAnsi" w:cstheme="minorHAnsi"/>
                <w:color w:val="000000"/>
                <w:sz w:val="21"/>
                <w:szCs w:val="21"/>
                <w:shd w:val="clear" w:color="auto" w:fill="FFFFFF"/>
              </w:rPr>
              <w:lastRenderedPageBreak/>
              <w:t>waiver through a notice procedure and without having to produce a separate application. </w:t>
            </w:r>
          </w:p>
          <w:p w14:paraId="47F10C94" w14:textId="77777777" w:rsidR="00187BD5" w:rsidRPr="00767106" w:rsidRDefault="00187BD5" w:rsidP="00F8502E">
            <w:pPr>
              <w:contextualSpacing/>
              <w:rPr>
                <w:rFonts w:asciiTheme="minorHAnsi" w:hAnsiTheme="minorHAnsi" w:cstheme="minorHAnsi"/>
                <w:color w:val="000000"/>
                <w:sz w:val="21"/>
                <w:szCs w:val="21"/>
                <w:shd w:val="clear" w:color="auto" w:fill="FFFFFF"/>
              </w:rPr>
            </w:pPr>
          </w:p>
          <w:p w14:paraId="057C6B67" w14:textId="77777777" w:rsidR="00187BD5" w:rsidRDefault="00187BD5" w:rsidP="00F8502E">
            <w:pPr>
              <w:pStyle w:val="FootnoteText"/>
              <w:rPr>
                <w:rFonts w:asciiTheme="minorHAnsi" w:hAnsiTheme="minorHAnsi" w:cstheme="minorHAnsi"/>
                <w:sz w:val="21"/>
                <w:szCs w:val="21"/>
              </w:rPr>
            </w:pPr>
            <w:r w:rsidRPr="00767106">
              <w:rPr>
                <w:rStyle w:val="FootnoteReference"/>
                <w:rFonts w:asciiTheme="minorHAnsi" w:hAnsiTheme="minorHAnsi" w:cstheme="minorHAnsi"/>
                <w:sz w:val="21"/>
                <w:szCs w:val="21"/>
                <w:vertAlign w:val="baseline"/>
              </w:rPr>
              <w:t>*</w:t>
            </w:r>
            <w:r>
              <w:rPr>
                <w:rStyle w:val="FootnoteReference"/>
                <w:rFonts w:asciiTheme="minorHAnsi" w:hAnsiTheme="minorHAnsi" w:cstheme="minorHAnsi"/>
                <w:sz w:val="21"/>
                <w:szCs w:val="21"/>
              </w:rPr>
              <w:t xml:space="preserve"> </w:t>
            </w:r>
            <w:r w:rsidRPr="00767106">
              <w:rPr>
                <w:rFonts w:asciiTheme="minorHAnsi" w:hAnsiTheme="minorHAnsi" w:cstheme="minorHAnsi"/>
                <w:sz w:val="21"/>
                <w:szCs w:val="21"/>
              </w:rPr>
              <w:t xml:space="preserve"> In Phase 2, the EPDP Team will work on identifying different retention periods for any other purposes, including the purposes identified in this Report. </w:t>
            </w:r>
          </w:p>
          <w:p w14:paraId="1130F589" w14:textId="77777777" w:rsidR="00187BD5" w:rsidRPr="00767106" w:rsidRDefault="00187BD5" w:rsidP="00F8502E">
            <w:pPr>
              <w:pStyle w:val="FootnoteText"/>
              <w:rPr>
                <w:rFonts w:asciiTheme="minorHAnsi" w:hAnsiTheme="minorHAnsi" w:cstheme="minorHAnsi"/>
                <w:sz w:val="21"/>
                <w:szCs w:val="21"/>
              </w:rPr>
            </w:pPr>
          </w:p>
          <w:p w14:paraId="1E483534" w14:textId="77777777" w:rsidR="00187BD5" w:rsidRPr="00767106" w:rsidRDefault="00187BD5" w:rsidP="00F8502E">
            <w:pPr>
              <w:contextualSpacing/>
              <w:rPr>
                <w:rFonts w:asciiTheme="minorHAnsi" w:hAnsiTheme="minorHAnsi" w:cstheme="minorHAnsi"/>
                <w:color w:val="000000"/>
                <w:sz w:val="21"/>
                <w:szCs w:val="21"/>
                <w:shd w:val="clear" w:color="auto" w:fill="FFFFFF"/>
              </w:rPr>
            </w:pPr>
            <w:r>
              <w:rPr>
                <w:rStyle w:val="FootnoteReference"/>
                <w:rFonts w:asciiTheme="minorHAnsi" w:hAnsiTheme="minorHAnsi" w:cstheme="minorHAnsi"/>
                <w:sz w:val="21"/>
                <w:szCs w:val="21"/>
              </w:rPr>
              <w:t>+</w:t>
            </w:r>
            <w:r w:rsidRPr="00767106">
              <w:rPr>
                <w:rFonts w:asciiTheme="minorHAnsi" w:hAnsiTheme="minorHAnsi" w:cstheme="minorHAnsi"/>
                <w:sz w:val="21"/>
                <w:szCs w:val="21"/>
              </w:rPr>
              <w:t xml:space="preserve"> For avoidance of doubt, ICANN’s data retention waiver procedure only applies to contracted parties who need to apply for shorter data retention periods. Contracted parties do not need to seek a waiver for longer retention periods for data retention under their own controllership.</w:t>
            </w:r>
          </w:p>
        </w:tc>
        <w:tc>
          <w:tcPr>
            <w:tcW w:w="1518" w:type="dxa"/>
          </w:tcPr>
          <w:p w14:paraId="532DDAB7" w14:textId="77777777" w:rsidR="00187BD5" w:rsidRPr="00EC108A" w:rsidRDefault="00187BD5" w:rsidP="00F8502E">
            <w:pPr>
              <w:rPr>
                <w:rFonts w:asciiTheme="minorHAnsi" w:hAnsiTheme="minorHAnsi" w:cstheme="minorHAnsi"/>
                <w:sz w:val="21"/>
                <w:szCs w:val="21"/>
              </w:rPr>
            </w:pPr>
          </w:p>
        </w:tc>
        <w:tc>
          <w:tcPr>
            <w:tcW w:w="2000" w:type="dxa"/>
          </w:tcPr>
          <w:p w14:paraId="212C7B9E" w14:textId="77777777" w:rsidR="00187BD5" w:rsidRPr="00E82D1D" w:rsidRDefault="00187BD5" w:rsidP="00F8502E">
            <w:pPr>
              <w:rPr>
                <w:rFonts w:asciiTheme="minorHAnsi" w:hAnsiTheme="minorHAnsi" w:cstheme="minorHAnsi"/>
                <w:sz w:val="21"/>
                <w:szCs w:val="21"/>
              </w:rPr>
            </w:pPr>
            <w:r>
              <w:rPr>
                <w:rFonts w:asciiTheme="minorHAnsi" w:hAnsiTheme="minorHAnsi" w:cstheme="minorHAnsi"/>
                <w:sz w:val="21"/>
                <w:szCs w:val="21"/>
              </w:rPr>
              <w:t xml:space="preserve">Projected: Full Consensus / </w:t>
            </w:r>
            <w:proofErr w:type="spellStart"/>
            <w:r>
              <w:rPr>
                <w:rFonts w:asciiTheme="minorHAnsi" w:hAnsiTheme="minorHAnsi" w:cstheme="minorHAnsi"/>
                <w:sz w:val="21"/>
                <w:szCs w:val="21"/>
              </w:rPr>
              <w:t>Consensus</w:t>
            </w:r>
            <w:proofErr w:type="spellEnd"/>
            <w:r>
              <w:rPr>
                <w:rFonts w:asciiTheme="minorHAnsi" w:hAnsiTheme="minorHAnsi" w:cstheme="minorHAnsi"/>
                <w:sz w:val="21"/>
                <w:szCs w:val="21"/>
              </w:rPr>
              <w:t xml:space="preserve">. </w:t>
            </w:r>
            <w:r>
              <w:rPr>
                <w:rFonts w:asciiTheme="minorHAnsi" w:hAnsiTheme="minorHAnsi" w:cstheme="minorHAnsi"/>
                <w:color w:val="000000" w:themeColor="text1"/>
                <w:sz w:val="21"/>
                <w:szCs w:val="21"/>
              </w:rPr>
              <w:t>Wording developed in 11 Feb meeting. Giving groups some time to review.</w:t>
            </w:r>
          </w:p>
        </w:tc>
      </w:tr>
      <w:tr w:rsidR="00187BD5" w:rsidRPr="00E82D1D" w14:paraId="09DEC649" w14:textId="77777777" w:rsidTr="00F8502E">
        <w:tc>
          <w:tcPr>
            <w:tcW w:w="2180" w:type="dxa"/>
          </w:tcPr>
          <w:p w14:paraId="09DBC273" w14:textId="77777777" w:rsidR="00187BD5" w:rsidRPr="00E82D1D" w:rsidRDefault="00187BD5" w:rsidP="00F8502E">
            <w:pPr>
              <w:spacing w:before="60"/>
              <w:rPr>
                <w:rFonts w:asciiTheme="minorHAnsi" w:hAnsiTheme="minorHAnsi" w:cstheme="minorHAnsi"/>
                <w:color w:val="000000" w:themeColor="text1"/>
                <w:sz w:val="21"/>
                <w:szCs w:val="21"/>
              </w:rPr>
            </w:pPr>
            <w:r w:rsidRPr="00E82D1D">
              <w:rPr>
                <w:rFonts w:asciiTheme="minorHAnsi" w:hAnsiTheme="minorHAnsi" w:cstheme="minorHAnsi"/>
                <w:color w:val="000000" w:themeColor="text1"/>
                <w:sz w:val="21"/>
                <w:szCs w:val="21"/>
              </w:rPr>
              <w:lastRenderedPageBreak/>
              <w:t>Recommendation #1</w:t>
            </w:r>
            <w:r>
              <w:rPr>
                <w:rFonts w:asciiTheme="minorHAnsi" w:hAnsiTheme="minorHAnsi" w:cstheme="minorHAnsi"/>
                <w:color w:val="000000" w:themeColor="text1"/>
                <w:sz w:val="21"/>
                <w:szCs w:val="21"/>
              </w:rPr>
              <w:t>8 (old #12</w:t>
            </w:r>
            <w:proofErr w:type="gramStart"/>
            <w:r>
              <w:rPr>
                <w:rFonts w:asciiTheme="minorHAnsi" w:hAnsiTheme="minorHAnsi" w:cstheme="minorHAnsi"/>
                <w:color w:val="000000" w:themeColor="text1"/>
                <w:sz w:val="21"/>
                <w:szCs w:val="21"/>
              </w:rPr>
              <w:t>)</w:t>
            </w:r>
            <w:r w:rsidRPr="00E82D1D">
              <w:rPr>
                <w:rFonts w:asciiTheme="minorHAnsi" w:hAnsiTheme="minorHAnsi" w:cstheme="minorHAnsi"/>
                <w:color w:val="000000" w:themeColor="text1"/>
                <w:sz w:val="21"/>
                <w:szCs w:val="21"/>
              </w:rPr>
              <w:t xml:space="preserve"> </w:t>
            </w:r>
            <w:r>
              <w:rPr>
                <w:rFonts w:asciiTheme="minorHAnsi" w:hAnsiTheme="minorHAnsi" w:cstheme="minorHAnsi"/>
                <w:color w:val="000000" w:themeColor="text1"/>
                <w:sz w:val="21"/>
                <w:szCs w:val="21"/>
              </w:rPr>
              <w:t xml:space="preserve"> –</w:t>
            </w:r>
            <w:proofErr w:type="gramEnd"/>
            <w:r w:rsidRPr="00E82D1D">
              <w:rPr>
                <w:rFonts w:asciiTheme="minorHAnsi" w:hAnsiTheme="minorHAnsi" w:cstheme="minorHAnsi"/>
                <w:color w:val="000000" w:themeColor="text1"/>
                <w:sz w:val="21"/>
                <w:szCs w:val="21"/>
              </w:rPr>
              <w:t xml:space="preserve"> Reasonable access</w:t>
            </w:r>
          </w:p>
        </w:tc>
        <w:tc>
          <w:tcPr>
            <w:tcW w:w="7421" w:type="dxa"/>
          </w:tcPr>
          <w:p w14:paraId="4EBF6E1F" w14:textId="77777777" w:rsidR="00187BD5" w:rsidRPr="00550627" w:rsidRDefault="00187BD5" w:rsidP="00F8502E">
            <w:pPr>
              <w:autoSpaceDE w:val="0"/>
              <w:autoSpaceDN w:val="0"/>
              <w:adjustRightInd w:val="0"/>
              <w:rPr>
                <w:rFonts w:asciiTheme="minorHAnsi" w:hAnsiTheme="minorHAnsi" w:cstheme="minorHAnsi"/>
                <w:sz w:val="21"/>
                <w:szCs w:val="21"/>
              </w:rPr>
            </w:pPr>
            <w:r w:rsidRPr="00550627">
              <w:rPr>
                <w:rFonts w:asciiTheme="minorHAnsi" w:hAnsiTheme="minorHAnsi" w:cstheme="minorHAnsi"/>
                <w:sz w:val="21"/>
                <w:szCs w:val="21"/>
              </w:rPr>
              <w:t>The EPDP Team recommends that the current requirements in Sections 4.1 and 4.2 of Appendix A to the Temporary Specification in relation to access to non-public registration data, upon expiration are replaced with the criteria below and finalized through the requirements set during the implementation stage, recognizing that work in Phase 2 on a system for Standardized Access to Non-Public Registration Data may further complement, revise, or supersede these requirements. In addition, the EPDP team recommends that when a system for Standardized Access to Non-Public Registration Data is developed, the need for a policy governing Reasonable Requests for Lawful Disclosure outside of that model will be required.</w:t>
            </w:r>
          </w:p>
          <w:p w14:paraId="20F08BE2" w14:textId="77777777" w:rsidR="00187BD5" w:rsidRPr="00550627" w:rsidRDefault="00187BD5" w:rsidP="00F8502E">
            <w:pPr>
              <w:autoSpaceDE w:val="0"/>
              <w:autoSpaceDN w:val="0"/>
              <w:adjustRightInd w:val="0"/>
              <w:rPr>
                <w:rFonts w:asciiTheme="minorHAnsi" w:hAnsiTheme="minorHAnsi" w:cstheme="minorHAnsi"/>
                <w:sz w:val="21"/>
                <w:szCs w:val="21"/>
              </w:rPr>
            </w:pPr>
          </w:p>
          <w:p w14:paraId="473310CD" w14:textId="77777777" w:rsidR="00187BD5" w:rsidRPr="00550627" w:rsidRDefault="00187BD5" w:rsidP="00F8502E">
            <w:pPr>
              <w:autoSpaceDE w:val="0"/>
              <w:autoSpaceDN w:val="0"/>
              <w:adjustRightInd w:val="0"/>
              <w:rPr>
                <w:rFonts w:asciiTheme="minorHAnsi" w:hAnsiTheme="minorHAnsi" w:cstheme="minorHAnsi"/>
                <w:sz w:val="21"/>
                <w:szCs w:val="21"/>
              </w:rPr>
            </w:pPr>
            <w:r w:rsidRPr="00550627">
              <w:rPr>
                <w:rFonts w:asciiTheme="minorHAnsi" w:hAnsiTheme="minorHAnsi" w:cstheme="minorHAnsi"/>
                <w:sz w:val="21"/>
                <w:szCs w:val="21"/>
              </w:rPr>
              <w:t>The EPDP Team recommends that the new policy will refer to “Reasonable Requests for Lawful Disclosure of Non-Public Registration Data” or “Reasonable Requests for Lawful Disclosure”, instead of ‘Reasonable Access’ and that Registrar and Registry Operator must process and respond to Reasonable Requests for Lawful Disclosure.</w:t>
            </w:r>
          </w:p>
          <w:p w14:paraId="0D186F0E" w14:textId="77777777" w:rsidR="00187BD5" w:rsidRPr="00550627" w:rsidRDefault="00187BD5" w:rsidP="00F8502E">
            <w:pPr>
              <w:autoSpaceDE w:val="0"/>
              <w:autoSpaceDN w:val="0"/>
              <w:adjustRightInd w:val="0"/>
              <w:rPr>
                <w:rFonts w:asciiTheme="minorHAnsi" w:hAnsiTheme="minorHAnsi" w:cstheme="minorHAnsi"/>
                <w:sz w:val="21"/>
                <w:szCs w:val="21"/>
              </w:rPr>
            </w:pPr>
          </w:p>
          <w:p w14:paraId="7D6912BF" w14:textId="77777777" w:rsidR="00187BD5" w:rsidRPr="00550627" w:rsidRDefault="00187BD5" w:rsidP="00F8502E">
            <w:pPr>
              <w:autoSpaceDE w:val="0"/>
              <w:autoSpaceDN w:val="0"/>
              <w:adjustRightInd w:val="0"/>
              <w:rPr>
                <w:rFonts w:asciiTheme="minorHAnsi" w:hAnsiTheme="minorHAnsi" w:cstheme="minorHAnsi"/>
                <w:sz w:val="21"/>
                <w:szCs w:val="21"/>
              </w:rPr>
            </w:pPr>
            <w:r w:rsidRPr="00550627">
              <w:rPr>
                <w:rFonts w:asciiTheme="minorHAnsi" w:hAnsiTheme="minorHAnsi" w:cstheme="minorHAnsi"/>
                <w:sz w:val="21"/>
                <w:szCs w:val="21"/>
              </w:rPr>
              <w:t>The basic criteria for Reasonable Requests Lawful Disclosure are as follows: First, a Reasonable Request for Lawful Disclosure must follow the format required by the Registrar or Registry Operator and provide the required information, which are to be finalized during the implementation phase (see below). Second, delivery of a properly-formed Reasonable Request for Lawful Disclosure to a Registrar or Registry Operator does NOT require automatic disclosure of information. Third, Registrars and Registry Operators will consider each request on its merits, including the asserted GDPR legal bases.</w:t>
            </w:r>
          </w:p>
          <w:p w14:paraId="43011F19" w14:textId="77777777" w:rsidR="00187BD5" w:rsidRPr="00550627" w:rsidRDefault="00187BD5" w:rsidP="00F8502E">
            <w:pPr>
              <w:autoSpaceDE w:val="0"/>
              <w:autoSpaceDN w:val="0"/>
              <w:adjustRightInd w:val="0"/>
              <w:rPr>
                <w:rFonts w:asciiTheme="minorHAnsi" w:hAnsiTheme="minorHAnsi" w:cstheme="minorHAnsi"/>
                <w:sz w:val="21"/>
                <w:szCs w:val="21"/>
              </w:rPr>
            </w:pPr>
          </w:p>
          <w:p w14:paraId="1D12E9B6" w14:textId="77777777" w:rsidR="00187BD5" w:rsidRPr="00550627" w:rsidRDefault="00187BD5" w:rsidP="00F8502E">
            <w:pPr>
              <w:autoSpaceDE w:val="0"/>
              <w:autoSpaceDN w:val="0"/>
              <w:adjustRightInd w:val="0"/>
              <w:rPr>
                <w:rFonts w:asciiTheme="minorHAnsi" w:hAnsiTheme="minorHAnsi" w:cstheme="minorHAnsi"/>
                <w:sz w:val="21"/>
                <w:szCs w:val="21"/>
              </w:rPr>
            </w:pPr>
            <w:r w:rsidRPr="00550627">
              <w:rPr>
                <w:rFonts w:asciiTheme="minorHAnsi" w:hAnsiTheme="minorHAnsi" w:cstheme="minorHAnsi"/>
                <w:sz w:val="21"/>
                <w:szCs w:val="21"/>
              </w:rPr>
              <w:t>Registrars and Registry Operators must publish, in a publicly accessible section of their web-site, the mechanism and process for submitting Reasonable Requests for Lawful Disclosure. The mechanism and process should include information on the required format and content of requests, means of providing a response, and the anticipated timeline for responses.</w:t>
            </w:r>
          </w:p>
          <w:p w14:paraId="799CA69B" w14:textId="77777777" w:rsidR="00187BD5" w:rsidRPr="00550627" w:rsidRDefault="00187BD5" w:rsidP="00F8502E">
            <w:pPr>
              <w:autoSpaceDE w:val="0"/>
              <w:autoSpaceDN w:val="0"/>
              <w:adjustRightInd w:val="0"/>
              <w:rPr>
                <w:rFonts w:asciiTheme="minorHAnsi" w:hAnsiTheme="minorHAnsi" w:cstheme="minorHAnsi"/>
                <w:sz w:val="21"/>
                <w:szCs w:val="21"/>
              </w:rPr>
            </w:pPr>
          </w:p>
          <w:p w14:paraId="09B0910E" w14:textId="77777777" w:rsidR="00187BD5" w:rsidRPr="00550627" w:rsidRDefault="00187BD5" w:rsidP="00F8502E">
            <w:pPr>
              <w:autoSpaceDE w:val="0"/>
              <w:autoSpaceDN w:val="0"/>
              <w:adjustRightInd w:val="0"/>
              <w:rPr>
                <w:rFonts w:asciiTheme="minorHAnsi" w:hAnsiTheme="minorHAnsi" w:cstheme="minorHAnsi"/>
                <w:sz w:val="21"/>
                <w:szCs w:val="21"/>
              </w:rPr>
            </w:pPr>
            <w:r w:rsidRPr="00550627">
              <w:rPr>
                <w:rFonts w:asciiTheme="minorHAnsi" w:hAnsiTheme="minorHAnsi" w:cstheme="minorHAnsi"/>
                <w:sz w:val="21"/>
                <w:szCs w:val="21"/>
              </w:rPr>
              <w:t>The EPDP Team recommends that criteria for a Reasonable Request for Lawful Disclosure and the requirements for acknowledging receipt of a request and response to such request will be defined as part of the implementation of these policy recommendations but will include at a minimum:</w:t>
            </w:r>
          </w:p>
          <w:p w14:paraId="55B98C98" w14:textId="77777777" w:rsidR="00187BD5" w:rsidRPr="00550627" w:rsidRDefault="00187BD5" w:rsidP="00F8502E">
            <w:pPr>
              <w:autoSpaceDE w:val="0"/>
              <w:autoSpaceDN w:val="0"/>
              <w:adjustRightInd w:val="0"/>
              <w:rPr>
                <w:rFonts w:asciiTheme="minorHAnsi" w:hAnsiTheme="minorHAnsi" w:cstheme="minorHAnsi"/>
                <w:sz w:val="21"/>
                <w:szCs w:val="21"/>
              </w:rPr>
            </w:pPr>
          </w:p>
          <w:p w14:paraId="7F815F29" w14:textId="7E3AF5FC" w:rsidR="00187BD5" w:rsidRPr="00550627" w:rsidRDefault="00187BD5" w:rsidP="00F8502E">
            <w:pPr>
              <w:autoSpaceDE w:val="0"/>
              <w:autoSpaceDN w:val="0"/>
              <w:adjustRightInd w:val="0"/>
              <w:rPr>
                <w:rFonts w:asciiTheme="minorHAnsi" w:hAnsiTheme="minorHAnsi" w:cstheme="minorHAnsi"/>
                <w:sz w:val="21"/>
                <w:szCs w:val="21"/>
              </w:rPr>
            </w:pPr>
            <w:r w:rsidRPr="00550627">
              <w:rPr>
                <w:rFonts w:asciiTheme="minorHAnsi" w:hAnsiTheme="minorHAnsi" w:cstheme="minorHAnsi"/>
                <w:sz w:val="21"/>
                <w:szCs w:val="21"/>
              </w:rPr>
              <w:t xml:space="preserve">● </w:t>
            </w:r>
            <w:r w:rsidRPr="00550627">
              <w:rPr>
                <w:rFonts w:asciiTheme="minorHAnsi" w:hAnsiTheme="minorHAnsi" w:cstheme="minorHAnsi"/>
                <w:sz w:val="21"/>
                <w:szCs w:val="21"/>
                <w:u w:val="single"/>
              </w:rPr>
              <w:t>Minimum Information Required for Reasonable Requests for Lawful Disclosure</w:t>
            </w:r>
            <w:r w:rsidRPr="00550627">
              <w:rPr>
                <w:rFonts w:asciiTheme="minorHAnsi" w:hAnsiTheme="minorHAnsi" w:cstheme="minorHAnsi"/>
                <w:sz w:val="21"/>
                <w:szCs w:val="21"/>
              </w:rPr>
              <w:t>:</w:t>
            </w:r>
          </w:p>
          <w:p w14:paraId="212CAEEB" w14:textId="77777777" w:rsidR="00187BD5" w:rsidRPr="00550627" w:rsidRDefault="00187BD5" w:rsidP="00F8502E">
            <w:pPr>
              <w:pStyle w:val="ListParagraph"/>
              <w:numPr>
                <w:ilvl w:val="0"/>
                <w:numId w:val="42"/>
              </w:numPr>
              <w:autoSpaceDE w:val="0"/>
              <w:autoSpaceDN w:val="0"/>
              <w:adjustRightInd w:val="0"/>
              <w:spacing w:before="0" w:beforeAutospacing="0" w:after="0" w:afterAutospacing="0"/>
              <w:contextualSpacing/>
              <w:rPr>
                <w:rFonts w:asciiTheme="minorHAnsi" w:hAnsiTheme="minorHAnsi" w:cstheme="minorHAnsi"/>
                <w:sz w:val="21"/>
                <w:szCs w:val="21"/>
              </w:rPr>
            </w:pPr>
            <w:r w:rsidRPr="00550627">
              <w:rPr>
                <w:rFonts w:asciiTheme="minorHAnsi" w:hAnsiTheme="minorHAnsi" w:cstheme="minorHAnsi"/>
                <w:sz w:val="21"/>
                <w:szCs w:val="21"/>
              </w:rPr>
              <w:t>Identification of and information about the requestor (including, the nature/type of business entity or individual, Power of Attorney statements, where applicable and relevant);</w:t>
            </w:r>
          </w:p>
          <w:p w14:paraId="4A3F2D23" w14:textId="77777777" w:rsidR="00187BD5" w:rsidRPr="00550627" w:rsidRDefault="00187BD5" w:rsidP="00F8502E">
            <w:pPr>
              <w:pStyle w:val="ListParagraph"/>
              <w:numPr>
                <w:ilvl w:val="0"/>
                <w:numId w:val="42"/>
              </w:numPr>
              <w:autoSpaceDE w:val="0"/>
              <w:autoSpaceDN w:val="0"/>
              <w:adjustRightInd w:val="0"/>
              <w:spacing w:before="0" w:beforeAutospacing="0" w:after="0" w:afterAutospacing="0"/>
              <w:contextualSpacing/>
              <w:rPr>
                <w:rFonts w:asciiTheme="minorHAnsi" w:hAnsiTheme="minorHAnsi" w:cstheme="minorHAnsi"/>
                <w:sz w:val="21"/>
                <w:szCs w:val="21"/>
              </w:rPr>
            </w:pPr>
            <w:r w:rsidRPr="00550627">
              <w:rPr>
                <w:rFonts w:asciiTheme="minorHAnsi" w:hAnsiTheme="minorHAnsi" w:cstheme="minorHAnsi"/>
                <w:sz w:val="21"/>
                <w:szCs w:val="21"/>
              </w:rPr>
              <w:t>Information about the legal rights of the requestor and specific rationale and/or justification for the request, (e.g. What is the basis or reason for the request; Why is it necessary for the requestor to ask for this data?);</w:t>
            </w:r>
          </w:p>
          <w:p w14:paraId="74B3614B" w14:textId="77777777" w:rsidR="00187BD5" w:rsidRPr="00550627" w:rsidRDefault="00187BD5" w:rsidP="00F8502E">
            <w:pPr>
              <w:pStyle w:val="ListParagraph"/>
              <w:numPr>
                <w:ilvl w:val="0"/>
                <w:numId w:val="42"/>
              </w:numPr>
              <w:autoSpaceDE w:val="0"/>
              <w:autoSpaceDN w:val="0"/>
              <w:adjustRightInd w:val="0"/>
              <w:spacing w:before="0" w:beforeAutospacing="0" w:after="0" w:afterAutospacing="0"/>
              <w:contextualSpacing/>
              <w:rPr>
                <w:rFonts w:asciiTheme="minorHAnsi" w:hAnsiTheme="minorHAnsi" w:cstheme="minorHAnsi"/>
                <w:sz w:val="21"/>
                <w:szCs w:val="21"/>
              </w:rPr>
            </w:pPr>
            <w:r w:rsidRPr="00550627">
              <w:rPr>
                <w:rFonts w:asciiTheme="minorHAnsi" w:hAnsiTheme="minorHAnsi" w:cstheme="minorHAnsi"/>
                <w:sz w:val="21"/>
                <w:szCs w:val="21"/>
              </w:rPr>
              <w:t>Affirmation that the request is being made in good faith;</w:t>
            </w:r>
          </w:p>
          <w:p w14:paraId="20A86253" w14:textId="77777777" w:rsidR="00187BD5" w:rsidRPr="00550627" w:rsidRDefault="00187BD5" w:rsidP="00F8502E">
            <w:pPr>
              <w:pStyle w:val="ListParagraph"/>
              <w:numPr>
                <w:ilvl w:val="0"/>
                <w:numId w:val="42"/>
              </w:numPr>
              <w:autoSpaceDE w:val="0"/>
              <w:autoSpaceDN w:val="0"/>
              <w:adjustRightInd w:val="0"/>
              <w:spacing w:before="0" w:beforeAutospacing="0" w:after="0" w:afterAutospacing="0"/>
              <w:contextualSpacing/>
              <w:rPr>
                <w:rFonts w:asciiTheme="minorHAnsi" w:hAnsiTheme="minorHAnsi" w:cstheme="minorHAnsi"/>
                <w:sz w:val="21"/>
                <w:szCs w:val="21"/>
              </w:rPr>
            </w:pPr>
            <w:r w:rsidRPr="00550627">
              <w:rPr>
                <w:rFonts w:asciiTheme="minorHAnsi" w:hAnsiTheme="minorHAnsi" w:cstheme="minorHAnsi"/>
                <w:sz w:val="21"/>
                <w:szCs w:val="21"/>
              </w:rPr>
              <w:t>A list of data elements requested by the requestor and why this data is limited to the need;</w:t>
            </w:r>
          </w:p>
          <w:p w14:paraId="76D0C92A" w14:textId="77777777" w:rsidR="00187BD5" w:rsidRPr="00550627" w:rsidRDefault="00187BD5" w:rsidP="00F8502E">
            <w:pPr>
              <w:pStyle w:val="ListParagraph"/>
              <w:numPr>
                <w:ilvl w:val="0"/>
                <w:numId w:val="42"/>
              </w:numPr>
              <w:autoSpaceDE w:val="0"/>
              <w:autoSpaceDN w:val="0"/>
              <w:adjustRightInd w:val="0"/>
              <w:spacing w:before="0" w:beforeAutospacing="0" w:after="0" w:afterAutospacing="0"/>
              <w:contextualSpacing/>
              <w:rPr>
                <w:rFonts w:asciiTheme="minorHAnsi" w:hAnsiTheme="minorHAnsi" w:cstheme="minorHAnsi"/>
                <w:sz w:val="21"/>
                <w:szCs w:val="21"/>
              </w:rPr>
            </w:pPr>
            <w:r w:rsidRPr="00550627">
              <w:rPr>
                <w:rFonts w:asciiTheme="minorHAnsi" w:hAnsiTheme="minorHAnsi" w:cstheme="minorHAnsi"/>
                <w:sz w:val="21"/>
                <w:szCs w:val="21"/>
              </w:rPr>
              <w:t>Agreement to process lawfully any data received in response to the request.</w:t>
            </w:r>
          </w:p>
          <w:p w14:paraId="42C2473E" w14:textId="77777777" w:rsidR="00187BD5" w:rsidRPr="00550627" w:rsidRDefault="00187BD5" w:rsidP="00F8502E">
            <w:pPr>
              <w:pBdr>
                <w:left w:val="single" w:sz="4" w:space="4" w:color="auto"/>
                <w:right w:val="single" w:sz="4" w:space="4" w:color="auto"/>
              </w:pBdr>
              <w:autoSpaceDE w:val="0"/>
              <w:autoSpaceDN w:val="0"/>
              <w:adjustRightInd w:val="0"/>
              <w:rPr>
                <w:rFonts w:asciiTheme="minorHAnsi" w:hAnsiTheme="minorHAnsi" w:cstheme="minorHAnsi"/>
                <w:sz w:val="21"/>
                <w:szCs w:val="21"/>
              </w:rPr>
            </w:pPr>
          </w:p>
          <w:p w14:paraId="1001F6F9" w14:textId="36FBB11E" w:rsidR="00187BD5" w:rsidRPr="00550627" w:rsidRDefault="00187BD5" w:rsidP="00F8502E">
            <w:pPr>
              <w:pBdr>
                <w:left w:val="single" w:sz="4" w:space="4" w:color="auto"/>
                <w:right w:val="single" w:sz="4" w:space="4" w:color="auto"/>
              </w:pBdr>
              <w:autoSpaceDE w:val="0"/>
              <w:autoSpaceDN w:val="0"/>
              <w:adjustRightInd w:val="0"/>
              <w:rPr>
                <w:rFonts w:asciiTheme="minorHAnsi" w:hAnsiTheme="minorHAnsi" w:cstheme="minorHAnsi"/>
                <w:sz w:val="21"/>
                <w:szCs w:val="21"/>
              </w:rPr>
            </w:pPr>
            <w:r w:rsidRPr="00550627">
              <w:rPr>
                <w:rFonts w:asciiTheme="minorHAnsi" w:hAnsiTheme="minorHAnsi" w:cstheme="minorHAnsi"/>
                <w:sz w:val="21"/>
                <w:szCs w:val="21"/>
              </w:rPr>
              <w:t xml:space="preserve">● </w:t>
            </w:r>
            <w:r w:rsidRPr="00550627">
              <w:rPr>
                <w:rFonts w:asciiTheme="minorHAnsi" w:hAnsiTheme="minorHAnsi" w:cstheme="minorHAnsi"/>
                <w:sz w:val="21"/>
                <w:szCs w:val="21"/>
                <w:u w:val="single"/>
              </w:rPr>
              <w:t>Timeline &amp; Criteria for Registrar and Registry Operator Responses</w:t>
            </w:r>
            <w:r w:rsidRPr="00550627">
              <w:rPr>
                <w:rFonts w:asciiTheme="minorHAnsi" w:hAnsiTheme="minorHAnsi" w:cstheme="minorHAnsi"/>
                <w:sz w:val="21"/>
                <w:szCs w:val="21"/>
              </w:rPr>
              <w:t>:</w:t>
            </w:r>
          </w:p>
          <w:p w14:paraId="366C74F7" w14:textId="77777777" w:rsidR="00187BD5" w:rsidRPr="00550627" w:rsidRDefault="00187BD5" w:rsidP="00F8502E">
            <w:pPr>
              <w:pStyle w:val="ListParagraph"/>
              <w:numPr>
                <w:ilvl w:val="0"/>
                <w:numId w:val="42"/>
              </w:numPr>
              <w:autoSpaceDE w:val="0"/>
              <w:autoSpaceDN w:val="0"/>
              <w:adjustRightInd w:val="0"/>
              <w:spacing w:before="0" w:beforeAutospacing="0" w:after="0" w:afterAutospacing="0"/>
              <w:contextualSpacing/>
              <w:rPr>
                <w:rFonts w:asciiTheme="minorHAnsi" w:hAnsiTheme="minorHAnsi" w:cstheme="minorHAnsi"/>
                <w:sz w:val="21"/>
                <w:szCs w:val="21"/>
              </w:rPr>
            </w:pPr>
            <w:r w:rsidRPr="00550627">
              <w:rPr>
                <w:rFonts w:asciiTheme="minorHAnsi" w:hAnsiTheme="minorHAnsi" w:cstheme="minorHAnsi"/>
                <w:sz w:val="21"/>
                <w:szCs w:val="21"/>
              </w:rPr>
              <w:t>Response time for acknowledging receipt of a Reasonable Request for Lawful Disclosure. Without undue delay, but not more than two (2) business days from receipt, unless shown circumstances does not make this possible.</w:t>
            </w:r>
          </w:p>
          <w:p w14:paraId="79CFFEA5" w14:textId="77777777" w:rsidR="00187BD5" w:rsidRPr="00550627" w:rsidRDefault="00187BD5" w:rsidP="00F8502E">
            <w:pPr>
              <w:pStyle w:val="ListParagraph"/>
              <w:numPr>
                <w:ilvl w:val="0"/>
                <w:numId w:val="42"/>
              </w:numPr>
              <w:autoSpaceDE w:val="0"/>
              <w:autoSpaceDN w:val="0"/>
              <w:adjustRightInd w:val="0"/>
              <w:spacing w:before="0" w:beforeAutospacing="0" w:after="0" w:afterAutospacing="0"/>
              <w:contextualSpacing/>
              <w:rPr>
                <w:rFonts w:asciiTheme="minorHAnsi" w:hAnsiTheme="minorHAnsi" w:cstheme="minorHAnsi"/>
                <w:sz w:val="21"/>
                <w:szCs w:val="21"/>
              </w:rPr>
            </w:pPr>
            <w:r w:rsidRPr="00550627">
              <w:rPr>
                <w:rFonts w:asciiTheme="minorHAnsi" w:hAnsiTheme="minorHAnsi" w:cstheme="minorHAnsi"/>
                <w:sz w:val="21"/>
                <w:szCs w:val="21"/>
              </w:rPr>
              <w:t xml:space="preserve">Requirements for what information responses should include. Responses where disclosure of data (in whole or in part) has been denied should </w:t>
            </w:r>
            <w:r w:rsidRPr="00550627">
              <w:rPr>
                <w:rFonts w:asciiTheme="minorHAnsi" w:hAnsiTheme="minorHAnsi" w:cstheme="minorHAnsi"/>
                <w:sz w:val="21"/>
                <w:szCs w:val="21"/>
              </w:rPr>
              <w:lastRenderedPageBreak/>
              <w:t>include: rationale sufficient for the requestor to understand the reasons for the decision, including, for example, an analysis and explanation of how the balancing test was applied (if applicable).</w:t>
            </w:r>
          </w:p>
          <w:p w14:paraId="3B68F4C1" w14:textId="77777777" w:rsidR="00187BD5" w:rsidRPr="00550627" w:rsidRDefault="00187BD5" w:rsidP="00F8502E">
            <w:pPr>
              <w:pStyle w:val="ListParagraph"/>
              <w:numPr>
                <w:ilvl w:val="0"/>
                <w:numId w:val="42"/>
              </w:numPr>
              <w:autoSpaceDE w:val="0"/>
              <w:autoSpaceDN w:val="0"/>
              <w:adjustRightInd w:val="0"/>
              <w:spacing w:before="0" w:beforeAutospacing="0" w:after="0" w:afterAutospacing="0"/>
              <w:contextualSpacing/>
              <w:rPr>
                <w:rFonts w:asciiTheme="minorHAnsi" w:hAnsiTheme="minorHAnsi" w:cstheme="minorHAnsi"/>
                <w:sz w:val="21"/>
                <w:szCs w:val="21"/>
              </w:rPr>
            </w:pPr>
            <w:r w:rsidRPr="00550627">
              <w:rPr>
                <w:rFonts w:asciiTheme="minorHAnsi" w:hAnsiTheme="minorHAnsi" w:cstheme="minorHAnsi"/>
                <w:sz w:val="21"/>
                <w:szCs w:val="21"/>
              </w:rPr>
              <w:t>Logs of Requests, Acknowledgements and Responses should be maintained in accordance with standard business recordation practices so that they are available to be produced as needed including, but not limited to, for audit purposes by ICANN Compliance;</w:t>
            </w:r>
          </w:p>
          <w:p w14:paraId="448270D9" w14:textId="77777777" w:rsidR="00187BD5" w:rsidRPr="00550627" w:rsidRDefault="00187BD5" w:rsidP="00F8502E">
            <w:pPr>
              <w:pStyle w:val="ListParagraph"/>
              <w:numPr>
                <w:ilvl w:val="0"/>
                <w:numId w:val="42"/>
              </w:numPr>
              <w:autoSpaceDE w:val="0"/>
              <w:autoSpaceDN w:val="0"/>
              <w:adjustRightInd w:val="0"/>
              <w:spacing w:before="0" w:beforeAutospacing="0" w:after="0" w:afterAutospacing="0"/>
              <w:contextualSpacing/>
              <w:rPr>
                <w:rFonts w:asciiTheme="minorHAnsi" w:hAnsiTheme="minorHAnsi" w:cstheme="minorHAnsi"/>
                <w:sz w:val="21"/>
                <w:szCs w:val="21"/>
              </w:rPr>
            </w:pPr>
            <w:r w:rsidRPr="00550627">
              <w:rPr>
                <w:rFonts w:asciiTheme="minorHAnsi" w:hAnsiTheme="minorHAnsi" w:cstheme="minorHAnsi"/>
                <w:sz w:val="21"/>
                <w:szCs w:val="21"/>
              </w:rPr>
              <w:t>Response time for a response to the requestor will occur without undue delay and in any event within [X business] days of receipt of the request. (A finalized time frame to be set during implementation.)</w:t>
            </w:r>
          </w:p>
          <w:p w14:paraId="5B2FFB6A" w14:textId="77777777" w:rsidR="00187BD5" w:rsidRPr="00550627" w:rsidRDefault="00187BD5" w:rsidP="00F8502E">
            <w:pPr>
              <w:pStyle w:val="ListParagraph"/>
              <w:numPr>
                <w:ilvl w:val="0"/>
                <w:numId w:val="42"/>
              </w:numPr>
              <w:autoSpaceDE w:val="0"/>
              <w:autoSpaceDN w:val="0"/>
              <w:adjustRightInd w:val="0"/>
              <w:spacing w:before="0" w:beforeAutospacing="0" w:after="0" w:afterAutospacing="0"/>
              <w:contextualSpacing/>
              <w:rPr>
                <w:rFonts w:asciiTheme="minorHAnsi" w:hAnsiTheme="minorHAnsi" w:cstheme="minorHAnsi"/>
                <w:sz w:val="21"/>
                <w:szCs w:val="21"/>
              </w:rPr>
            </w:pPr>
            <w:r w:rsidRPr="00550627">
              <w:rPr>
                <w:rFonts w:asciiTheme="minorHAnsi" w:hAnsiTheme="minorHAnsi" w:cstheme="minorHAnsi"/>
                <w:sz w:val="21"/>
                <w:szCs w:val="21"/>
              </w:rPr>
              <w:t>A separate timeline of [less than X business days] will considered for the response to ‘Urgent’ Reasonable Disclosure Requests, those Requests for which evidence is supplied to show an immediate need for disclosure [time frame to be finalized and criteria set for Urgent requests during implementation].</w:t>
            </w:r>
          </w:p>
          <w:p w14:paraId="5ACCEF64" w14:textId="77777777" w:rsidR="00187BD5" w:rsidRPr="00550627" w:rsidRDefault="00187BD5" w:rsidP="00F8502E">
            <w:pPr>
              <w:autoSpaceDE w:val="0"/>
              <w:autoSpaceDN w:val="0"/>
              <w:adjustRightInd w:val="0"/>
              <w:rPr>
                <w:rFonts w:asciiTheme="minorHAnsi" w:hAnsiTheme="minorHAnsi" w:cstheme="minorHAnsi"/>
                <w:sz w:val="21"/>
                <w:szCs w:val="21"/>
              </w:rPr>
            </w:pPr>
          </w:p>
          <w:p w14:paraId="0308C006" w14:textId="77777777" w:rsidR="00187BD5" w:rsidRPr="00550627" w:rsidRDefault="00187BD5" w:rsidP="00F8502E">
            <w:pPr>
              <w:autoSpaceDE w:val="0"/>
              <w:autoSpaceDN w:val="0"/>
              <w:adjustRightInd w:val="0"/>
              <w:rPr>
                <w:rFonts w:asciiTheme="minorHAnsi" w:hAnsiTheme="minorHAnsi" w:cstheme="minorHAnsi"/>
                <w:sz w:val="21"/>
                <w:szCs w:val="21"/>
              </w:rPr>
            </w:pPr>
            <w:r w:rsidRPr="00550627">
              <w:rPr>
                <w:rFonts w:asciiTheme="minorHAnsi" w:hAnsiTheme="minorHAnsi" w:cstheme="minorHAnsi"/>
                <w:sz w:val="21"/>
                <w:szCs w:val="21"/>
              </w:rPr>
              <w:t>The EPDP Team recommends that the above be implemented and further work on defining these criteria commences as needed and as soon as possible.</w:t>
            </w:r>
          </w:p>
        </w:tc>
        <w:tc>
          <w:tcPr>
            <w:tcW w:w="1518" w:type="dxa"/>
          </w:tcPr>
          <w:p w14:paraId="01BB60DA" w14:textId="77777777" w:rsidR="00187BD5" w:rsidRPr="00EC108A" w:rsidRDefault="00187BD5" w:rsidP="00F8502E">
            <w:pPr>
              <w:rPr>
                <w:rFonts w:asciiTheme="minorHAnsi" w:hAnsiTheme="minorHAnsi" w:cstheme="minorHAnsi"/>
                <w:sz w:val="21"/>
                <w:szCs w:val="21"/>
              </w:rPr>
            </w:pPr>
          </w:p>
        </w:tc>
        <w:tc>
          <w:tcPr>
            <w:tcW w:w="2000" w:type="dxa"/>
          </w:tcPr>
          <w:p w14:paraId="0C7F474B" w14:textId="77777777" w:rsidR="00187BD5" w:rsidRPr="00E82D1D" w:rsidRDefault="00187BD5" w:rsidP="00F8502E">
            <w:pPr>
              <w:rPr>
                <w:rFonts w:asciiTheme="minorHAnsi" w:hAnsiTheme="minorHAnsi" w:cstheme="minorHAnsi"/>
                <w:sz w:val="21"/>
                <w:szCs w:val="21"/>
              </w:rPr>
            </w:pPr>
            <w:r>
              <w:rPr>
                <w:rFonts w:asciiTheme="minorHAnsi" w:hAnsiTheme="minorHAnsi" w:cstheme="minorHAnsi"/>
                <w:sz w:val="21"/>
                <w:szCs w:val="21"/>
              </w:rPr>
              <w:t xml:space="preserve">Projected: Full consensus / </w:t>
            </w:r>
            <w:proofErr w:type="spellStart"/>
            <w:r>
              <w:rPr>
                <w:rFonts w:asciiTheme="minorHAnsi" w:hAnsiTheme="minorHAnsi" w:cstheme="minorHAnsi"/>
                <w:sz w:val="21"/>
                <w:szCs w:val="21"/>
              </w:rPr>
              <w:t>Consensus</w:t>
            </w:r>
            <w:proofErr w:type="spellEnd"/>
            <w:r>
              <w:rPr>
                <w:rFonts w:asciiTheme="minorHAnsi" w:hAnsiTheme="minorHAnsi" w:cstheme="minorHAnsi"/>
                <w:sz w:val="21"/>
                <w:szCs w:val="21"/>
              </w:rPr>
              <w:t>. Wording developed at 11 Feb meeting. Giving groups some time to review.</w:t>
            </w:r>
          </w:p>
        </w:tc>
      </w:tr>
      <w:tr w:rsidR="00187BD5" w:rsidRPr="00E82D1D" w14:paraId="66E7959F" w14:textId="77777777" w:rsidTr="00F8502E">
        <w:tc>
          <w:tcPr>
            <w:tcW w:w="2180" w:type="dxa"/>
          </w:tcPr>
          <w:p w14:paraId="414941C7" w14:textId="77777777" w:rsidR="00187BD5" w:rsidRPr="00E82D1D" w:rsidRDefault="00187BD5" w:rsidP="00F8502E">
            <w:pPr>
              <w:spacing w:before="6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lastRenderedPageBreak/>
              <w:t xml:space="preserve">Recommendation #28 - </w:t>
            </w:r>
            <w:r w:rsidRPr="00E82D1D">
              <w:rPr>
                <w:rFonts w:asciiTheme="minorHAnsi" w:hAnsiTheme="minorHAnsi" w:cstheme="minorHAnsi"/>
                <w:color w:val="000000" w:themeColor="text1"/>
                <w:sz w:val="21"/>
                <w:szCs w:val="21"/>
              </w:rPr>
              <w:t>Implementation Transition Period</w:t>
            </w:r>
          </w:p>
        </w:tc>
        <w:tc>
          <w:tcPr>
            <w:tcW w:w="7421" w:type="dxa"/>
          </w:tcPr>
          <w:p w14:paraId="326D4F6D" w14:textId="77777777" w:rsidR="00187BD5" w:rsidRPr="00901938" w:rsidRDefault="00187BD5" w:rsidP="00F8502E">
            <w:pPr>
              <w:keepNext/>
              <w:tabs>
                <w:tab w:val="left" w:pos="0"/>
              </w:tabs>
              <w:rPr>
                <w:rFonts w:asciiTheme="minorHAnsi" w:hAnsiTheme="minorHAnsi" w:cstheme="minorHAnsi"/>
                <w:color w:val="000000" w:themeColor="text1"/>
                <w:sz w:val="21"/>
                <w:szCs w:val="21"/>
              </w:rPr>
            </w:pPr>
            <w:r w:rsidRPr="00901938">
              <w:rPr>
                <w:rFonts w:asciiTheme="minorHAnsi" w:hAnsiTheme="minorHAnsi" w:cstheme="minorHAnsi"/>
                <w:color w:val="000000" w:themeColor="text1"/>
                <w:sz w:val="21"/>
                <w:szCs w:val="21"/>
              </w:rPr>
              <w:t xml:space="preserve">The EPDP Team recommends that the effective date of the </w:t>
            </w:r>
            <w:proofErr w:type="spellStart"/>
            <w:r w:rsidRPr="00901938">
              <w:rPr>
                <w:rFonts w:asciiTheme="minorHAnsi" w:hAnsiTheme="minorHAnsi" w:cstheme="minorHAnsi"/>
                <w:color w:val="000000" w:themeColor="text1"/>
                <w:sz w:val="21"/>
                <w:szCs w:val="21"/>
              </w:rPr>
              <w:t>gTLD</w:t>
            </w:r>
            <w:proofErr w:type="spellEnd"/>
            <w:r w:rsidRPr="00901938">
              <w:rPr>
                <w:rFonts w:asciiTheme="minorHAnsi" w:hAnsiTheme="minorHAnsi" w:cstheme="minorHAnsi"/>
                <w:color w:val="000000" w:themeColor="text1"/>
                <w:sz w:val="21"/>
                <w:szCs w:val="21"/>
              </w:rPr>
              <w:t xml:space="preserve"> Registration Data Policy shall be February 29, 2020. All </w:t>
            </w:r>
            <w:proofErr w:type="spellStart"/>
            <w:r w:rsidRPr="00901938">
              <w:rPr>
                <w:rFonts w:asciiTheme="minorHAnsi" w:hAnsiTheme="minorHAnsi" w:cstheme="minorHAnsi"/>
                <w:color w:val="000000" w:themeColor="text1"/>
                <w:sz w:val="21"/>
                <w:szCs w:val="21"/>
              </w:rPr>
              <w:t>gTLD</w:t>
            </w:r>
            <w:proofErr w:type="spellEnd"/>
            <w:r w:rsidRPr="00901938">
              <w:rPr>
                <w:rFonts w:asciiTheme="minorHAnsi" w:hAnsiTheme="minorHAnsi" w:cstheme="minorHAnsi"/>
                <w:color w:val="000000" w:themeColor="text1"/>
                <w:sz w:val="21"/>
                <w:szCs w:val="21"/>
              </w:rPr>
              <w:t xml:space="preserve"> Registry Operators and ICANN-accredited registrars will be required to comply with the </w:t>
            </w:r>
            <w:proofErr w:type="spellStart"/>
            <w:r w:rsidRPr="00901938">
              <w:rPr>
                <w:rFonts w:asciiTheme="minorHAnsi" w:hAnsiTheme="minorHAnsi" w:cstheme="minorHAnsi"/>
                <w:color w:val="000000" w:themeColor="text1"/>
                <w:sz w:val="21"/>
                <w:szCs w:val="21"/>
              </w:rPr>
              <w:t>gTLD</w:t>
            </w:r>
            <w:proofErr w:type="spellEnd"/>
            <w:r w:rsidRPr="00901938">
              <w:rPr>
                <w:rFonts w:asciiTheme="minorHAnsi" w:hAnsiTheme="minorHAnsi" w:cstheme="minorHAnsi"/>
                <w:color w:val="000000" w:themeColor="text1"/>
                <w:sz w:val="21"/>
                <w:szCs w:val="21"/>
              </w:rPr>
              <w:t xml:space="preserve"> Registration Data Policy as of that date. The EPDP Team recommends that until February 29, 2020, registries and registrars are required EITHER to comply with this </w:t>
            </w:r>
            <w:proofErr w:type="spellStart"/>
            <w:r w:rsidRPr="00901938">
              <w:rPr>
                <w:rFonts w:asciiTheme="minorHAnsi" w:hAnsiTheme="minorHAnsi" w:cstheme="minorHAnsi"/>
                <w:color w:val="000000" w:themeColor="text1"/>
                <w:sz w:val="21"/>
                <w:szCs w:val="21"/>
              </w:rPr>
              <w:t>gTLD</w:t>
            </w:r>
            <w:proofErr w:type="spellEnd"/>
            <w:r w:rsidRPr="00901938">
              <w:rPr>
                <w:rFonts w:asciiTheme="minorHAnsi" w:hAnsiTheme="minorHAnsi" w:cstheme="minorHAnsi"/>
                <w:color w:val="000000" w:themeColor="text1"/>
                <w:sz w:val="21"/>
                <w:szCs w:val="21"/>
              </w:rPr>
              <w:t xml:space="preserve"> Registration Data </w:t>
            </w:r>
            <w:r w:rsidRPr="00901938">
              <w:rPr>
                <w:rFonts w:asciiTheme="minorHAnsi" w:hAnsiTheme="minorHAnsi" w:cstheme="minorHAnsi"/>
                <w:sz w:val="21"/>
                <w:szCs w:val="21"/>
              </w:rPr>
              <w:t xml:space="preserve">Policy OR continue to implement measures consistent with the Temporary Specification (as adopted by the ICANN Board on 17 May 2018, and expired on 25 May 2019). Registries and registrars who continue to implement measures compliant with the expired </w:t>
            </w:r>
            <w:r w:rsidRPr="00901938">
              <w:rPr>
                <w:rFonts w:asciiTheme="minorHAnsi" w:hAnsiTheme="minorHAnsi" w:cstheme="minorHAnsi"/>
                <w:color w:val="000000" w:themeColor="text1"/>
                <w:sz w:val="21"/>
                <w:szCs w:val="21"/>
              </w:rPr>
              <w:t>Temporary Specification will not be subject to</w:t>
            </w:r>
            <w:r>
              <w:rPr>
                <w:rFonts w:asciiTheme="minorHAnsi" w:hAnsiTheme="minorHAnsi" w:cstheme="minorHAnsi"/>
                <w:color w:val="000000" w:themeColor="text1"/>
                <w:sz w:val="21"/>
                <w:szCs w:val="21"/>
              </w:rPr>
              <w:t xml:space="preserve"> Compliance penalty </w:t>
            </w:r>
            <w:r w:rsidRPr="00901938">
              <w:rPr>
                <w:rFonts w:asciiTheme="minorHAnsi" w:hAnsiTheme="minorHAnsi" w:cstheme="minorHAnsi"/>
                <w:color w:val="000000" w:themeColor="text1"/>
                <w:sz w:val="21"/>
                <w:szCs w:val="21"/>
              </w:rPr>
              <w:t>specifically related to those measures until February 29, 2020.</w:t>
            </w:r>
          </w:p>
          <w:p w14:paraId="268CE429" w14:textId="77777777" w:rsidR="00187BD5" w:rsidRDefault="00187BD5" w:rsidP="00F8502E">
            <w:pPr>
              <w:rPr>
                <w:rFonts w:asciiTheme="minorHAnsi" w:hAnsiTheme="minorHAnsi" w:cstheme="minorHAnsi"/>
                <w:color w:val="000000"/>
                <w:sz w:val="21"/>
                <w:szCs w:val="21"/>
              </w:rPr>
            </w:pPr>
          </w:p>
          <w:p w14:paraId="0619D164" w14:textId="77777777" w:rsidR="00187BD5" w:rsidRPr="00901938" w:rsidRDefault="00187BD5" w:rsidP="00F8502E">
            <w:pPr>
              <w:rPr>
                <w:rFonts w:asciiTheme="minorHAnsi" w:hAnsiTheme="minorHAnsi" w:cstheme="minorHAnsi"/>
                <w:b/>
                <w:sz w:val="21"/>
                <w:szCs w:val="21"/>
              </w:rPr>
            </w:pPr>
            <w:r w:rsidRPr="00901938">
              <w:rPr>
                <w:rFonts w:asciiTheme="minorHAnsi" w:hAnsiTheme="minorHAnsi" w:cstheme="minorHAnsi"/>
                <w:color w:val="000000"/>
                <w:sz w:val="21"/>
                <w:szCs w:val="21"/>
              </w:rPr>
              <w:t>The EPDP Team furthermore recommends that, as a matter of urgency, the GNSO Council and ICANN Org, informally convene the Implementation Review Team to allow for the necessary planning to take place before ICANN Board consideration of this Final Report, following which the IRT would be formally convened.</w:t>
            </w:r>
            <w:r w:rsidRPr="00901938">
              <w:rPr>
                <w:rStyle w:val="apple-converted-space"/>
                <w:rFonts w:asciiTheme="minorHAnsi" w:eastAsiaTheme="majorEastAsia" w:hAnsiTheme="minorHAnsi" w:cstheme="minorHAnsi"/>
                <w:color w:val="000000"/>
                <w:sz w:val="21"/>
                <w:szCs w:val="21"/>
              </w:rPr>
              <w:t> </w:t>
            </w:r>
          </w:p>
        </w:tc>
        <w:tc>
          <w:tcPr>
            <w:tcW w:w="1518" w:type="dxa"/>
          </w:tcPr>
          <w:p w14:paraId="27828A4C" w14:textId="77777777" w:rsidR="00187BD5" w:rsidRPr="00E82D1D" w:rsidRDefault="00187BD5" w:rsidP="00F8502E">
            <w:pPr>
              <w:jc w:val="center"/>
              <w:rPr>
                <w:rFonts w:asciiTheme="minorHAnsi" w:hAnsiTheme="minorHAnsi" w:cstheme="minorHAnsi"/>
                <w:b/>
                <w:sz w:val="21"/>
                <w:szCs w:val="21"/>
              </w:rPr>
            </w:pPr>
          </w:p>
        </w:tc>
        <w:tc>
          <w:tcPr>
            <w:tcW w:w="2000" w:type="dxa"/>
          </w:tcPr>
          <w:p w14:paraId="56005C73" w14:textId="67CBC77B" w:rsidR="00187BD5" w:rsidRPr="00E82D1D" w:rsidRDefault="00187BD5" w:rsidP="00F8502E">
            <w:pPr>
              <w:rPr>
                <w:rFonts w:asciiTheme="minorHAnsi" w:hAnsiTheme="minorHAnsi" w:cstheme="minorHAnsi"/>
                <w:sz w:val="21"/>
                <w:szCs w:val="21"/>
              </w:rPr>
            </w:pPr>
            <w:r>
              <w:rPr>
                <w:rFonts w:asciiTheme="minorHAnsi" w:hAnsiTheme="minorHAnsi" w:cstheme="minorHAnsi"/>
                <w:color w:val="000000" w:themeColor="text1"/>
                <w:sz w:val="21"/>
                <w:szCs w:val="21"/>
              </w:rPr>
              <w:t xml:space="preserve">Projected: Full Consensus / </w:t>
            </w:r>
            <w:proofErr w:type="spellStart"/>
            <w:r>
              <w:rPr>
                <w:rFonts w:asciiTheme="minorHAnsi" w:hAnsiTheme="minorHAnsi" w:cstheme="minorHAnsi"/>
                <w:color w:val="000000" w:themeColor="text1"/>
                <w:sz w:val="21"/>
                <w:szCs w:val="21"/>
              </w:rPr>
              <w:t>Consensus</w:t>
            </w:r>
            <w:proofErr w:type="spellEnd"/>
            <w:r>
              <w:rPr>
                <w:rFonts w:asciiTheme="minorHAnsi" w:hAnsiTheme="minorHAnsi" w:cstheme="minorHAnsi"/>
                <w:color w:val="000000" w:themeColor="text1"/>
                <w:sz w:val="21"/>
                <w:szCs w:val="21"/>
              </w:rPr>
              <w:t>. Waiting for some groups to discuss internally.</w:t>
            </w:r>
          </w:p>
        </w:tc>
      </w:tr>
    </w:tbl>
    <w:p w14:paraId="663A1253" w14:textId="77777777" w:rsidR="00187BD5" w:rsidRDefault="00187BD5"/>
    <w:p w14:paraId="26E4E6A8" w14:textId="5D63D98A" w:rsidR="00E13ABC" w:rsidRPr="009D2E95" w:rsidRDefault="00E13ABC" w:rsidP="00E13ABC">
      <w:pPr>
        <w:rPr>
          <w:rFonts w:asciiTheme="minorHAnsi" w:hAnsiTheme="minorHAnsi" w:cstheme="minorHAnsi"/>
          <w:b/>
          <w:sz w:val="22"/>
          <w:szCs w:val="22"/>
        </w:rPr>
      </w:pPr>
      <w:r>
        <w:rPr>
          <w:rFonts w:asciiTheme="minorHAnsi" w:hAnsiTheme="minorHAnsi" w:cstheme="minorHAnsi"/>
          <w:b/>
          <w:sz w:val="22"/>
          <w:szCs w:val="22"/>
        </w:rPr>
        <w:t xml:space="preserve">For Reference: </w:t>
      </w:r>
      <w:r w:rsidRPr="009D2E95">
        <w:rPr>
          <w:rFonts w:asciiTheme="minorHAnsi" w:hAnsiTheme="minorHAnsi" w:cstheme="minorHAnsi"/>
          <w:b/>
          <w:sz w:val="22"/>
          <w:szCs w:val="22"/>
        </w:rPr>
        <w:t xml:space="preserve">GNSO WG Guidelines – SECTION </w:t>
      </w:r>
      <w:r w:rsidRPr="009D2E95">
        <w:rPr>
          <w:rFonts w:asciiTheme="minorHAnsi" w:hAnsiTheme="minorHAnsi" w:cstheme="minorHAnsi"/>
          <w:b/>
          <w:bCs/>
          <w:sz w:val="22"/>
          <w:szCs w:val="22"/>
        </w:rPr>
        <w:t>3.6 Standard Methodology for Making Decisions:</w:t>
      </w:r>
    </w:p>
    <w:p w14:paraId="367187FC" w14:textId="77777777" w:rsidR="00E13ABC" w:rsidRPr="009D2E95" w:rsidRDefault="00E13ABC" w:rsidP="00E13ABC">
      <w:pPr>
        <w:rPr>
          <w:rFonts w:asciiTheme="minorHAnsi" w:hAnsiTheme="minorHAnsi" w:cstheme="minorHAnsi"/>
          <w:b/>
          <w:sz w:val="22"/>
          <w:szCs w:val="22"/>
        </w:rPr>
      </w:pPr>
    </w:p>
    <w:p w14:paraId="3C7A96EE" w14:textId="77777777" w:rsidR="00E13ABC" w:rsidRPr="009D2E95" w:rsidRDefault="00E13ABC" w:rsidP="00E13ABC">
      <w:pPr>
        <w:pStyle w:val="Default0"/>
        <w:rPr>
          <w:rFonts w:asciiTheme="minorHAnsi" w:hAnsiTheme="minorHAnsi" w:cstheme="minorHAnsi"/>
          <w:sz w:val="22"/>
          <w:szCs w:val="22"/>
        </w:rPr>
      </w:pPr>
      <w:r w:rsidRPr="009D2E95">
        <w:rPr>
          <w:rFonts w:asciiTheme="minorHAnsi" w:hAnsiTheme="minorHAnsi" w:cstheme="minorHAnsi"/>
          <w:sz w:val="22"/>
          <w:szCs w:val="22"/>
        </w:rPr>
        <w:t>The Chair will be responsible for designating each position as having one of the following designations:</w:t>
      </w:r>
      <w:r w:rsidRPr="009D2E95">
        <w:rPr>
          <w:rStyle w:val="FootnoteReference"/>
          <w:rFonts w:asciiTheme="minorHAnsi" w:hAnsiTheme="minorHAnsi" w:cstheme="minorHAnsi"/>
          <w:sz w:val="22"/>
          <w:szCs w:val="22"/>
        </w:rPr>
        <w:footnoteReference w:id="1"/>
      </w:r>
    </w:p>
    <w:p w14:paraId="45FCEDC5" w14:textId="77777777" w:rsidR="00E13ABC" w:rsidRPr="009D2E95" w:rsidRDefault="00E13ABC" w:rsidP="00E13ABC">
      <w:pPr>
        <w:pStyle w:val="Default0"/>
        <w:rPr>
          <w:rFonts w:asciiTheme="minorHAnsi" w:hAnsiTheme="minorHAnsi" w:cstheme="minorHAnsi"/>
          <w:sz w:val="22"/>
          <w:szCs w:val="22"/>
        </w:rPr>
      </w:pPr>
      <w:r w:rsidRPr="009D2E95">
        <w:rPr>
          <w:rFonts w:asciiTheme="minorHAnsi" w:hAnsiTheme="minorHAnsi" w:cstheme="minorHAnsi"/>
          <w:sz w:val="22"/>
          <w:szCs w:val="22"/>
        </w:rPr>
        <w:t xml:space="preserve"> </w:t>
      </w:r>
    </w:p>
    <w:p w14:paraId="133A7915" w14:textId="77777777" w:rsidR="00E13ABC" w:rsidRPr="00F5175E" w:rsidRDefault="00E13ABC" w:rsidP="00E13ABC">
      <w:pPr>
        <w:pStyle w:val="Default0"/>
        <w:numPr>
          <w:ilvl w:val="1"/>
          <w:numId w:val="22"/>
        </w:numPr>
        <w:spacing w:after="141"/>
        <w:rPr>
          <w:rFonts w:asciiTheme="minorHAnsi" w:hAnsiTheme="minorHAnsi" w:cstheme="minorHAnsi"/>
          <w:sz w:val="22"/>
          <w:szCs w:val="22"/>
        </w:rPr>
      </w:pPr>
      <w:r w:rsidRPr="009D2E95">
        <w:rPr>
          <w:rFonts w:asciiTheme="minorHAnsi" w:hAnsiTheme="minorHAnsi" w:cstheme="minorHAnsi"/>
          <w:b/>
          <w:bCs/>
          <w:sz w:val="22"/>
          <w:szCs w:val="22"/>
        </w:rPr>
        <w:t xml:space="preserve">Full consensus </w:t>
      </w:r>
      <w:r w:rsidRPr="009D2E95">
        <w:rPr>
          <w:rFonts w:asciiTheme="minorHAnsi" w:hAnsiTheme="minorHAnsi" w:cstheme="minorHAnsi"/>
          <w:sz w:val="22"/>
          <w:szCs w:val="22"/>
        </w:rPr>
        <w:t xml:space="preserve">- when no one in the group speaks against the recommendation in its last readings. This is also sometimes referred to as </w:t>
      </w:r>
      <w:r w:rsidRPr="009D2E95">
        <w:rPr>
          <w:rFonts w:asciiTheme="minorHAnsi" w:hAnsiTheme="minorHAnsi" w:cstheme="minorHAnsi"/>
          <w:b/>
          <w:bCs/>
          <w:sz w:val="22"/>
          <w:szCs w:val="22"/>
        </w:rPr>
        <w:t xml:space="preserve">Unanimous Consensus. </w:t>
      </w:r>
    </w:p>
    <w:p w14:paraId="4543DE4A" w14:textId="77777777" w:rsidR="00E13ABC" w:rsidRPr="009D2E95" w:rsidRDefault="00E13ABC" w:rsidP="00E13ABC">
      <w:pPr>
        <w:pStyle w:val="Default0"/>
        <w:numPr>
          <w:ilvl w:val="1"/>
          <w:numId w:val="22"/>
        </w:numPr>
        <w:spacing w:after="141"/>
        <w:rPr>
          <w:rFonts w:asciiTheme="minorHAnsi" w:hAnsiTheme="minorHAnsi" w:cstheme="minorHAnsi"/>
          <w:sz w:val="22"/>
          <w:szCs w:val="22"/>
        </w:rPr>
      </w:pPr>
      <w:r w:rsidRPr="009D2E95">
        <w:rPr>
          <w:rFonts w:asciiTheme="minorHAnsi" w:hAnsiTheme="minorHAnsi" w:cstheme="minorHAnsi"/>
          <w:b/>
          <w:bCs/>
          <w:sz w:val="22"/>
          <w:szCs w:val="22"/>
        </w:rPr>
        <w:t xml:space="preserve">Consensus </w:t>
      </w:r>
      <w:r w:rsidRPr="009D2E95">
        <w:rPr>
          <w:rFonts w:asciiTheme="minorHAnsi" w:hAnsiTheme="minorHAnsi" w:cstheme="minorHAnsi"/>
          <w:sz w:val="22"/>
          <w:szCs w:val="22"/>
        </w:rPr>
        <w:t>- a position where only a small minority disagrees, but most agree.</w:t>
      </w:r>
      <w:r w:rsidRPr="009D2E95">
        <w:rPr>
          <w:rStyle w:val="FootnoteReference"/>
          <w:rFonts w:asciiTheme="minorHAnsi" w:hAnsiTheme="minorHAnsi" w:cstheme="minorHAnsi"/>
          <w:sz w:val="22"/>
          <w:szCs w:val="22"/>
        </w:rPr>
        <w:footnoteReference w:id="2"/>
      </w:r>
      <w:r w:rsidRPr="009D2E95">
        <w:rPr>
          <w:rFonts w:asciiTheme="minorHAnsi" w:hAnsiTheme="minorHAnsi" w:cstheme="minorHAnsi"/>
          <w:sz w:val="22"/>
          <w:szCs w:val="22"/>
        </w:rPr>
        <w:t xml:space="preserve"> </w:t>
      </w:r>
    </w:p>
    <w:p w14:paraId="57B3978C" w14:textId="77777777" w:rsidR="00E13ABC" w:rsidRPr="009D2E95" w:rsidRDefault="00E13ABC" w:rsidP="00E13ABC">
      <w:pPr>
        <w:pStyle w:val="Default0"/>
        <w:numPr>
          <w:ilvl w:val="1"/>
          <w:numId w:val="22"/>
        </w:numPr>
        <w:spacing w:after="141"/>
        <w:rPr>
          <w:rFonts w:asciiTheme="minorHAnsi" w:hAnsiTheme="minorHAnsi" w:cstheme="minorHAnsi"/>
          <w:sz w:val="22"/>
          <w:szCs w:val="22"/>
        </w:rPr>
      </w:pPr>
      <w:r w:rsidRPr="009D2E95">
        <w:rPr>
          <w:rFonts w:asciiTheme="minorHAnsi" w:hAnsiTheme="minorHAnsi" w:cstheme="minorHAnsi"/>
          <w:b/>
          <w:bCs/>
          <w:sz w:val="22"/>
          <w:szCs w:val="22"/>
        </w:rPr>
        <w:t xml:space="preserve">Strong support but significant opposition </w:t>
      </w:r>
      <w:r w:rsidRPr="009D2E95">
        <w:rPr>
          <w:rFonts w:asciiTheme="minorHAnsi" w:hAnsiTheme="minorHAnsi" w:cstheme="minorHAnsi"/>
          <w:sz w:val="22"/>
          <w:szCs w:val="22"/>
        </w:rPr>
        <w:t xml:space="preserve">- a position where, while most of the group supports a recommendation, there are a significant number of those who do not support it. </w:t>
      </w:r>
    </w:p>
    <w:p w14:paraId="1FC9A775" w14:textId="77777777" w:rsidR="00E13ABC" w:rsidRPr="009D2E95" w:rsidRDefault="00E13ABC" w:rsidP="00E13ABC">
      <w:pPr>
        <w:pStyle w:val="Default0"/>
        <w:numPr>
          <w:ilvl w:val="1"/>
          <w:numId w:val="22"/>
        </w:numPr>
        <w:spacing w:after="141"/>
        <w:rPr>
          <w:rFonts w:asciiTheme="minorHAnsi" w:hAnsiTheme="minorHAnsi" w:cstheme="minorHAnsi"/>
          <w:sz w:val="22"/>
          <w:szCs w:val="22"/>
        </w:rPr>
      </w:pPr>
      <w:r w:rsidRPr="009D2E95">
        <w:rPr>
          <w:rFonts w:asciiTheme="minorHAnsi" w:hAnsiTheme="minorHAnsi" w:cstheme="minorHAnsi"/>
          <w:b/>
          <w:bCs/>
          <w:sz w:val="22"/>
          <w:szCs w:val="22"/>
        </w:rPr>
        <w:t xml:space="preserve">Divergence </w:t>
      </w:r>
      <w:r w:rsidRPr="009D2E95">
        <w:rPr>
          <w:rFonts w:asciiTheme="minorHAnsi" w:hAnsiTheme="minorHAnsi" w:cstheme="minorHAnsi"/>
          <w:sz w:val="22"/>
          <w:szCs w:val="22"/>
        </w:rPr>
        <w:t xml:space="preserve">(also referred to as </w:t>
      </w:r>
      <w:r w:rsidRPr="009D2E95">
        <w:rPr>
          <w:rFonts w:asciiTheme="minorHAnsi" w:hAnsiTheme="minorHAnsi" w:cstheme="minorHAnsi"/>
          <w:b/>
          <w:bCs/>
          <w:sz w:val="22"/>
          <w:szCs w:val="22"/>
        </w:rPr>
        <w:t>No Consensus</w:t>
      </w:r>
      <w:r w:rsidRPr="009D2E95">
        <w:rPr>
          <w:rFonts w:asciiTheme="minorHAnsi" w:hAnsiTheme="minorHAnsi" w:cstheme="minorHAnsi"/>
          <w:sz w:val="22"/>
          <w:szCs w:val="22"/>
        </w:rPr>
        <w:t xml:space="preserve">) - a position where there isn't strong support for any particular position, but many different points of view. Sometimes this is due to irreconcilable differences of opinion and sometimes it is due to the fact that no one has a particularly strong or convincing viewpoint, but the members of the group agree that it is worth listing the issue in the report nonetheless. </w:t>
      </w:r>
    </w:p>
    <w:p w14:paraId="162A05EE" w14:textId="77777777" w:rsidR="00E13ABC" w:rsidRPr="009D2E95" w:rsidRDefault="00E13ABC" w:rsidP="00E13ABC">
      <w:pPr>
        <w:pStyle w:val="Default0"/>
        <w:numPr>
          <w:ilvl w:val="1"/>
          <w:numId w:val="22"/>
        </w:numPr>
        <w:spacing w:after="141"/>
        <w:rPr>
          <w:rFonts w:asciiTheme="minorHAnsi" w:hAnsiTheme="minorHAnsi" w:cstheme="minorHAnsi"/>
          <w:sz w:val="22"/>
          <w:szCs w:val="22"/>
        </w:rPr>
      </w:pPr>
      <w:r w:rsidRPr="009D2E95">
        <w:rPr>
          <w:rFonts w:asciiTheme="minorHAnsi" w:hAnsiTheme="minorHAnsi" w:cstheme="minorHAnsi"/>
          <w:b/>
          <w:bCs/>
          <w:sz w:val="22"/>
          <w:szCs w:val="22"/>
        </w:rPr>
        <w:t xml:space="preserve">Minority View </w:t>
      </w:r>
      <w:r w:rsidRPr="009D2E95">
        <w:rPr>
          <w:rFonts w:asciiTheme="minorHAnsi" w:hAnsiTheme="minorHAnsi" w:cstheme="minorHAnsi"/>
          <w:sz w:val="22"/>
          <w:szCs w:val="22"/>
        </w:rPr>
        <w:t xml:space="preserve">- refers to a proposal where a small number of people support the recommendation. This can happen in response to a </w:t>
      </w:r>
      <w:r w:rsidRPr="009D2E95">
        <w:rPr>
          <w:rFonts w:asciiTheme="minorHAnsi" w:hAnsiTheme="minorHAnsi" w:cstheme="minorHAnsi"/>
          <w:b/>
          <w:bCs/>
          <w:sz w:val="22"/>
          <w:szCs w:val="22"/>
        </w:rPr>
        <w:t>Consensus</w:t>
      </w:r>
      <w:r w:rsidRPr="009D2E95">
        <w:rPr>
          <w:rFonts w:asciiTheme="minorHAnsi" w:hAnsiTheme="minorHAnsi" w:cstheme="minorHAnsi"/>
          <w:sz w:val="22"/>
          <w:szCs w:val="22"/>
        </w:rPr>
        <w:t xml:space="preserve">, </w:t>
      </w:r>
      <w:r w:rsidRPr="009D2E95">
        <w:rPr>
          <w:rFonts w:asciiTheme="minorHAnsi" w:hAnsiTheme="minorHAnsi" w:cstheme="minorHAnsi"/>
          <w:b/>
          <w:bCs/>
          <w:sz w:val="22"/>
          <w:szCs w:val="22"/>
        </w:rPr>
        <w:t>Strong support but significant opposition</w:t>
      </w:r>
      <w:r w:rsidRPr="009D2E95">
        <w:rPr>
          <w:rFonts w:asciiTheme="minorHAnsi" w:hAnsiTheme="minorHAnsi" w:cstheme="minorHAnsi"/>
          <w:sz w:val="22"/>
          <w:szCs w:val="22"/>
        </w:rPr>
        <w:t xml:space="preserve">, and </w:t>
      </w:r>
      <w:r w:rsidRPr="009D2E95">
        <w:rPr>
          <w:rFonts w:asciiTheme="minorHAnsi" w:hAnsiTheme="minorHAnsi" w:cstheme="minorHAnsi"/>
          <w:b/>
          <w:bCs/>
          <w:sz w:val="22"/>
          <w:szCs w:val="22"/>
        </w:rPr>
        <w:t xml:space="preserve">No Consensus; </w:t>
      </w:r>
      <w:r w:rsidRPr="009D2E95">
        <w:rPr>
          <w:rFonts w:asciiTheme="minorHAnsi" w:hAnsiTheme="minorHAnsi" w:cstheme="minorHAnsi"/>
          <w:sz w:val="22"/>
          <w:szCs w:val="22"/>
        </w:rPr>
        <w:t xml:space="preserve">or, it can happen in cases where there is neither support nor opposition to a suggestion made by a small number of individuals. </w:t>
      </w:r>
    </w:p>
    <w:p w14:paraId="65322771" w14:textId="77777777" w:rsidR="00E13ABC" w:rsidRPr="009D2E95" w:rsidRDefault="00E13ABC" w:rsidP="00E13ABC">
      <w:pPr>
        <w:numPr>
          <w:ilvl w:val="1"/>
          <w:numId w:val="23"/>
        </w:numPr>
        <w:autoSpaceDE w:val="0"/>
        <w:autoSpaceDN w:val="0"/>
        <w:adjustRightInd w:val="0"/>
        <w:rPr>
          <w:rFonts w:asciiTheme="minorHAnsi" w:eastAsiaTheme="minorHAnsi" w:hAnsiTheme="minorHAnsi" w:cstheme="minorHAnsi"/>
          <w:color w:val="000000"/>
          <w:sz w:val="22"/>
          <w:szCs w:val="22"/>
        </w:rPr>
      </w:pPr>
    </w:p>
    <w:p w14:paraId="50200BCB" w14:textId="77777777" w:rsidR="00E13ABC" w:rsidRPr="009D2E95" w:rsidRDefault="00E13ABC" w:rsidP="00E13ABC">
      <w:pPr>
        <w:autoSpaceDE w:val="0"/>
        <w:autoSpaceDN w:val="0"/>
        <w:adjustRightInd w:val="0"/>
        <w:rPr>
          <w:rFonts w:asciiTheme="minorHAnsi" w:eastAsiaTheme="minorHAnsi" w:hAnsiTheme="minorHAnsi" w:cstheme="minorHAnsi"/>
          <w:color w:val="000000"/>
          <w:sz w:val="22"/>
          <w:szCs w:val="22"/>
        </w:rPr>
      </w:pPr>
      <w:r w:rsidRPr="009D2E95">
        <w:rPr>
          <w:rFonts w:asciiTheme="minorHAnsi" w:eastAsiaTheme="minorHAnsi" w:hAnsiTheme="minorHAnsi" w:cstheme="minorHAnsi"/>
          <w:color w:val="000000"/>
          <w:sz w:val="22"/>
          <w:szCs w:val="22"/>
        </w:rPr>
        <w:t xml:space="preserve">In cases of </w:t>
      </w:r>
      <w:r w:rsidRPr="009D2E95">
        <w:rPr>
          <w:rFonts w:asciiTheme="minorHAnsi" w:eastAsiaTheme="minorHAnsi" w:hAnsiTheme="minorHAnsi" w:cstheme="minorHAnsi"/>
          <w:b/>
          <w:bCs/>
          <w:color w:val="000000"/>
          <w:sz w:val="22"/>
          <w:szCs w:val="22"/>
        </w:rPr>
        <w:t>Consensus</w:t>
      </w:r>
      <w:r w:rsidRPr="009D2E95">
        <w:rPr>
          <w:rFonts w:asciiTheme="minorHAnsi" w:eastAsiaTheme="minorHAnsi" w:hAnsiTheme="minorHAnsi" w:cstheme="minorHAnsi"/>
          <w:color w:val="000000"/>
          <w:sz w:val="22"/>
          <w:szCs w:val="22"/>
        </w:rPr>
        <w:t xml:space="preserve">, </w:t>
      </w:r>
      <w:r w:rsidRPr="009D2E95">
        <w:rPr>
          <w:rFonts w:asciiTheme="minorHAnsi" w:eastAsiaTheme="minorHAnsi" w:hAnsiTheme="minorHAnsi" w:cstheme="minorHAnsi"/>
          <w:b/>
          <w:bCs/>
          <w:color w:val="000000"/>
          <w:sz w:val="22"/>
          <w:szCs w:val="22"/>
        </w:rPr>
        <w:t>Strong support but significant opposition</w:t>
      </w:r>
      <w:r w:rsidRPr="009D2E95">
        <w:rPr>
          <w:rFonts w:asciiTheme="minorHAnsi" w:eastAsiaTheme="minorHAnsi" w:hAnsiTheme="minorHAnsi" w:cstheme="minorHAnsi"/>
          <w:color w:val="000000"/>
          <w:sz w:val="22"/>
          <w:szCs w:val="22"/>
        </w:rPr>
        <w:t xml:space="preserve">, and </w:t>
      </w:r>
      <w:r w:rsidRPr="009D2E95">
        <w:rPr>
          <w:rFonts w:asciiTheme="minorHAnsi" w:eastAsiaTheme="minorHAnsi" w:hAnsiTheme="minorHAnsi" w:cstheme="minorHAnsi"/>
          <w:b/>
          <w:bCs/>
          <w:color w:val="000000"/>
          <w:sz w:val="22"/>
          <w:szCs w:val="22"/>
        </w:rPr>
        <w:t>No Consensus</w:t>
      </w:r>
      <w:r w:rsidRPr="009D2E95">
        <w:rPr>
          <w:rFonts w:asciiTheme="minorHAnsi" w:eastAsiaTheme="minorHAnsi" w:hAnsiTheme="minorHAnsi" w:cstheme="minorHAnsi"/>
          <w:color w:val="000000"/>
          <w:sz w:val="22"/>
          <w:szCs w:val="22"/>
        </w:rPr>
        <w:t xml:space="preserve">, an effort should be made to document that variance in viewpoint and to present any </w:t>
      </w:r>
      <w:r w:rsidRPr="009D2E95">
        <w:rPr>
          <w:rFonts w:asciiTheme="minorHAnsi" w:eastAsiaTheme="minorHAnsi" w:hAnsiTheme="minorHAnsi" w:cstheme="minorHAnsi"/>
          <w:b/>
          <w:bCs/>
          <w:color w:val="000000"/>
          <w:sz w:val="22"/>
          <w:szCs w:val="22"/>
        </w:rPr>
        <w:t xml:space="preserve">Minority View </w:t>
      </w:r>
      <w:r w:rsidRPr="009D2E95">
        <w:rPr>
          <w:rFonts w:asciiTheme="minorHAnsi" w:eastAsiaTheme="minorHAnsi" w:hAnsiTheme="minorHAnsi" w:cstheme="minorHAnsi"/>
          <w:color w:val="000000"/>
          <w:sz w:val="22"/>
          <w:szCs w:val="22"/>
        </w:rPr>
        <w:t xml:space="preserve">recommendations that may have been made. Documentation of </w:t>
      </w:r>
      <w:r w:rsidRPr="009D2E95">
        <w:rPr>
          <w:rFonts w:asciiTheme="minorHAnsi" w:eastAsiaTheme="minorHAnsi" w:hAnsiTheme="minorHAnsi" w:cstheme="minorHAnsi"/>
          <w:b/>
          <w:bCs/>
          <w:color w:val="000000"/>
          <w:sz w:val="22"/>
          <w:szCs w:val="22"/>
        </w:rPr>
        <w:t xml:space="preserve">Minority View </w:t>
      </w:r>
      <w:r w:rsidRPr="009D2E95">
        <w:rPr>
          <w:rFonts w:asciiTheme="minorHAnsi" w:eastAsiaTheme="minorHAnsi" w:hAnsiTheme="minorHAnsi" w:cstheme="minorHAnsi"/>
          <w:color w:val="000000"/>
          <w:sz w:val="22"/>
          <w:szCs w:val="22"/>
        </w:rPr>
        <w:t xml:space="preserve">recommendations normally depends on text offered by the proponent(s). In all cases of </w:t>
      </w:r>
      <w:r w:rsidRPr="009D2E95">
        <w:rPr>
          <w:rFonts w:asciiTheme="minorHAnsi" w:eastAsiaTheme="minorHAnsi" w:hAnsiTheme="minorHAnsi" w:cstheme="minorHAnsi"/>
          <w:b/>
          <w:bCs/>
          <w:color w:val="000000"/>
          <w:sz w:val="22"/>
          <w:szCs w:val="22"/>
        </w:rPr>
        <w:t xml:space="preserve">Divergence, </w:t>
      </w:r>
      <w:r w:rsidRPr="009D2E95">
        <w:rPr>
          <w:rFonts w:asciiTheme="minorHAnsi" w:eastAsiaTheme="minorHAnsi" w:hAnsiTheme="minorHAnsi" w:cstheme="minorHAnsi"/>
          <w:color w:val="000000"/>
          <w:sz w:val="22"/>
          <w:szCs w:val="22"/>
        </w:rPr>
        <w:t xml:space="preserve">the WG Chair should encourage the submission of minority viewpoint(s). </w:t>
      </w:r>
    </w:p>
    <w:p w14:paraId="78713A3E" w14:textId="77777777" w:rsidR="00E13ABC" w:rsidRPr="009D2E95" w:rsidRDefault="00E13ABC" w:rsidP="00E13ABC">
      <w:pPr>
        <w:autoSpaceDE w:val="0"/>
        <w:autoSpaceDN w:val="0"/>
        <w:adjustRightInd w:val="0"/>
        <w:rPr>
          <w:rFonts w:asciiTheme="minorHAnsi" w:eastAsiaTheme="minorHAnsi" w:hAnsiTheme="minorHAnsi" w:cstheme="minorHAnsi"/>
          <w:color w:val="000000"/>
          <w:sz w:val="22"/>
          <w:szCs w:val="22"/>
        </w:rPr>
      </w:pPr>
    </w:p>
    <w:p w14:paraId="0A9B2FA8" w14:textId="77777777" w:rsidR="00E13ABC" w:rsidRDefault="00E13ABC" w:rsidP="00E13ABC">
      <w:pPr>
        <w:autoSpaceDE w:val="0"/>
        <w:autoSpaceDN w:val="0"/>
        <w:adjustRightInd w:val="0"/>
        <w:rPr>
          <w:rFonts w:asciiTheme="minorHAnsi" w:eastAsiaTheme="minorHAnsi" w:hAnsiTheme="minorHAnsi" w:cstheme="minorHAnsi"/>
          <w:color w:val="000000"/>
          <w:sz w:val="22"/>
          <w:szCs w:val="22"/>
        </w:rPr>
      </w:pPr>
    </w:p>
    <w:p w14:paraId="2E5B0FBD" w14:textId="457CF9FB" w:rsidR="00E13ABC" w:rsidRPr="009D2E95" w:rsidRDefault="00E13ABC" w:rsidP="00E13ABC">
      <w:pPr>
        <w:autoSpaceDE w:val="0"/>
        <w:autoSpaceDN w:val="0"/>
        <w:adjustRightInd w:val="0"/>
        <w:rPr>
          <w:rFonts w:asciiTheme="minorHAnsi" w:eastAsiaTheme="minorHAnsi" w:hAnsiTheme="minorHAnsi" w:cstheme="minorHAnsi"/>
          <w:color w:val="000000"/>
          <w:sz w:val="22"/>
          <w:szCs w:val="22"/>
        </w:rPr>
      </w:pPr>
      <w:r w:rsidRPr="009D2E95">
        <w:rPr>
          <w:rFonts w:asciiTheme="minorHAnsi" w:eastAsiaTheme="minorHAnsi" w:hAnsiTheme="minorHAnsi" w:cstheme="minorHAnsi"/>
          <w:color w:val="000000"/>
          <w:sz w:val="22"/>
          <w:szCs w:val="22"/>
        </w:rPr>
        <w:t xml:space="preserve">The recommended method for discovering the consensus level designation on recommendations should work as follows: </w:t>
      </w:r>
    </w:p>
    <w:p w14:paraId="7677868C" w14:textId="77777777" w:rsidR="00E13ABC" w:rsidRPr="009D2E95" w:rsidRDefault="00E13ABC" w:rsidP="00FF10EF">
      <w:pPr>
        <w:pStyle w:val="ListParagraph"/>
        <w:numPr>
          <w:ilvl w:val="0"/>
          <w:numId w:val="26"/>
        </w:numPr>
        <w:autoSpaceDE w:val="0"/>
        <w:autoSpaceDN w:val="0"/>
        <w:adjustRightInd w:val="0"/>
        <w:spacing w:before="120" w:beforeAutospacing="0" w:after="0" w:afterAutospacing="0"/>
        <w:rPr>
          <w:rFonts w:asciiTheme="minorHAnsi" w:eastAsiaTheme="minorHAnsi" w:hAnsiTheme="minorHAnsi" w:cstheme="minorHAnsi"/>
          <w:color w:val="000000"/>
          <w:sz w:val="22"/>
          <w:szCs w:val="22"/>
        </w:rPr>
      </w:pPr>
      <w:r w:rsidRPr="009D2E95">
        <w:rPr>
          <w:rFonts w:asciiTheme="minorHAnsi" w:eastAsiaTheme="minorHAnsi" w:hAnsiTheme="minorHAnsi" w:cstheme="minorHAnsi"/>
          <w:color w:val="000000"/>
          <w:sz w:val="22"/>
          <w:szCs w:val="22"/>
        </w:rPr>
        <w:t xml:space="preserve">After the group has discussed an issue long enough for all issues to have been raised, understood and discussed, the Chair, or Co-Chairs, make an evaluation of the designation and publish it for the group to review. </w:t>
      </w:r>
    </w:p>
    <w:p w14:paraId="62718E3C" w14:textId="77777777" w:rsidR="00E13ABC" w:rsidRPr="009D2E95" w:rsidRDefault="00E13ABC" w:rsidP="00FF10EF">
      <w:pPr>
        <w:pStyle w:val="ListParagraph"/>
        <w:numPr>
          <w:ilvl w:val="0"/>
          <w:numId w:val="26"/>
        </w:numPr>
        <w:autoSpaceDE w:val="0"/>
        <w:autoSpaceDN w:val="0"/>
        <w:adjustRightInd w:val="0"/>
        <w:spacing w:before="120" w:beforeAutospacing="0" w:after="0" w:afterAutospacing="0"/>
        <w:rPr>
          <w:rFonts w:asciiTheme="minorHAnsi" w:eastAsiaTheme="minorHAnsi" w:hAnsiTheme="minorHAnsi" w:cstheme="minorHAnsi"/>
          <w:color w:val="000000"/>
          <w:sz w:val="22"/>
          <w:szCs w:val="22"/>
        </w:rPr>
      </w:pPr>
      <w:r w:rsidRPr="009D2E95">
        <w:rPr>
          <w:rFonts w:asciiTheme="minorHAnsi" w:eastAsiaTheme="minorHAnsi" w:hAnsiTheme="minorHAnsi" w:cstheme="minorHAnsi"/>
          <w:color w:val="000000"/>
          <w:sz w:val="22"/>
          <w:szCs w:val="22"/>
        </w:rPr>
        <w:t xml:space="preserve">After the group has discussed the Chair's estimation of designation, the Chair, or Co-Chairs, should reevaluate and publish an updated evaluation. </w:t>
      </w:r>
    </w:p>
    <w:p w14:paraId="396A8ADC" w14:textId="77777777" w:rsidR="00E13ABC" w:rsidRPr="009D2E95" w:rsidRDefault="00E13ABC" w:rsidP="00FF10EF">
      <w:pPr>
        <w:pStyle w:val="ListParagraph"/>
        <w:numPr>
          <w:ilvl w:val="0"/>
          <w:numId w:val="26"/>
        </w:numPr>
        <w:autoSpaceDE w:val="0"/>
        <w:autoSpaceDN w:val="0"/>
        <w:adjustRightInd w:val="0"/>
        <w:spacing w:before="120" w:beforeAutospacing="0" w:after="0" w:afterAutospacing="0"/>
        <w:rPr>
          <w:rFonts w:asciiTheme="minorHAnsi" w:eastAsiaTheme="minorHAnsi" w:hAnsiTheme="minorHAnsi" w:cstheme="minorHAnsi"/>
          <w:color w:val="000000"/>
          <w:sz w:val="22"/>
          <w:szCs w:val="22"/>
        </w:rPr>
      </w:pPr>
      <w:r w:rsidRPr="009D2E95">
        <w:rPr>
          <w:rFonts w:asciiTheme="minorHAnsi" w:eastAsiaTheme="minorHAnsi" w:hAnsiTheme="minorHAnsi" w:cstheme="minorHAnsi"/>
          <w:sz w:val="22"/>
          <w:szCs w:val="22"/>
        </w:rPr>
        <w:t>Steps (</w:t>
      </w:r>
      <w:proofErr w:type="spellStart"/>
      <w:r w:rsidRPr="009D2E95">
        <w:rPr>
          <w:rFonts w:asciiTheme="minorHAnsi" w:eastAsiaTheme="minorHAnsi" w:hAnsiTheme="minorHAnsi" w:cstheme="minorHAnsi"/>
          <w:sz w:val="22"/>
          <w:szCs w:val="22"/>
        </w:rPr>
        <w:t>i</w:t>
      </w:r>
      <w:proofErr w:type="spellEnd"/>
      <w:r w:rsidRPr="009D2E95">
        <w:rPr>
          <w:rFonts w:asciiTheme="minorHAnsi" w:eastAsiaTheme="minorHAnsi" w:hAnsiTheme="minorHAnsi" w:cstheme="minorHAnsi"/>
          <w:sz w:val="22"/>
          <w:szCs w:val="22"/>
        </w:rPr>
        <w:t xml:space="preserve">) and (ii) should continue until the Chair/Co-Chairs make an evaluation that is accepted by the group. </w:t>
      </w:r>
    </w:p>
    <w:p w14:paraId="475DE573" w14:textId="77777777" w:rsidR="00E13ABC" w:rsidRPr="009D2E95" w:rsidRDefault="00E13ABC" w:rsidP="00FF10EF">
      <w:pPr>
        <w:pStyle w:val="ListParagraph"/>
        <w:numPr>
          <w:ilvl w:val="0"/>
          <w:numId w:val="26"/>
        </w:numPr>
        <w:autoSpaceDE w:val="0"/>
        <w:autoSpaceDN w:val="0"/>
        <w:adjustRightInd w:val="0"/>
        <w:spacing w:before="120" w:beforeAutospacing="0" w:after="0" w:afterAutospacing="0"/>
        <w:rPr>
          <w:rFonts w:asciiTheme="minorHAnsi" w:eastAsiaTheme="minorHAnsi" w:hAnsiTheme="minorHAnsi" w:cstheme="minorHAnsi"/>
          <w:color w:val="000000"/>
          <w:sz w:val="22"/>
          <w:szCs w:val="22"/>
        </w:rPr>
      </w:pPr>
      <w:r w:rsidRPr="009D2E95">
        <w:rPr>
          <w:rFonts w:asciiTheme="minorHAnsi" w:eastAsiaTheme="minorHAnsi" w:hAnsiTheme="minorHAnsi" w:cstheme="minorHAnsi"/>
          <w:color w:val="000000"/>
          <w:sz w:val="22"/>
          <w:szCs w:val="22"/>
        </w:rPr>
        <w:t xml:space="preserve">iv. In rare case, a Chair may decide that the use of polls is reasonable. Some of the reasons for this might be: </w:t>
      </w:r>
    </w:p>
    <w:p w14:paraId="78384A36" w14:textId="77777777" w:rsidR="00E13ABC" w:rsidRPr="009D2E95" w:rsidRDefault="00E13ABC" w:rsidP="00FF10EF">
      <w:pPr>
        <w:pStyle w:val="ListParagraph"/>
        <w:numPr>
          <w:ilvl w:val="1"/>
          <w:numId w:val="26"/>
        </w:numPr>
        <w:autoSpaceDE w:val="0"/>
        <w:autoSpaceDN w:val="0"/>
        <w:adjustRightInd w:val="0"/>
        <w:spacing w:before="120" w:beforeAutospacing="0" w:after="0" w:afterAutospacing="0"/>
        <w:rPr>
          <w:rFonts w:asciiTheme="minorHAnsi" w:eastAsiaTheme="minorHAnsi" w:hAnsiTheme="minorHAnsi" w:cstheme="minorHAnsi"/>
          <w:color w:val="000000"/>
          <w:sz w:val="22"/>
          <w:szCs w:val="22"/>
        </w:rPr>
      </w:pPr>
      <w:r w:rsidRPr="009D2E95">
        <w:rPr>
          <w:rFonts w:asciiTheme="minorHAnsi" w:eastAsiaTheme="minorHAnsi" w:hAnsiTheme="minorHAnsi" w:cstheme="minorHAnsi"/>
          <w:color w:val="000000"/>
          <w:sz w:val="22"/>
          <w:szCs w:val="22"/>
        </w:rPr>
        <w:t xml:space="preserve">A decision needs to be made within a time frame that does not allow for the natural process of iteration and settling on a designation to occur. </w:t>
      </w:r>
    </w:p>
    <w:p w14:paraId="2283E6DD" w14:textId="77777777" w:rsidR="00E13ABC" w:rsidRPr="009D2E95" w:rsidRDefault="00E13ABC" w:rsidP="00FF10EF">
      <w:pPr>
        <w:pStyle w:val="ListParagraph"/>
        <w:numPr>
          <w:ilvl w:val="1"/>
          <w:numId w:val="26"/>
        </w:numPr>
        <w:autoSpaceDE w:val="0"/>
        <w:autoSpaceDN w:val="0"/>
        <w:adjustRightInd w:val="0"/>
        <w:spacing w:before="120" w:beforeAutospacing="0" w:after="0" w:afterAutospacing="0"/>
        <w:rPr>
          <w:rFonts w:asciiTheme="minorHAnsi" w:eastAsiaTheme="minorHAnsi" w:hAnsiTheme="minorHAnsi" w:cstheme="minorHAnsi"/>
          <w:color w:val="000000"/>
          <w:sz w:val="22"/>
          <w:szCs w:val="22"/>
        </w:rPr>
      </w:pPr>
      <w:r w:rsidRPr="009D2E95">
        <w:rPr>
          <w:rFonts w:asciiTheme="minorHAnsi" w:eastAsiaTheme="minorHAnsi" w:hAnsiTheme="minorHAnsi" w:cstheme="minorHAnsi"/>
          <w:color w:val="000000"/>
          <w:sz w:val="22"/>
          <w:szCs w:val="22"/>
        </w:rPr>
        <w:t xml:space="preserve">It becomes obvious after several iterations that it is impossible to arrive at a designation. This will happen most often when trying to discriminate between </w:t>
      </w:r>
      <w:r w:rsidRPr="009D2E95">
        <w:rPr>
          <w:rFonts w:asciiTheme="minorHAnsi" w:eastAsiaTheme="minorHAnsi" w:hAnsiTheme="minorHAnsi" w:cstheme="minorHAnsi"/>
          <w:b/>
          <w:bCs/>
          <w:color w:val="000000"/>
          <w:sz w:val="22"/>
          <w:szCs w:val="22"/>
        </w:rPr>
        <w:t xml:space="preserve">Consensus </w:t>
      </w:r>
      <w:r w:rsidRPr="009D2E95">
        <w:rPr>
          <w:rFonts w:asciiTheme="minorHAnsi" w:eastAsiaTheme="minorHAnsi" w:hAnsiTheme="minorHAnsi" w:cstheme="minorHAnsi"/>
          <w:color w:val="000000"/>
          <w:sz w:val="22"/>
          <w:szCs w:val="22"/>
        </w:rPr>
        <w:t xml:space="preserve">and </w:t>
      </w:r>
      <w:r w:rsidRPr="009D2E95">
        <w:rPr>
          <w:rFonts w:asciiTheme="minorHAnsi" w:eastAsiaTheme="minorHAnsi" w:hAnsiTheme="minorHAnsi" w:cstheme="minorHAnsi"/>
          <w:b/>
          <w:bCs/>
          <w:color w:val="000000"/>
          <w:sz w:val="22"/>
          <w:szCs w:val="22"/>
        </w:rPr>
        <w:t xml:space="preserve">Strong support but Significant Opposition </w:t>
      </w:r>
      <w:r w:rsidRPr="009D2E95">
        <w:rPr>
          <w:rFonts w:asciiTheme="minorHAnsi" w:eastAsiaTheme="minorHAnsi" w:hAnsiTheme="minorHAnsi" w:cstheme="minorHAnsi"/>
          <w:color w:val="000000"/>
          <w:sz w:val="22"/>
          <w:szCs w:val="22"/>
        </w:rPr>
        <w:t xml:space="preserve">or between </w:t>
      </w:r>
      <w:r w:rsidRPr="009D2E95">
        <w:rPr>
          <w:rFonts w:asciiTheme="minorHAnsi" w:eastAsiaTheme="minorHAnsi" w:hAnsiTheme="minorHAnsi" w:cstheme="minorHAnsi"/>
          <w:b/>
          <w:bCs/>
          <w:color w:val="000000"/>
          <w:sz w:val="22"/>
          <w:szCs w:val="22"/>
        </w:rPr>
        <w:t xml:space="preserve">Strong support but Significant Opposition </w:t>
      </w:r>
      <w:r w:rsidRPr="009D2E95">
        <w:rPr>
          <w:rFonts w:asciiTheme="minorHAnsi" w:eastAsiaTheme="minorHAnsi" w:hAnsiTheme="minorHAnsi" w:cstheme="minorHAnsi"/>
          <w:color w:val="000000"/>
          <w:sz w:val="22"/>
          <w:szCs w:val="22"/>
        </w:rPr>
        <w:t xml:space="preserve">and </w:t>
      </w:r>
      <w:r w:rsidRPr="009D2E95">
        <w:rPr>
          <w:rFonts w:asciiTheme="minorHAnsi" w:eastAsiaTheme="minorHAnsi" w:hAnsiTheme="minorHAnsi" w:cstheme="minorHAnsi"/>
          <w:b/>
          <w:bCs/>
          <w:color w:val="000000"/>
          <w:sz w:val="22"/>
          <w:szCs w:val="22"/>
        </w:rPr>
        <w:t xml:space="preserve">Divergence. </w:t>
      </w:r>
    </w:p>
    <w:p w14:paraId="668EFEAE" w14:textId="77777777" w:rsidR="00FF10EF" w:rsidRDefault="00FF10EF" w:rsidP="00E13ABC">
      <w:pPr>
        <w:autoSpaceDE w:val="0"/>
        <w:autoSpaceDN w:val="0"/>
        <w:adjustRightInd w:val="0"/>
        <w:rPr>
          <w:rFonts w:asciiTheme="minorHAnsi" w:eastAsiaTheme="minorHAnsi" w:hAnsiTheme="minorHAnsi" w:cstheme="minorHAnsi"/>
          <w:color w:val="000000"/>
          <w:sz w:val="22"/>
          <w:szCs w:val="22"/>
        </w:rPr>
      </w:pPr>
    </w:p>
    <w:p w14:paraId="393C7FD5" w14:textId="77777777" w:rsidR="00E13ABC" w:rsidRPr="009D2E95" w:rsidRDefault="00E13ABC" w:rsidP="00E13ABC">
      <w:pPr>
        <w:autoSpaceDE w:val="0"/>
        <w:autoSpaceDN w:val="0"/>
        <w:adjustRightInd w:val="0"/>
        <w:rPr>
          <w:rFonts w:asciiTheme="minorHAnsi" w:eastAsiaTheme="minorHAnsi" w:hAnsiTheme="minorHAnsi" w:cstheme="minorHAnsi"/>
          <w:color w:val="000000"/>
          <w:sz w:val="22"/>
          <w:szCs w:val="22"/>
        </w:rPr>
      </w:pPr>
      <w:r w:rsidRPr="009D2E95">
        <w:rPr>
          <w:rFonts w:asciiTheme="minorHAnsi" w:eastAsiaTheme="minorHAnsi" w:hAnsiTheme="minorHAnsi" w:cstheme="minorHAnsi"/>
          <w:color w:val="000000"/>
          <w:sz w:val="22"/>
          <w:szCs w:val="22"/>
        </w:rPr>
        <w:t xml:space="preserve">Care should be taken in using polls that they do not become votes. A liability with the use of polls is that, in situations where there is </w:t>
      </w:r>
      <w:r w:rsidRPr="009D2E95">
        <w:rPr>
          <w:rFonts w:asciiTheme="minorHAnsi" w:eastAsiaTheme="minorHAnsi" w:hAnsiTheme="minorHAnsi" w:cstheme="minorHAnsi"/>
          <w:b/>
          <w:bCs/>
          <w:color w:val="000000"/>
          <w:sz w:val="22"/>
          <w:szCs w:val="22"/>
        </w:rPr>
        <w:t xml:space="preserve">Divergence </w:t>
      </w:r>
      <w:r w:rsidRPr="009D2E95">
        <w:rPr>
          <w:rFonts w:asciiTheme="minorHAnsi" w:eastAsiaTheme="minorHAnsi" w:hAnsiTheme="minorHAnsi" w:cstheme="minorHAnsi"/>
          <w:color w:val="000000"/>
          <w:sz w:val="22"/>
          <w:szCs w:val="22"/>
        </w:rPr>
        <w:t xml:space="preserve">or </w:t>
      </w:r>
      <w:r w:rsidRPr="009D2E95">
        <w:rPr>
          <w:rFonts w:asciiTheme="minorHAnsi" w:eastAsiaTheme="minorHAnsi" w:hAnsiTheme="minorHAnsi" w:cstheme="minorHAnsi"/>
          <w:b/>
          <w:bCs/>
          <w:color w:val="000000"/>
          <w:sz w:val="22"/>
          <w:szCs w:val="22"/>
        </w:rPr>
        <w:t>Strong Opposition</w:t>
      </w:r>
      <w:r w:rsidRPr="009D2E95">
        <w:rPr>
          <w:rFonts w:asciiTheme="minorHAnsi" w:eastAsiaTheme="minorHAnsi" w:hAnsiTheme="minorHAnsi" w:cstheme="minorHAnsi"/>
          <w:color w:val="000000"/>
          <w:sz w:val="22"/>
          <w:szCs w:val="22"/>
        </w:rPr>
        <w:t xml:space="preserve">, there are often disagreements about the meanings of the poll questions or of the poll results. </w:t>
      </w:r>
    </w:p>
    <w:p w14:paraId="6100D629" w14:textId="77777777" w:rsidR="00E13ABC" w:rsidRPr="009D2E95" w:rsidRDefault="00E13ABC" w:rsidP="00E13ABC">
      <w:pPr>
        <w:pStyle w:val="Default0"/>
        <w:rPr>
          <w:rFonts w:asciiTheme="minorHAnsi" w:hAnsiTheme="minorHAnsi" w:cstheme="minorHAnsi"/>
          <w:sz w:val="22"/>
          <w:szCs w:val="22"/>
        </w:rPr>
      </w:pPr>
    </w:p>
    <w:p w14:paraId="7824BD2E" w14:textId="77777777" w:rsidR="00E13ABC" w:rsidRPr="009D2E95" w:rsidRDefault="00E13ABC" w:rsidP="00E13ABC">
      <w:pPr>
        <w:pStyle w:val="Default0"/>
        <w:rPr>
          <w:rFonts w:asciiTheme="minorHAnsi" w:hAnsiTheme="minorHAnsi" w:cstheme="minorHAnsi"/>
          <w:sz w:val="22"/>
          <w:szCs w:val="22"/>
        </w:rPr>
      </w:pPr>
      <w:r w:rsidRPr="009D2E95">
        <w:rPr>
          <w:rFonts w:asciiTheme="minorHAnsi" w:hAnsiTheme="minorHAnsi" w:cstheme="minorHAnsi"/>
          <w:sz w:val="22"/>
          <w:szCs w:val="22"/>
        </w:rPr>
        <w:t>Based upon the WG's needs, the Chair may direct that WG participants do not have to have their name explicitly associated with any Full Consensus or Consensus view/position. However, in all other cases and in those cases where a group member represents the minority viewpoint, their name must be explicitly linked, especially in those cases where polls where taken.</w:t>
      </w:r>
    </w:p>
    <w:p w14:paraId="347A8932" w14:textId="77777777" w:rsidR="00E13ABC" w:rsidRPr="009D2E95" w:rsidRDefault="00E13ABC" w:rsidP="00E13ABC">
      <w:pPr>
        <w:rPr>
          <w:rFonts w:asciiTheme="minorHAnsi" w:hAnsiTheme="minorHAnsi" w:cstheme="minorHAnsi"/>
          <w:b/>
          <w:sz w:val="22"/>
          <w:szCs w:val="22"/>
        </w:rPr>
      </w:pPr>
    </w:p>
    <w:p w14:paraId="5BEE03D3" w14:textId="77777777" w:rsidR="00E13ABC" w:rsidRPr="009D2E95" w:rsidRDefault="00E13ABC" w:rsidP="00E13ABC">
      <w:pPr>
        <w:rPr>
          <w:rFonts w:asciiTheme="minorHAnsi" w:hAnsiTheme="minorHAnsi" w:cstheme="minorHAnsi"/>
          <w:b/>
          <w:sz w:val="22"/>
          <w:szCs w:val="22"/>
        </w:rPr>
      </w:pPr>
      <w:r w:rsidRPr="009D2E95">
        <w:rPr>
          <w:rFonts w:asciiTheme="minorHAnsi" w:hAnsiTheme="minorHAnsi" w:cstheme="minorHAnsi"/>
          <w:b/>
          <w:sz w:val="22"/>
          <w:szCs w:val="22"/>
        </w:rPr>
        <w:t>[…]</w:t>
      </w:r>
    </w:p>
    <w:p w14:paraId="5515AC7D" w14:textId="77777777" w:rsidR="00E13ABC" w:rsidRPr="009D2E95" w:rsidRDefault="00E13ABC" w:rsidP="00E13ABC">
      <w:pPr>
        <w:rPr>
          <w:rFonts w:asciiTheme="minorHAnsi" w:hAnsiTheme="minorHAnsi" w:cstheme="minorHAnsi"/>
          <w:b/>
          <w:sz w:val="22"/>
          <w:szCs w:val="22"/>
        </w:rPr>
      </w:pPr>
    </w:p>
    <w:p w14:paraId="3B871466" w14:textId="77777777" w:rsidR="00E13ABC" w:rsidRPr="009D2E95" w:rsidRDefault="00E13ABC" w:rsidP="00E13ABC">
      <w:pPr>
        <w:rPr>
          <w:rFonts w:asciiTheme="minorHAnsi" w:hAnsiTheme="minorHAnsi" w:cstheme="minorHAnsi"/>
          <w:b/>
          <w:sz w:val="22"/>
          <w:szCs w:val="22"/>
        </w:rPr>
      </w:pPr>
      <w:r w:rsidRPr="009D2E95">
        <w:rPr>
          <w:rFonts w:asciiTheme="minorHAnsi" w:hAnsiTheme="minorHAnsi" w:cstheme="minorHAnsi"/>
          <w:sz w:val="22"/>
          <w:szCs w:val="22"/>
        </w:rPr>
        <w:t>Consensus calls should always involve the entire Working Group and, for this reason, should take place on the designated mailing list to ensure that all Working Group members have the opportunity to fully participate in the consensus process. It is the role of the Chair to designate which level of consensus is reached and announce this designation to the Working Group. Member(s) of the Working Group should be able to challenge the designation of the Chair as part of the Working Group discussion.</w:t>
      </w:r>
    </w:p>
    <w:p w14:paraId="6FED7972" w14:textId="43B2ADBF" w:rsidR="00E13ABC" w:rsidRPr="00CE64F1" w:rsidRDefault="00E13ABC" w:rsidP="00E13ABC">
      <w:pPr>
        <w:rPr>
          <w:rFonts w:asciiTheme="minorHAnsi" w:hAnsiTheme="minorHAnsi" w:cstheme="minorHAnsi"/>
          <w:b/>
          <w:sz w:val="21"/>
          <w:szCs w:val="21"/>
        </w:rPr>
      </w:pPr>
    </w:p>
    <w:p w14:paraId="777205C6" w14:textId="19EF24FA" w:rsidR="005B49C4" w:rsidRDefault="005B49C4" w:rsidP="00984AF3">
      <w:pPr>
        <w:spacing w:before="60"/>
        <w:rPr>
          <w:rFonts w:asciiTheme="minorHAnsi" w:hAnsiTheme="minorHAnsi" w:cstheme="minorHAnsi"/>
          <w:color w:val="000000" w:themeColor="text1"/>
          <w:sz w:val="21"/>
          <w:szCs w:val="21"/>
        </w:rPr>
      </w:pPr>
    </w:p>
    <w:sectPr w:rsidR="005B49C4" w:rsidSect="006E4F8E">
      <w:footerReference w:type="even" r:id="rId17"/>
      <w:footerReference w:type="default" r:id="rId18"/>
      <w:footerReference w:type="first" r:id="rId19"/>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519A02" w14:textId="77777777" w:rsidR="00D30AAA" w:rsidRDefault="00D30AAA" w:rsidP="008D70B6">
      <w:r>
        <w:separator/>
      </w:r>
    </w:p>
  </w:endnote>
  <w:endnote w:type="continuationSeparator" w:id="0">
    <w:p w14:paraId="0ABC4D9B" w14:textId="77777777" w:rsidR="00D30AAA" w:rsidRDefault="00D30AAA" w:rsidP="008D7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624CC" w14:textId="77777777" w:rsidR="008D70B6" w:rsidRDefault="008D70B6" w:rsidP="00602CC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6969A0" w14:textId="77777777" w:rsidR="008D70B6" w:rsidRDefault="008D70B6" w:rsidP="008D70B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4570B" w14:textId="77777777" w:rsidR="008D70B6" w:rsidRPr="00A21BD2" w:rsidRDefault="008D70B6" w:rsidP="00602CC8">
    <w:pPr>
      <w:pStyle w:val="Footer"/>
      <w:framePr w:wrap="none" w:vAnchor="text" w:hAnchor="margin" w:xAlign="right" w:y="1"/>
      <w:rPr>
        <w:rStyle w:val="PageNumber"/>
        <w:rFonts w:asciiTheme="minorHAnsi" w:hAnsiTheme="minorHAnsi" w:cstheme="minorHAnsi"/>
        <w:sz w:val="18"/>
        <w:szCs w:val="18"/>
      </w:rPr>
    </w:pPr>
    <w:r w:rsidRPr="00A21BD2">
      <w:rPr>
        <w:rStyle w:val="PageNumber"/>
        <w:rFonts w:asciiTheme="minorHAnsi" w:hAnsiTheme="minorHAnsi" w:cstheme="minorHAnsi"/>
        <w:sz w:val="18"/>
        <w:szCs w:val="18"/>
      </w:rPr>
      <w:fldChar w:fldCharType="begin"/>
    </w:r>
    <w:r w:rsidRPr="00A21BD2">
      <w:rPr>
        <w:rStyle w:val="PageNumber"/>
        <w:rFonts w:asciiTheme="minorHAnsi" w:hAnsiTheme="minorHAnsi" w:cstheme="minorHAnsi"/>
        <w:sz w:val="18"/>
        <w:szCs w:val="18"/>
      </w:rPr>
      <w:instrText xml:space="preserve">PAGE  </w:instrText>
    </w:r>
    <w:r w:rsidRPr="00A21BD2">
      <w:rPr>
        <w:rStyle w:val="PageNumber"/>
        <w:rFonts w:asciiTheme="minorHAnsi" w:hAnsiTheme="minorHAnsi" w:cstheme="minorHAnsi"/>
        <w:sz w:val="18"/>
        <w:szCs w:val="18"/>
      </w:rPr>
      <w:fldChar w:fldCharType="separate"/>
    </w:r>
    <w:r w:rsidR="002566B6">
      <w:rPr>
        <w:rStyle w:val="PageNumber"/>
        <w:rFonts w:asciiTheme="minorHAnsi" w:hAnsiTheme="minorHAnsi" w:cstheme="minorHAnsi"/>
        <w:noProof/>
        <w:sz w:val="18"/>
        <w:szCs w:val="18"/>
      </w:rPr>
      <w:t>10</w:t>
    </w:r>
    <w:r w:rsidRPr="00A21BD2">
      <w:rPr>
        <w:rStyle w:val="PageNumber"/>
        <w:rFonts w:asciiTheme="minorHAnsi" w:hAnsiTheme="minorHAnsi" w:cstheme="minorHAnsi"/>
        <w:sz w:val="18"/>
        <w:szCs w:val="18"/>
      </w:rPr>
      <w:fldChar w:fldCharType="end"/>
    </w:r>
  </w:p>
  <w:p w14:paraId="2A845BD9" w14:textId="77777777" w:rsidR="008D70B6" w:rsidRDefault="008D70B6" w:rsidP="008D70B6">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5D57A" w14:textId="2196AF35" w:rsidR="000B4740" w:rsidRDefault="000B4740">
    <w:pPr>
      <w:pStyle w:val="Footer"/>
    </w:pPr>
  </w:p>
  <w:p w14:paraId="4D4E5204" w14:textId="260ED1E3" w:rsidR="000B4740" w:rsidRDefault="000B4740">
    <w:pPr>
      <w:pStyle w:val="Footer"/>
    </w:pPr>
  </w:p>
  <w:p w14:paraId="5C448FD2" w14:textId="77777777" w:rsidR="000B4740" w:rsidRDefault="000B474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0A69FC" w14:textId="77777777" w:rsidR="00D30AAA" w:rsidRDefault="00D30AAA" w:rsidP="008D70B6">
      <w:r>
        <w:separator/>
      </w:r>
    </w:p>
  </w:footnote>
  <w:footnote w:type="continuationSeparator" w:id="0">
    <w:p w14:paraId="74B9FC63" w14:textId="77777777" w:rsidR="00D30AAA" w:rsidRDefault="00D30AAA" w:rsidP="008D70B6">
      <w:r>
        <w:continuationSeparator/>
      </w:r>
    </w:p>
  </w:footnote>
  <w:footnote w:id="1">
    <w:p w14:paraId="0458F2CB" w14:textId="77777777" w:rsidR="00E13ABC" w:rsidRPr="00867F73" w:rsidRDefault="00E13ABC" w:rsidP="00E13ABC">
      <w:pPr>
        <w:autoSpaceDE w:val="0"/>
        <w:autoSpaceDN w:val="0"/>
        <w:adjustRightInd w:val="0"/>
        <w:rPr>
          <w:rFonts w:asciiTheme="minorHAnsi" w:eastAsiaTheme="minorHAnsi" w:hAnsiTheme="minorHAnsi" w:cstheme="minorHAnsi"/>
          <w:color w:val="000000"/>
          <w:sz w:val="18"/>
          <w:szCs w:val="18"/>
        </w:rPr>
      </w:pPr>
      <w:r w:rsidRPr="00867F73">
        <w:rPr>
          <w:rStyle w:val="FootnoteReference"/>
          <w:rFonts w:asciiTheme="minorHAnsi" w:hAnsiTheme="minorHAnsi" w:cstheme="minorHAnsi"/>
          <w:sz w:val="18"/>
          <w:szCs w:val="18"/>
        </w:rPr>
        <w:footnoteRef/>
      </w:r>
      <w:r w:rsidRPr="00867F73">
        <w:rPr>
          <w:rFonts w:asciiTheme="minorHAnsi" w:hAnsiTheme="minorHAnsi" w:cstheme="minorHAnsi"/>
          <w:sz w:val="18"/>
          <w:szCs w:val="18"/>
        </w:rPr>
        <w:t xml:space="preserve"> </w:t>
      </w:r>
      <w:r w:rsidRPr="00867F73">
        <w:rPr>
          <w:rFonts w:asciiTheme="minorHAnsi" w:eastAsiaTheme="minorHAnsi" w:hAnsiTheme="minorHAnsi" w:cstheme="minorHAnsi"/>
          <w:color w:val="000000"/>
          <w:sz w:val="18"/>
          <w:szCs w:val="18"/>
        </w:rPr>
        <w:t xml:space="preserve">The designations “Full consensus,” “Consensus,” and “Strong support but significant opposition” may also be used to signify levels of “consensus against” a particular recommendation if the consensus position of the Working Group warrants it. If this is the case, any “Minority View” will be in favor of the particular recommendation. It is expected that designations of “consensus against” will be rare and Working Groups are encouraged to draft (and revise) recommendations so that a level of consensus can be expressed “for” rather than “against” a recommendation. However, it is recognized that there can be times when a “consensus against” designation is both appropriate and unavoidable as a practical matter. A “consensus against” position should be distinguished from a position of “Divergence” (or “No Consensus”), which is applied where no consensus has emerged either for or against a recommendation (i.e., the consensus level of the Working Group cannot be described as “Full consensus,” “Consensus” or “Strong support but significant opposition” either for or against a recommendation). </w:t>
      </w:r>
    </w:p>
  </w:footnote>
  <w:footnote w:id="2">
    <w:p w14:paraId="63670A45" w14:textId="77777777" w:rsidR="00E13ABC" w:rsidRPr="00867F73" w:rsidRDefault="00E13ABC" w:rsidP="00E13ABC">
      <w:pPr>
        <w:pStyle w:val="FootnoteText"/>
        <w:rPr>
          <w:rFonts w:asciiTheme="minorHAnsi" w:hAnsiTheme="minorHAnsi" w:cstheme="minorHAnsi"/>
          <w:sz w:val="18"/>
          <w:szCs w:val="18"/>
        </w:rPr>
      </w:pPr>
      <w:r w:rsidRPr="00867F73">
        <w:rPr>
          <w:rStyle w:val="FootnoteReference"/>
          <w:rFonts w:asciiTheme="minorHAnsi" w:hAnsiTheme="minorHAnsi" w:cstheme="minorHAnsi"/>
          <w:sz w:val="18"/>
          <w:szCs w:val="18"/>
        </w:rPr>
        <w:footnoteRef/>
      </w:r>
      <w:r w:rsidRPr="00867F73">
        <w:rPr>
          <w:rFonts w:asciiTheme="minorHAnsi" w:hAnsiTheme="minorHAnsi" w:cstheme="minorHAnsi"/>
          <w:sz w:val="18"/>
          <w:szCs w:val="18"/>
        </w:rPr>
        <w:t xml:space="preserve"> </w:t>
      </w:r>
      <w:r w:rsidRPr="00867F73">
        <w:rPr>
          <w:rFonts w:asciiTheme="minorHAnsi" w:eastAsiaTheme="minorHAnsi" w:hAnsiTheme="minorHAnsi" w:cstheme="minorHAnsi"/>
          <w:color w:val="000000"/>
          <w:sz w:val="18"/>
          <w:szCs w:val="18"/>
        </w:rPr>
        <w:t xml:space="preserve">For those that are unfamiliar with ICANN usage, you may associate the definition of ‘Consensus’ with other definitions and terms of art such as rough consensus or near consensus. It should be noted, however, that in the case of a GNSO PDP originated Working Group, all reports, especially Final Reports, must restrict themselves to the term ‘Consensus’ as this may have legal implications.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07394EB"/>
    <w:multiLevelType w:val="hybridMultilevel"/>
    <w:tmpl w:val="293D16A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5F35EB8"/>
    <w:multiLevelType w:val="hybridMultilevel"/>
    <w:tmpl w:val="C2ECF620"/>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B96903"/>
    <w:multiLevelType w:val="hybridMultilevel"/>
    <w:tmpl w:val="7B8C5004"/>
    <w:lvl w:ilvl="0" w:tplc="C59C7B58">
      <w:start w:val="1"/>
      <w:numFmt w:val="decimal"/>
      <w:lvlText w:val="%1."/>
      <w:lvlJc w:val="left"/>
      <w:pPr>
        <w:ind w:left="920" w:hanging="9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3B90437"/>
    <w:multiLevelType w:val="multilevel"/>
    <w:tmpl w:val="CF12A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55A7A4F"/>
    <w:multiLevelType w:val="hybridMultilevel"/>
    <w:tmpl w:val="E5709D14"/>
    <w:lvl w:ilvl="0" w:tplc="9644322A">
      <w:start w:val="1"/>
      <w:numFmt w:val="decimal"/>
      <w:lvlText w:val="%1."/>
      <w:lvlJc w:val="left"/>
      <w:pPr>
        <w:ind w:left="720" w:hanging="360"/>
      </w:pPr>
      <w:rPr>
        <w:rFonts w:ascii="Calibri" w:hAnsi="Calibri" w:cs="Calibri"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604D00"/>
    <w:multiLevelType w:val="hybridMultilevel"/>
    <w:tmpl w:val="05D04A00"/>
    <w:lvl w:ilvl="0" w:tplc="1210318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16140B"/>
    <w:multiLevelType w:val="hybridMultilevel"/>
    <w:tmpl w:val="EBAE11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7FF6B3D"/>
    <w:multiLevelType w:val="multilevel"/>
    <w:tmpl w:val="B60C83B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0D0FF4FE"/>
    <w:multiLevelType w:val="hybridMultilevel"/>
    <w:tmpl w:val="305C8FDC"/>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0D621B9"/>
    <w:multiLevelType w:val="hybridMultilevel"/>
    <w:tmpl w:val="6AC81928"/>
    <w:lvl w:ilvl="0" w:tplc="15F6F776">
      <w:start w:val="1"/>
      <w:numFmt w:val="low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0847B5"/>
    <w:multiLevelType w:val="multilevel"/>
    <w:tmpl w:val="3B767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37E7908"/>
    <w:multiLevelType w:val="multilevel"/>
    <w:tmpl w:val="D65407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14924D58"/>
    <w:multiLevelType w:val="hybridMultilevel"/>
    <w:tmpl w:val="C480EB1C"/>
    <w:lvl w:ilvl="0" w:tplc="E236C3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444A5F"/>
    <w:multiLevelType w:val="multilevel"/>
    <w:tmpl w:val="F3AEDDD0"/>
    <w:lvl w:ilvl="0">
      <w:start w:val="1"/>
      <w:numFmt w:val="bullet"/>
      <w:lvlText w:val=""/>
      <w:lvlJc w:val="left"/>
      <w:pPr>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C28D596"/>
    <w:multiLevelType w:val="hybridMultilevel"/>
    <w:tmpl w:val="C2641AEE"/>
    <w:lvl w:ilvl="0" w:tplc="FFFFFFFF">
      <w:start w:val="1"/>
      <w:numFmt w:val="bullet"/>
      <w:lvlText w:val="•"/>
      <w:lvlJc w:val="left"/>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200F09D1"/>
    <w:multiLevelType w:val="multilevel"/>
    <w:tmpl w:val="A5D8B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3407C33"/>
    <w:multiLevelType w:val="hybridMultilevel"/>
    <w:tmpl w:val="0F186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4E77244"/>
    <w:multiLevelType w:val="hybridMultilevel"/>
    <w:tmpl w:val="1FBA65B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CD646CF"/>
    <w:multiLevelType w:val="hybridMultilevel"/>
    <w:tmpl w:val="8070DA34"/>
    <w:lvl w:ilvl="0" w:tplc="E236C39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F463D8F"/>
    <w:multiLevelType w:val="hybridMultilevel"/>
    <w:tmpl w:val="CF8A96C2"/>
    <w:lvl w:ilvl="0" w:tplc="9FEA5570">
      <w:start w:val="1"/>
      <w:numFmt w:val="decimal"/>
      <w:lvlText w:val="%1)"/>
      <w:lvlJc w:val="left"/>
      <w:pPr>
        <w:ind w:left="494"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2A6E92"/>
    <w:multiLevelType w:val="hybridMultilevel"/>
    <w:tmpl w:val="47064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BB4C9C"/>
    <w:multiLevelType w:val="hybridMultilevel"/>
    <w:tmpl w:val="E3AE3EB2"/>
    <w:lvl w:ilvl="0" w:tplc="6A3CEF60">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93975CE"/>
    <w:multiLevelType w:val="multilevel"/>
    <w:tmpl w:val="5518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D1916B2"/>
    <w:multiLevelType w:val="hybridMultilevel"/>
    <w:tmpl w:val="2788E200"/>
    <w:lvl w:ilvl="0" w:tplc="B9E28A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910D5A"/>
    <w:multiLevelType w:val="hybridMultilevel"/>
    <w:tmpl w:val="C7A22E64"/>
    <w:lvl w:ilvl="0" w:tplc="E236C39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A92A8D"/>
    <w:multiLevelType w:val="hybridMultilevel"/>
    <w:tmpl w:val="1AD24A4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1784ABA"/>
    <w:multiLevelType w:val="multilevel"/>
    <w:tmpl w:val="3016116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nsid w:val="429F1344"/>
    <w:multiLevelType w:val="hybridMultilevel"/>
    <w:tmpl w:val="A5D8B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C664FD"/>
    <w:multiLevelType w:val="hybridMultilevel"/>
    <w:tmpl w:val="160064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34C73AB"/>
    <w:multiLevelType w:val="hybridMultilevel"/>
    <w:tmpl w:val="12521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3886BEA"/>
    <w:multiLevelType w:val="multilevel"/>
    <w:tmpl w:val="F3AEDDD0"/>
    <w:lvl w:ilvl="0">
      <w:start w:val="1"/>
      <w:numFmt w:val="bullet"/>
      <w:lvlText w:val=""/>
      <w:lvlJc w:val="left"/>
      <w:pPr>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3C94B2D"/>
    <w:multiLevelType w:val="hybridMultilevel"/>
    <w:tmpl w:val="F33CDFCC"/>
    <w:lvl w:ilvl="0" w:tplc="9644322A">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A64268C"/>
    <w:multiLevelType w:val="hybridMultilevel"/>
    <w:tmpl w:val="B1C68B54"/>
    <w:lvl w:ilvl="0" w:tplc="A4C800A6">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B914E26"/>
    <w:multiLevelType w:val="hybridMultilevel"/>
    <w:tmpl w:val="4B30E2B4"/>
    <w:lvl w:ilvl="0" w:tplc="D966962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C7B5C4B"/>
    <w:multiLevelType w:val="hybridMultilevel"/>
    <w:tmpl w:val="F7028B8E"/>
    <w:lvl w:ilvl="0" w:tplc="C47A15FE">
      <w:start w:val="1"/>
      <w:numFmt w:val="bullet"/>
      <w:lvlText w:val="-"/>
      <w:lvlJc w:val="left"/>
      <w:pPr>
        <w:ind w:left="0" w:hanging="360"/>
      </w:pPr>
      <w:rPr>
        <w:rFonts w:ascii="Calibri" w:eastAsia="Times New Roman" w:hAnsi="Calibri" w:cs="Calibri" w:hint="default"/>
        <w:sz w:val="2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5">
    <w:nsid w:val="4EA24FDA"/>
    <w:multiLevelType w:val="hybridMultilevel"/>
    <w:tmpl w:val="24F8A610"/>
    <w:lvl w:ilvl="0" w:tplc="9644322A">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1D51093"/>
    <w:multiLevelType w:val="hybridMultilevel"/>
    <w:tmpl w:val="18002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4D71289"/>
    <w:multiLevelType w:val="hybridMultilevel"/>
    <w:tmpl w:val="738645A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8">
    <w:nsid w:val="59013FE8"/>
    <w:multiLevelType w:val="hybridMultilevel"/>
    <w:tmpl w:val="AE7C761E"/>
    <w:lvl w:ilvl="0" w:tplc="E236C39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9C05443"/>
    <w:multiLevelType w:val="hybridMultilevel"/>
    <w:tmpl w:val="1FBA65B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5DA97936"/>
    <w:multiLevelType w:val="hybridMultilevel"/>
    <w:tmpl w:val="BE400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3AC7F1A"/>
    <w:multiLevelType w:val="hybridMultilevel"/>
    <w:tmpl w:val="CB0633F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6BDB0C9E"/>
    <w:multiLevelType w:val="multilevel"/>
    <w:tmpl w:val="7058430E"/>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3">
    <w:nsid w:val="6BE21ACC"/>
    <w:multiLevelType w:val="hybridMultilevel"/>
    <w:tmpl w:val="735607B6"/>
    <w:lvl w:ilvl="0" w:tplc="0409000F">
      <w:start w:val="1"/>
      <w:numFmt w:val="decimal"/>
      <w:lvlText w:val="%1."/>
      <w:lvlJc w:val="left"/>
      <w:pPr>
        <w:ind w:left="360" w:hanging="360"/>
      </w:pPr>
    </w:lvl>
    <w:lvl w:ilvl="1" w:tplc="BA6EB0AC">
      <w:start w:val="1"/>
      <w:numFmt w:val="lowerRoman"/>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F430159"/>
    <w:multiLevelType w:val="hybridMultilevel"/>
    <w:tmpl w:val="D33C4FE0"/>
    <w:lvl w:ilvl="0" w:tplc="E236C39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1"/>
  </w:num>
  <w:num w:numId="2">
    <w:abstractNumId w:val="27"/>
  </w:num>
  <w:num w:numId="3">
    <w:abstractNumId w:val="40"/>
  </w:num>
  <w:num w:numId="4">
    <w:abstractNumId w:val="36"/>
  </w:num>
  <w:num w:numId="5">
    <w:abstractNumId w:val="35"/>
  </w:num>
  <w:num w:numId="6">
    <w:abstractNumId w:val="4"/>
  </w:num>
  <w:num w:numId="7">
    <w:abstractNumId w:val="12"/>
  </w:num>
  <w:num w:numId="8">
    <w:abstractNumId w:val="44"/>
  </w:num>
  <w:num w:numId="9">
    <w:abstractNumId w:val="15"/>
  </w:num>
  <w:num w:numId="10">
    <w:abstractNumId w:val="24"/>
  </w:num>
  <w:num w:numId="11">
    <w:abstractNumId w:val="38"/>
  </w:num>
  <w:num w:numId="12">
    <w:abstractNumId w:val="18"/>
  </w:num>
  <w:num w:numId="13">
    <w:abstractNumId w:val="7"/>
  </w:num>
  <w:num w:numId="14">
    <w:abstractNumId w:val="23"/>
  </w:num>
  <w:num w:numId="15">
    <w:abstractNumId w:val="20"/>
  </w:num>
  <w:num w:numId="16">
    <w:abstractNumId w:val="2"/>
  </w:num>
  <w:num w:numId="17">
    <w:abstractNumId w:val="11"/>
  </w:num>
  <w:num w:numId="18">
    <w:abstractNumId w:val="22"/>
  </w:num>
  <w:num w:numId="19">
    <w:abstractNumId w:val="28"/>
  </w:num>
  <w:num w:numId="20">
    <w:abstractNumId w:val="34"/>
  </w:num>
  <w:num w:numId="21">
    <w:abstractNumId w:val="10"/>
  </w:num>
  <w:num w:numId="22">
    <w:abstractNumId w:val="14"/>
  </w:num>
  <w:num w:numId="23">
    <w:abstractNumId w:val="1"/>
  </w:num>
  <w:num w:numId="24">
    <w:abstractNumId w:val="0"/>
  </w:num>
  <w:num w:numId="25">
    <w:abstractNumId w:val="8"/>
  </w:num>
  <w:num w:numId="26">
    <w:abstractNumId w:val="9"/>
  </w:num>
  <w:num w:numId="27">
    <w:abstractNumId w:val="6"/>
  </w:num>
  <w:num w:numId="28">
    <w:abstractNumId w:val="43"/>
  </w:num>
  <w:num w:numId="29">
    <w:abstractNumId w:val="5"/>
  </w:num>
  <w:num w:numId="30">
    <w:abstractNumId w:val="33"/>
  </w:num>
  <w:num w:numId="31">
    <w:abstractNumId w:val="17"/>
  </w:num>
  <w:num w:numId="32">
    <w:abstractNumId w:val="29"/>
  </w:num>
  <w:num w:numId="33">
    <w:abstractNumId w:val="39"/>
  </w:num>
  <w:num w:numId="34">
    <w:abstractNumId w:val="16"/>
  </w:num>
  <w:num w:numId="35">
    <w:abstractNumId w:val="13"/>
  </w:num>
  <w:num w:numId="36">
    <w:abstractNumId w:val="19"/>
  </w:num>
  <w:num w:numId="37">
    <w:abstractNumId w:val="25"/>
  </w:num>
  <w:num w:numId="38">
    <w:abstractNumId w:val="41"/>
  </w:num>
  <w:num w:numId="39">
    <w:abstractNumId w:val="26"/>
  </w:num>
  <w:num w:numId="40">
    <w:abstractNumId w:val="42"/>
  </w:num>
  <w:num w:numId="41">
    <w:abstractNumId w:val="30"/>
  </w:num>
  <w:num w:numId="42">
    <w:abstractNumId w:val="32"/>
  </w:num>
  <w:num w:numId="43">
    <w:abstractNumId w:val="3"/>
  </w:num>
  <w:num w:numId="44">
    <w:abstractNumId w:val="21"/>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98A"/>
    <w:rsid w:val="000016CF"/>
    <w:rsid w:val="0001169A"/>
    <w:rsid w:val="00016950"/>
    <w:rsid w:val="0004791C"/>
    <w:rsid w:val="00056215"/>
    <w:rsid w:val="000568C9"/>
    <w:rsid w:val="0007202D"/>
    <w:rsid w:val="00077042"/>
    <w:rsid w:val="000928B4"/>
    <w:rsid w:val="0009433F"/>
    <w:rsid w:val="000A24FD"/>
    <w:rsid w:val="000B4158"/>
    <w:rsid w:val="000B4740"/>
    <w:rsid w:val="000B7A30"/>
    <w:rsid w:val="000C2A52"/>
    <w:rsid w:val="000C6B71"/>
    <w:rsid w:val="000D1B6E"/>
    <w:rsid w:val="000E6897"/>
    <w:rsid w:val="000F2E2A"/>
    <w:rsid w:val="000F5A46"/>
    <w:rsid w:val="001008AA"/>
    <w:rsid w:val="0012573C"/>
    <w:rsid w:val="001464EB"/>
    <w:rsid w:val="001824C0"/>
    <w:rsid w:val="00187BD5"/>
    <w:rsid w:val="001979EB"/>
    <w:rsid w:val="001A25CF"/>
    <w:rsid w:val="001A26B4"/>
    <w:rsid w:val="001A38A7"/>
    <w:rsid w:val="001E03B0"/>
    <w:rsid w:val="001F0263"/>
    <w:rsid w:val="001F0CEB"/>
    <w:rsid w:val="00230F24"/>
    <w:rsid w:val="0024529D"/>
    <w:rsid w:val="00246C3B"/>
    <w:rsid w:val="002521EF"/>
    <w:rsid w:val="002525B8"/>
    <w:rsid w:val="002566B6"/>
    <w:rsid w:val="00261CDC"/>
    <w:rsid w:val="00272C26"/>
    <w:rsid w:val="002858A3"/>
    <w:rsid w:val="002A5B35"/>
    <w:rsid w:val="002B398A"/>
    <w:rsid w:val="002D1F11"/>
    <w:rsid w:val="002E1BAC"/>
    <w:rsid w:val="002E740A"/>
    <w:rsid w:val="002F39C0"/>
    <w:rsid w:val="00304A26"/>
    <w:rsid w:val="00321EA4"/>
    <w:rsid w:val="00344AF4"/>
    <w:rsid w:val="00385D74"/>
    <w:rsid w:val="00387025"/>
    <w:rsid w:val="003D2B33"/>
    <w:rsid w:val="00400221"/>
    <w:rsid w:val="004052D4"/>
    <w:rsid w:val="004235D7"/>
    <w:rsid w:val="00460543"/>
    <w:rsid w:val="00464228"/>
    <w:rsid w:val="004654E5"/>
    <w:rsid w:val="004A1259"/>
    <w:rsid w:val="004B5CB2"/>
    <w:rsid w:val="004C61CC"/>
    <w:rsid w:val="004D4375"/>
    <w:rsid w:val="004E4C8E"/>
    <w:rsid w:val="0050267A"/>
    <w:rsid w:val="00507051"/>
    <w:rsid w:val="00520D46"/>
    <w:rsid w:val="00526B1F"/>
    <w:rsid w:val="005308E1"/>
    <w:rsid w:val="00550627"/>
    <w:rsid w:val="00572750"/>
    <w:rsid w:val="00581A35"/>
    <w:rsid w:val="005B49C4"/>
    <w:rsid w:val="005C54C7"/>
    <w:rsid w:val="005D2BE8"/>
    <w:rsid w:val="005E3C93"/>
    <w:rsid w:val="005E5640"/>
    <w:rsid w:val="005F102F"/>
    <w:rsid w:val="0063241B"/>
    <w:rsid w:val="00661BA6"/>
    <w:rsid w:val="00667A8C"/>
    <w:rsid w:val="006737F6"/>
    <w:rsid w:val="00680E1A"/>
    <w:rsid w:val="00691D3F"/>
    <w:rsid w:val="006A15F3"/>
    <w:rsid w:val="006A2685"/>
    <w:rsid w:val="006A3091"/>
    <w:rsid w:val="006B123A"/>
    <w:rsid w:val="006C04DD"/>
    <w:rsid w:val="006C1EF2"/>
    <w:rsid w:val="006E06C4"/>
    <w:rsid w:val="006E33EA"/>
    <w:rsid w:val="006E4F8E"/>
    <w:rsid w:val="006F4451"/>
    <w:rsid w:val="006F5412"/>
    <w:rsid w:val="00720305"/>
    <w:rsid w:val="0072223E"/>
    <w:rsid w:val="007250F7"/>
    <w:rsid w:val="00735341"/>
    <w:rsid w:val="00735A53"/>
    <w:rsid w:val="00737A83"/>
    <w:rsid w:val="00741A5B"/>
    <w:rsid w:val="00747C21"/>
    <w:rsid w:val="00765F0B"/>
    <w:rsid w:val="00767106"/>
    <w:rsid w:val="007950BE"/>
    <w:rsid w:val="007B1673"/>
    <w:rsid w:val="007E5F92"/>
    <w:rsid w:val="007F1FED"/>
    <w:rsid w:val="008030F3"/>
    <w:rsid w:val="00803336"/>
    <w:rsid w:val="00846C93"/>
    <w:rsid w:val="00867F73"/>
    <w:rsid w:val="008831B1"/>
    <w:rsid w:val="00885755"/>
    <w:rsid w:val="008A4CA9"/>
    <w:rsid w:val="008A5124"/>
    <w:rsid w:val="008A5602"/>
    <w:rsid w:val="008C20B5"/>
    <w:rsid w:val="008C4599"/>
    <w:rsid w:val="008D70B6"/>
    <w:rsid w:val="008F05DB"/>
    <w:rsid w:val="008F52C5"/>
    <w:rsid w:val="00901938"/>
    <w:rsid w:val="00907B0A"/>
    <w:rsid w:val="00922268"/>
    <w:rsid w:val="009243D7"/>
    <w:rsid w:val="00924D29"/>
    <w:rsid w:val="00957AAF"/>
    <w:rsid w:val="009701ED"/>
    <w:rsid w:val="00970E43"/>
    <w:rsid w:val="00971646"/>
    <w:rsid w:val="00973CC7"/>
    <w:rsid w:val="00984AF3"/>
    <w:rsid w:val="0099634F"/>
    <w:rsid w:val="009A6ACD"/>
    <w:rsid w:val="009B2F97"/>
    <w:rsid w:val="009D2E95"/>
    <w:rsid w:val="00A03B55"/>
    <w:rsid w:val="00A05839"/>
    <w:rsid w:val="00A104FB"/>
    <w:rsid w:val="00A21BD2"/>
    <w:rsid w:val="00A444C2"/>
    <w:rsid w:val="00A531F4"/>
    <w:rsid w:val="00A54C3C"/>
    <w:rsid w:val="00AA20FD"/>
    <w:rsid w:val="00AB1497"/>
    <w:rsid w:val="00AB19B3"/>
    <w:rsid w:val="00AB6B63"/>
    <w:rsid w:val="00AC2B1D"/>
    <w:rsid w:val="00AE5394"/>
    <w:rsid w:val="00B007E1"/>
    <w:rsid w:val="00B14544"/>
    <w:rsid w:val="00B20C86"/>
    <w:rsid w:val="00B34569"/>
    <w:rsid w:val="00B75700"/>
    <w:rsid w:val="00B847A9"/>
    <w:rsid w:val="00B92276"/>
    <w:rsid w:val="00BA6DD3"/>
    <w:rsid w:val="00BB7FA6"/>
    <w:rsid w:val="00BC3319"/>
    <w:rsid w:val="00BF3C47"/>
    <w:rsid w:val="00C00455"/>
    <w:rsid w:val="00C2470E"/>
    <w:rsid w:val="00C32B69"/>
    <w:rsid w:val="00C46F4F"/>
    <w:rsid w:val="00C60DF9"/>
    <w:rsid w:val="00C72D8B"/>
    <w:rsid w:val="00C840FE"/>
    <w:rsid w:val="00CA4179"/>
    <w:rsid w:val="00CD12C2"/>
    <w:rsid w:val="00CD2F10"/>
    <w:rsid w:val="00CE0A4F"/>
    <w:rsid w:val="00CE64F1"/>
    <w:rsid w:val="00CF6D10"/>
    <w:rsid w:val="00D30AAA"/>
    <w:rsid w:val="00D3291E"/>
    <w:rsid w:val="00D36EC6"/>
    <w:rsid w:val="00D7702A"/>
    <w:rsid w:val="00D822D1"/>
    <w:rsid w:val="00D9360D"/>
    <w:rsid w:val="00DB018D"/>
    <w:rsid w:val="00DC1A91"/>
    <w:rsid w:val="00DC62E2"/>
    <w:rsid w:val="00DC6FA1"/>
    <w:rsid w:val="00DD7B15"/>
    <w:rsid w:val="00DE04DF"/>
    <w:rsid w:val="00E03996"/>
    <w:rsid w:val="00E07C92"/>
    <w:rsid w:val="00E13386"/>
    <w:rsid w:val="00E13ABC"/>
    <w:rsid w:val="00E36C69"/>
    <w:rsid w:val="00E53B3D"/>
    <w:rsid w:val="00E61378"/>
    <w:rsid w:val="00E82D1D"/>
    <w:rsid w:val="00E93EA6"/>
    <w:rsid w:val="00EA1D5A"/>
    <w:rsid w:val="00EA4C54"/>
    <w:rsid w:val="00EC0DA2"/>
    <w:rsid w:val="00EC108A"/>
    <w:rsid w:val="00EC3577"/>
    <w:rsid w:val="00EF35AF"/>
    <w:rsid w:val="00EF7026"/>
    <w:rsid w:val="00F02222"/>
    <w:rsid w:val="00F040E2"/>
    <w:rsid w:val="00F10689"/>
    <w:rsid w:val="00F16588"/>
    <w:rsid w:val="00F244C0"/>
    <w:rsid w:val="00F41BF4"/>
    <w:rsid w:val="00F462AC"/>
    <w:rsid w:val="00F5175E"/>
    <w:rsid w:val="00F659E8"/>
    <w:rsid w:val="00F80F45"/>
    <w:rsid w:val="00F84449"/>
    <w:rsid w:val="00F90398"/>
    <w:rsid w:val="00FD3E14"/>
    <w:rsid w:val="00FE5FAE"/>
    <w:rsid w:val="00FF10EF"/>
    <w:rsid w:val="00FF1E41"/>
    <w:rsid w:val="00FF777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3737A"/>
  <w15:chartTrackingRefBased/>
  <w15:docId w15:val="{3BE002A2-2F27-2740-B018-72D41993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82D1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98A"/>
    <w:pPr>
      <w:spacing w:before="100" w:beforeAutospacing="1" w:after="100" w:afterAutospacing="1"/>
    </w:pPr>
  </w:style>
  <w:style w:type="character" w:customStyle="1" w:styleId="apple-converted-space">
    <w:name w:val="apple-converted-space"/>
    <w:basedOn w:val="DefaultParagraphFont"/>
    <w:rsid w:val="002B398A"/>
  </w:style>
  <w:style w:type="paragraph" w:styleId="NormalWeb">
    <w:name w:val="Normal (Web)"/>
    <w:basedOn w:val="Normal"/>
    <w:uiPriority w:val="99"/>
    <w:semiHidden/>
    <w:unhideWhenUsed/>
    <w:rsid w:val="005308E1"/>
    <w:pPr>
      <w:spacing w:before="100" w:beforeAutospacing="1" w:after="100" w:afterAutospacing="1"/>
    </w:pPr>
  </w:style>
  <w:style w:type="table" w:styleId="TableGrid">
    <w:name w:val="Table Grid"/>
    <w:basedOn w:val="TableNormal"/>
    <w:uiPriority w:val="39"/>
    <w:rsid w:val="00B757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E4C8E"/>
    <w:rPr>
      <w:sz w:val="18"/>
      <w:szCs w:val="18"/>
    </w:rPr>
  </w:style>
  <w:style w:type="character" w:customStyle="1" w:styleId="BalloonTextChar">
    <w:name w:val="Balloon Text Char"/>
    <w:basedOn w:val="DefaultParagraphFont"/>
    <w:link w:val="BalloonText"/>
    <w:uiPriority w:val="99"/>
    <w:semiHidden/>
    <w:rsid w:val="004E4C8E"/>
    <w:rPr>
      <w:rFonts w:ascii="Times New Roman" w:hAnsi="Times New Roman" w:cs="Times New Roman"/>
      <w:sz w:val="18"/>
      <w:szCs w:val="18"/>
    </w:rPr>
  </w:style>
  <w:style w:type="paragraph" w:styleId="Footer">
    <w:name w:val="footer"/>
    <w:basedOn w:val="Normal"/>
    <w:link w:val="FooterChar"/>
    <w:uiPriority w:val="99"/>
    <w:unhideWhenUsed/>
    <w:rsid w:val="008D70B6"/>
    <w:pPr>
      <w:tabs>
        <w:tab w:val="center" w:pos="4680"/>
        <w:tab w:val="right" w:pos="9360"/>
      </w:tabs>
    </w:pPr>
  </w:style>
  <w:style w:type="character" w:customStyle="1" w:styleId="FooterChar">
    <w:name w:val="Footer Char"/>
    <w:basedOn w:val="DefaultParagraphFont"/>
    <w:link w:val="Footer"/>
    <w:uiPriority w:val="99"/>
    <w:rsid w:val="008D70B6"/>
  </w:style>
  <w:style w:type="character" w:styleId="PageNumber">
    <w:name w:val="page number"/>
    <w:basedOn w:val="DefaultParagraphFont"/>
    <w:uiPriority w:val="99"/>
    <w:semiHidden/>
    <w:unhideWhenUsed/>
    <w:rsid w:val="008D70B6"/>
  </w:style>
  <w:style w:type="paragraph" w:styleId="Header">
    <w:name w:val="header"/>
    <w:basedOn w:val="Normal"/>
    <w:link w:val="HeaderChar"/>
    <w:uiPriority w:val="99"/>
    <w:unhideWhenUsed/>
    <w:rsid w:val="00F41BF4"/>
    <w:pPr>
      <w:tabs>
        <w:tab w:val="center" w:pos="4680"/>
        <w:tab w:val="right" w:pos="9360"/>
      </w:tabs>
    </w:pPr>
  </w:style>
  <w:style w:type="character" w:customStyle="1" w:styleId="HeaderChar">
    <w:name w:val="Header Char"/>
    <w:basedOn w:val="DefaultParagraphFont"/>
    <w:link w:val="Header"/>
    <w:uiPriority w:val="99"/>
    <w:rsid w:val="00F41BF4"/>
    <w:rPr>
      <w:rFonts w:eastAsiaTheme="minorEastAsia"/>
    </w:rPr>
  </w:style>
  <w:style w:type="character" w:styleId="Hyperlink">
    <w:name w:val="Hyperlink"/>
    <w:basedOn w:val="DefaultParagraphFont"/>
    <w:uiPriority w:val="99"/>
    <w:unhideWhenUsed/>
    <w:rsid w:val="00DC6FA1"/>
    <w:rPr>
      <w:color w:val="0000FF"/>
      <w:u w:val="single"/>
    </w:rPr>
  </w:style>
  <w:style w:type="character" w:customStyle="1" w:styleId="UnresolvedMention1">
    <w:name w:val="Unresolved Mention1"/>
    <w:basedOn w:val="DefaultParagraphFont"/>
    <w:uiPriority w:val="99"/>
    <w:rsid w:val="00B92276"/>
    <w:rPr>
      <w:color w:val="605E5C"/>
      <w:shd w:val="clear" w:color="auto" w:fill="E1DFDD"/>
    </w:rPr>
  </w:style>
  <w:style w:type="paragraph" w:customStyle="1" w:styleId="default">
    <w:name w:val="default"/>
    <w:basedOn w:val="Normal"/>
    <w:rsid w:val="00907B0A"/>
    <w:pPr>
      <w:spacing w:before="100" w:beforeAutospacing="1" w:after="100" w:afterAutospacing="1"/>
    </w:pPr>
  </w:style>
  <w:style w:type="paragraph" w:customStyle="1" w:styleId="Default0">
    <w:name w:val="Default"/>
    <w:rsid w:val="00867F73"/>
    <w:pPr>
      <w:autoSpaceDE w:val="0"/>
      <w:autoSpaceDN w:val="0"/>
      <w:adjustRightInd w:val="0"/>
    </w:pPr>
    <w:rPr>
      <w:rFonts w:ascii="Times New Roman" w:hAnsi="Times New Roman" w:cs="Times New Roman"/>
      <w:color w:val="000000"/>
    </w:rPr>
  </w:style>
  <w:style w:type="paragraph" w:styleId="FootnoteText">
    <w:name w:val="footnote text"/>
    <w:aliases w:val="+ Footnote Text"/>
    <w:basedOn w:val="Normal"/>
    <w:link w:val="FootnoteTextChar"/>
    <w:uiPriority w:val="99"/>
    <w:unhideWhenUsed/>
    <w:rsid w:val="00867F73"/>
    <w:rPr>
      <w:sz w:val="20"/>
      <w:szCs w:val="20"/>
    </w:rPr>
  </w:style>
  <w:style w:type="character" w:customStyle="1" w:styleId="FootnoteTextChar">
    <w:name w:val="Footnote Text Char"/>
    <w:aliases w:val="+ Footnote Text Char"/>
    <w:basedOn w:val="DefaultParagraphFont"/>
    <w:link w:val="FootnoteText"/>
    <w:uiPriority w:val="99"/>
    <w:rsid w:val="00867F73"/>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867F73"/>
    <w:rPr>
      <w:vertAlign w:val="superscript"/>
    </w:rPr>
  </w:style>
  <w:style w:type="character" w:styleId="CommentReference">
    <w:name w:val="annotation reference"/>
    <w:basedOn w:val="DefaultParagraphFont"/>
    <w:uiPriority w:val="99"/>
    <w:semiHidden/>
    <w:unhideWhenUsed/>
    <w:rsid w:val="0063241B"/>
    <w:rPr>
      <w:sz w:val="16"/>
      <w:szCs w:val="16"/>
    </w:rPr>
  </w:style>
  <w:style w:type="paragraph" w:styleId="CommentText">
    <w:name w:val="annotation text"/>
    <w:basedOn w:val="Normal"/>
    <w:link w:val="CommentTextChar"/>
    <w:uiPriority w:val="99"/>
    <w:unhideWhenUsed/>
    <w:rsid w:val="0063241B"/>
    <w:rPr>
      <w:rFonts w:ascii="Calibri" w:hAnsi="Calibri" w:cstheme="minorBidi"/>
      <w:sz w:val="20"/>
      <w:szCs w:val="20"/>
    </w:rPr>
  </w:style>
  <w:style w:type="character" w:customStyle="1" w:styleId="CommentTextChar">
    <w:name w:val="Comment Text Char"/>
    <w:basedOn w:val="DefaultParagraphFont"/>
    <w:link w:val="CommentText"/>
    <w:uiPriority w:val="99"/>
    <w:rsid w:val="0063241B"/>
    <w:rPr>
      <w:rFonts w:ascii="Calibri" w:eastAsia="Times New Roman" w:hAnsi="Calibri"/>
      <w:sz w:val="20"/>
      <w:szCs w:val="20"/>
    </w:rPr>
  </w:style>
  <w:style w:type="character" w:styleId="FollowedHyperlink">
    <w:name w:val="FollowedHyperlink"/>
    <w:basedOn w:val="DefaultParagraphFont"/>
    <w:uiPriority w:val="99"/>
    <w:semiHidden/>
    <w:unhideWhenUsed/>
    <w:rsid w:val="00C60D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59646">
      <w:bodyDiv w:val="1"/>
      <w:marLeft w:val="0"/>
      <w:marRight w:val="0"/>
      <w:marTop w:val="0"/>
      <w:marBottom w:val="0"/>
      <w:divBdr>
        <w:top w:val="none" w:sz="0" w:space="0" w:color="auto"/>
        <w:left w:val="none" w:sz="0" w:space="0" w:color="auto"/>
        <w:bottom w:val="none" w:sz="0" w:space="0" w:color="auto"/>
        <w:right w:val="none" w:sz="0" w:space="0" w:color="auto"/>
      </w:divBdr>
    </w:div>
    <w:div w:id="52241704">
      <w:bodyDiv w:val="1"/>
      <w:marLeft w:val="0"/>
      <w:marRight w:val="0"/>
      <w:marTop w:val="0"/>
      <w:marBottom w:val="0"/>
      <w:divBdr>
        <w:top w:val="none" w:sz="0" w:space="0" w:color="auto"/>
        <w:left w:val="none" w:sz="0" w:space="0" w:color="auto"/>
        <w:bottom w:val="none" w:sz="0" w:space="0" w:color="auto"/>
        <w:right w:val="none" w:sz="0" w:space="0" w:color="auto"/>
      </w:divBdr>
    </w:div>
    <w:div w:id="84615177">
      <w:bodyDiv w:val="1"/>
      <w:marLeft w:val="0"/>
      <w:marRight w:val="0"/>
      <w:marTop w:val="0"/>
      <w:marBottom w:val="0"/>
      <w:divBdr>
        <w:top w:val="none" w:sz="0" w:space="0" w:color="auto"/>
        <w:left w:val="none" w:sz="0" w:space="0" w:color="auto"/>
        <w:bottom w:val="none" w:sz="0" w:space="0" w:color="auto"/>
        <w:right w:val="none" w:sz="0" w:space="0" w:color="auto"/>
      </w:divBdr>
    </w:div>
    <w:div w:id="182788654">
      <w:bodyDiv w:val="1"/>
      <w:marLeft w:val="0"/>
      <w:marRight w:val="0"/>
      <w:marTop w:val="0"/>
      <w:marBottom w:val="0"/>
      <w:divBdr>
        <w:top w:val="none" w:sz="0" w:space="0" w:color="auto"/>
        <w:left w:val="none" w:sz="0" w:space="0" w:color="auto"/>
        <w:bottom w:val="none" w:sz="0" w:space="0" w:color="auto"/>
        <w:right w:val="none" w:sz="0" w:space="0" w:color="auto"/>
      </w:divBdr>
    </w:div>
    <w:div w:id="240917455">
      <w:bodyDiv w:val="1"/>
      <w:marLeft w:val="0"/>
      <w:marRight w:val="0"/>
      <w:marTop w:val="0"/>
      <w:marBottom w:val="0"/>
      <w:divBdr>
        <w:top w:val="none" w:sz="0" w:space="0" w:color="auto"/>
        <w:left w:val="none" w:sz="0" w:space="0" w:color="auto"/>
        <w:bottom w:val="none" w:sz="0" w:space="0" w:color="auto"/>
        <w:right w:val="none" w:sz="0" w:space="0" w:color="auto"/>
      </w:divBdr>
      <w:divsChild>
        <w:div w:id="1506096208">
          <w:blockQuote w:val="1"/>
          <w:marLeft w:val="600"/>
          <w:marRight w:val="0"/>
          <w:marTop w:val="0"/>
          <w:marBottom w:val="0"/>
          <w:divBdr>
            <w:top w:val="none" w:sz="0" w:space="0" w:color="auto"/>
            <w:left w:val="none" w:sz="0" w:space="0" w:color="auto"/>
            <w:bottom w:val="none" w:sz="0" w:space="0" w:color="auto"/>
            <w:right w:val="none" w:sz="0" w:space="0" w:color="auto"/>
          </w:divBdr>
        </w:div>
        <w:div w:id="132793538">
          <w:blockQuote w:val="1"/>
          <w:marLeft w:val="600"/>
          <w:marRight w:val="0"/>
          <w:marTop w:val="0"/>
          <w:marBottom w:val="0"/>
          <w:divBdr>
            <w:top w:val="none" w:sz="0" w:space="0" w:color="auto"/>
            <w:left w:val="none" w:sz="0" w:space="0" w:color="auto"/>
            <w:bottom w:val="none" w:sz="0" w:space="0" w:color="auto"/>
            <w:right w:val="none" w:sz="0" w:space="0" w:color="auto"/>
          </w:divBdr>
        </w:div>
        <w:div w:id="1565214512">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43031237">
      <w:bodyDiv w:val="1"/>
      <w:marLeft w:val="0"/>
      <w:marRight w:val="0"/>
      <w:marTop w:val="0"/>
      <w:marBottom w:val="0"/>
      <w:divBdr>
        <w:top w:val="none" w:sz="0" w:space="0" w:color="auto"/>
        <w:left w:val="none" w:sz="0" w:space="0" w:color="auto"/>
        <w:bottom w:val="none" w:sz="0" w:space="0" w:color="auto"/>
        <w:right w:val="none" w:sz="0" w:space="0" w:color="auto"/>
      </w:divBdr>
    </w:div>
    <w:div w:id="312492123">
      <w:bodyDiv w:val="1"/>
      <w:marLeft w:val="0"/>
      <w:marRight w:val="0"/>
      <w:marTop w:val="0"/>
      <w:marBottom w:val="0"/>
      <w:divBdr>
        <w:top w:val="none" w:sz="0" w:space="0" w:color="auto"/>
        <w:left w:val="none" w:sz="0" w:space="0" w:color="auto"/>
        <w:bottom w:val="none" w:sz="0" w:space="0" w:color="auto"/>
        <w:right w:val="none" w:sz="0" w:space="0" w:color="auto"/>
      </w:divBdr>
      <w:divsChild>
        <w:div w:id="748312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43028">
              <w:marLeft w:val="0"/>
              <w:marRight w:val="0"/>
              <w:marTop w:val="0"/>
              <w:marBottom w:val="0"/>
              <w:divBdr>
                <w:top w:val="none" w:sz="0" w:space="0" w:color="auto"/>
                <w:left w:val="none" w:sz="0" w:space="0" w:color="auto"/>
                <w:bottom w:val="none" w:sz="0" w:space="0" w:color="auto"/>
                <w:right w:val="none" w:sz="0" w:space="0" w:color="auto"/>
              </w:divBdr>
              <w:divsChild>
                <w:div w:id="1491404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73390371">
      <w:bodyDiv w:val="1"/>
      <w:marLeft w:val="0"/>
      <w:marRight w:val="0"/>
      <w:marTop w:val="0"/>
      <w:marBottom w:val="0"/>
      <w:divBdr>
        <w:top w:val="none" w:sz="0" w:space="0" w:color="auto"/>
        <w:left w:val="none" w:sz="0" w:space="0" w:color="auto"/>
        <w:bottom w:val="none" w:sz="0" w:space="0" w:color="auto"/>
        <w:right w:val="none" w:sz="0" w:space="0" w:color="auto"/>
      </w:divBdr>
    </w:div>
    <w:div w:id="381684660">
      <w:bodyDiv w:val="1"/>
      <w:marLeft w:val="0"/>
      <w:marRight w:val="0"/>
      <w:marTop w:val="0"/>
      <w:marBottom w:val="0"/>
      <w:divBdr>
        <w:top w:val="none" w:sz="0" w:space="0" w:color="auto"/>
        <w:left w:val="none" w:sz="0" w:space="0" w:color="auto"/>
        <w:bottom w:val="none" w:sz="0" w:space="0" w:color="auto"/>
        <w:right w:val="none" w:sz="0" w:space="0" w:color="auto"/>
      </w:divBdr>
    </w:div>
    <w:div w:id="453864524">
      <w:bodyDiv w:val="1"/>
      <w:marLeft w:val="0"/>
      <w:marRight w:val="0"/>
      <w:marTop w:val="0"/>
      <w:marBottom w:val="0"/>
      <w:divBdr>
        <w:top w:val="none" w:sz="0" w:space="0" w:color="auto"/>
        <w:left w:val="none" w:sz="0" w:space="0" w:color="auto"/>
        <w:bottom w:val="none" w:sz="0" w:space="0" w:color="auto"/>
        <w:right w:val="none" w:sz="0" w:space="0" w:color="auto"/>
      </w:divBdr>
    </w:div>
    <w:div w:id="469130234">
      <w:bodyDiv w:val="1"/>
      <w:marLeft w:val="0"/>
      <w:marRight w:val="0"/>
      <w:marTop w:val="0"/>
      <w:marBottom w:val="0"/>
      <w:divBdr>
        <w:top w:val="none" w:sz="0" w:space="0" w:color="auto"/>
        <w:left w:val="none" w:sz="0" w:space="0" w:color="auto"/>
        <w:bottom w:val="none" w:sz="0" w:space="0" w:color="auto"/>
        <w:right w:val="none" w:sz="0" w:space="0" w:color="auto"/>
      </w:divBdr>
    </w:div>
    <w:div w:id="490876251">
      <w:bodyDiv w:val="1"/>
      <w:marLeft w:val="0"/>
      <w:marRight w:val="0"/>
      <w:marTop w:val="0"/>
      <w:marBottom w:val="0"/>
      <w:divBdr>
        <w:top w:val="none" w:sz="0" w:space="0" w:color="auto"/>
        <w:left w:val="none" w:sz="0" w:space="0" w:color="auto"/>
        <w:bottom w:val="none" w:sz="0" w:space="0" w:color="auto"/>
        <w:right w:val="none" w:sz="0" w:space="0" w:color="auto"/>
      </w:divBdr>
      <w:divsChild>
        <w:div w:id="476730930">
          <w:marLeft w:val="0"/>
          <w:marRight w:val="0"/>
          <w:marTop w:val="0"/>
          <w:marBottom w:val="0"/>
          <w:divBdr>
            <w:top w:val="none" w:sz="0" w:space="0" w:color="auto"/>
            <w:left w:val="none" w:sz="0" w:space="0" w:color="auto"/>
            <w:bottom w:val="none" w:sz="0" w:space="0" w:color="auto"/>
            <w:right w:val="none" w:sz="0" w:space="0" w:color="auto"/>
          </w:divBdr>
          <w:divsChild>
            <w:div w:id="1760443810">
              <w:marLeft w:val="0"/>
              <w:marRight w:val="0"/>
              <w:marTop w:val="0"/>
              <w:marBottom w:val="0"/>
              <w:divBdr>
                <w:top w:val="none" w:sz="0" w:space="0" w:color="auto"/>
                <w:left w:val="none" w:sz="0" w:space="0" w:color="auto"/>
                <w:bottom w:val="none" w:sz="0" w:space="0" w:color="auto"/>
                <w:right w:val="none" w:sz="0" w:space="0" w:color="auto"/>
              </w:divBdr>
            </w:div>
          </w:divsChild>
        </w:div>
        <w:div w:id="1310356492">
          <w:marLeft w:val="0"/>
          <w:marRight w:val="0"/>
          <w:marTop w:val="0"/>
          <w:marBottom w:val="0"/>
          <w:divBdr>
            <w:top w:val="none" w:sz="0" w:space="0" w:color="auto"/>
            <w:left w:val="none" w:sz="0" w:space="0" w:color="auto"/>
            <w:bottom w:val="none" w:sz="0" w:space="0" w:color="auto"/>
            <w:right w:val="none" w:sz="0" w:space="0" w:color="auto"/>
          </w:divBdr>
          <w:divsChild>
            <w:div w:id="1442339264">
              <w:marLeft w:val="0"/>
              <w:marRight w:val="0"/>
              <w:marTop w:val="0"/>
              <w:marBottom w:val="0"/>
              <w:divBdr>
                <w:top w:val="none" w:sz="0" w:space="0" w:color="auto"/>
                <w:left w:val="none" w:sz="0" w:space="0" w:color="auto"/>
                <w:bottom w:val="none" w:sz="0" w:space="0" w:color="auto"/>
                <w:right w:val="none" w:sz="0" w:space="0" w:color="auto"/>
              </w:divBdr>
            </w:div>
          </w:divsChild>
        </w:div>
        <w:div w:id="369306931">
          <w:marLeft w:val="0"/>
          <w:marRight w:val="0"/>
          <w:marTop w:val="0"/>
          <w:marBottom w:val="0"/>
          <w:divBdr>
            <w:top w:val="none" w:sz="0" w:space="0" w:color="auto"/>
            <w:left w:val="none" w:sz="0" w:space="0" w:color="auto"/>
            <w:bottom w:val="none" w:sz="0" w:space="0" w:color="auto"/>
            <w:right w:val="none" w:sz="0" w:space="0" w:color="auto"/>
          </w:divBdr>
          <w:divsChild>
            <w:div w:id="427239874">
              <w:marLeft w:val="0"/>
              <w:marRight w:val="0"/>
              <w:marTop w:val="0"/>
              <w:marBottom w:val="0"/>
              <w:divBdr>
                <w:top w:val="none" w:sz="0" w:space="0" w:color="auto"/>
                <w:left w:val="none" w:sz="0" w:space="0" w:color="auto"/>
                <w:bottom w:val="none" w:sz="0" w:space="0" w:color="auto"/>
                <w:right w:val="none" w:sz="0" w:space="0" w:color="auto"/>
              </w:divBdr>
            </w:div>
          </w:divsChild>
        </w:div>
        <w:div w:id="439185226">
          <w:marLeft w:val="0"/>
          <w:marRight w:val="0"/>
          <w:marTop w:val="0"/>
          <w:marBottom w:val="0"/>
          <w:divBdr>
            <w:top w:val="none" w:sz="0" w:space="0" w:color="auto"/>
            <w:left w:val="none" w:sz="0" w:space="0" w:color="auto"/>
            <w:bottom w:val="none" w:sz="0" w:space="0" w:color="auto"/>
            <w:right w:val="none" w:sz="0" w:space="0" w:color="auto"/>
          </w:divBdr>
          <w:divsChild>
            <w:div w:id="356129234">
              <w:marLeft w:val="0"/>
              <w:marRight w:val="0"/>
              <w:marTop w:val="0"/>
              <w:marBottom w:val="0"/>
              <w:divBdr>
                <w:top w:val="none" w:sz="0" w:space="0" w:color="auto"/>
                <w:left w:val="none" w:sz="0" w:space="0" w:color="auto"/>
                <w:bottom w:val="none" w:sz="0" w:space="0" w:color="auto"/>
                <w:right w:val="none" w:sz="0" w:space="0" w:color="auto"/>
              </w:divBdr>
            </w:div>
          </w:divsChild>
        </w:div>
        <w:div w:id="2127649315">
          <w:marLeft w:val="0"/>
          <w:marRight w:val="0"/>
          <w:marTop w:val="0"/>
          <w:marBottom w:val="0"/>
          <w:divBdr>
            <w:top w:val="none" w:sz="0" w:space="0" w:color="auto"/>
            <w:left w:val="none" w:sz="0" w:space="0" w:color="auto"/>
            <w:bottom w:val="none" w:sz="0" w:space="0" w:color="auto"/>
            <w:right w:val="none" w:sz="0" w:space="0" w:color="auto"/>
          </w:divBdr>
          <w:divsChild>
            <w:div w:id="29649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448640">
      <w:bodyDiv w:val="1"/>
      <w:marLeft w:val="0"/>
      <w:marRight w:val="0"/>
      <w:marTop w:val="0"/>
      <w:marBottom w:val="0"/>
      <w:divBdr>
        <w:top w:val="none" w:sz="0" w:space="0" w:color="auto"/>
        <w:left w:val="none" w:sz="0" w:space="0" w:color="auto"/>
        <w:bottom w:val="none" w:sz="0" w:space="0" w:color="auto"/>
        <w:right w:val="none" w:sz="0" w:space="0" w:color="auto"/>
      </w:divBdr>
      <w:divsChild>
        <w:div w:id="1323974019">
          <w:marLeft w:val="0"/>
          <w:marRight w:val="0"/>
          <w:marTop w:val="0"/>
          <w:marBottom w:val="0"/>
          <w:divBdr>
            <w:top w:val="none" w:sz="0" w:space="0" w:color="auto"/>
            <w:left w:val="none" w:sz="0" w:space="0" w:color="auto"/>
            <w:bottom w:val="none" w:sz="0" w:space="0" w:color="auto"/>
            <w:right w:val="none" w:sz="0" w:space="0" w:color="auto"/>
          </w:divBdr>
        </w:div>
        <w:div w:id="1399548158">
          <w:marLeft w:val="0"/>
          <w:marRight w:val="0"/>
          <w:marTop w:val="0"/>
          <w:marBottom w:val="0"/>
          <w:divBdr>
            <w:top w:val="none" w:sz="0" w:space="0" w:color="auto"/>
            <w:left w:val="none" w:sz="0" w:space="0" w:color="auto"/>
            <w:bottom w:val="none" w:sz="0" w:space="0" w:color="auto"/>
            <w:right w:val="none" w:sz="0" w:space="0" w:color="auto"/>
          </w:divBdr>
        </w:div>
        <w:div w:id="207646213">
          <w:marLeft w:val="0"/>
          <w:marRight w:val="0"/>
          <w:marTop w:val="0"/>
          <w:marBottom w:val="0"/>
          <w:divBdr>
            <w:top w:val="none" w:sz="0" w:space="0" w:color="auto"/>
            <w:left w:val="none" w:sz="0" w:space="0" w:color="auto"/>
            <w:bottom w:val="none" w:sz="0" w:space="0" w:color="auto"/>
            <w:right w:val="none" w:sz="0" w:space="0" w:color="auto"/>
          </w:divBdr>
        </w:div>
        <w:div w:id="1534224975">
          <w:marLeft w:val="0"/>
          <w:marRight w:val="0"/>
          <w:marTop w:val="0"/>
          <w:marBottom w:val="0"/>
          <w:divBdr>
            <w:top w:val="none" w:sz="0" w:space="0" w:color="auto"/>
            <w:left w:val="none" w:sz="0" w:space="0" w:color="auto"/>
            <w:bottom w:val="none" w:sz="0" w:space="0" w:color="auto"/>
            <w:right w:val="none" w:sz="0" w:space="0" w:color="auto"/>
          </w:divBdr>
        </w:div>
        <w:div w:id="667902965">
          <w:marLeft w:val="0"/>
          <w:marRight w:val="0"/>
          <w:marTop w:val="0"/>
          <w:marBottom w:val="0"/>
          <w:divBdr>
            <w:top w:val="none" w:sz="0" w:space="0" w:color="auto"/>
            <w:left w:val="none" w:sz="0" w:space="0" w:color="auto"/>
            <w:bottom w:val="none" w:sz="0" w:space="0" w:color="auto"/>
            <w:right w:val="none" w:sz="0" w:space="0" w:color="auto"/>
          </w:divBdr>
        </w:div>
        <w:div w:id="1486971692">
          <w:marLeft w:val="0"/>
          <w:marRight w:val="0"/>
          <w:marTop w:val="0"/>
          <w:marBottom w:val="0"/>
          <w:divBdr>
            <w:top w:val="none" w:sz="0" w:space="0" w:color="auto"/>
            <w:left w:val="none" w:sz="0" w:space="0" w:color="auto"/>
            <w:bottom w:val="double" w:sz="6" w:space="1" w:color="auto"/>
            <w:right w:val="none" w:sz="0" w:space="0" w:color="auto"/>
          </w:divBdr>
        </w:div>
      </w:divsChild>
    </w:div>
    <w:div w:id="642780940">
      <w:bodyDiv w:val="1"/>
      <w:marLeft w:val="0"/>
      <w:marRight w:val="0"/>
      <w:marTop w:val="0"/>
      <w:marBottom w:val="0"/>
      <w:divBdr>
        <w:top w:val="none" w:sz="0" w:space="0" w:color="auto"/>
        <w:left w:val="none" w:sz="0" w:space="0" w:color="auto"/>
        <w:bottom w:val="none" w:sz="0" w:space="0" w:color="auto"/>
        <w:right w:val="none" w:sz="0" w:space="0" w:color="auto"/>
      </w:divBdr>
    </w:div>
    <w:div w:id="781072011">
      <w:bodyDiv w:val="1"/>
      <w:marLeft w:val="0"/>
      <w:marRight w:val="0"/>
      <w:marTop w:val="0"/>
      <w:marBottom w:val="0"/>
      <w:divBdr>
        <w:top w:val="none" w:sz="0" w:space="0" w:color="auto"/>
        <w:left w:val="none" w:sz="0" w:space="0" w:color="auto"/>
        <w:bottom w:val="none" w:sz="0" w:space="0" w:color="auto"/>
        <w:right w:val="none" w:sz="0" w:space="0" w:color="auto"/>
      </w:divBdr>
    </w:div>
    <w:div w:id="859516686">
      <w:bodyDiv w:val="1"/>
      <w:marLeft w:val="0"/>
      <w:marRight w:val="0"/>
      <w:marTop w:val="0"/>
      <w:marBottom w:val="0"/>
      <w:divBdr>
        <w:top w:val="none" w:sz="0" w:space="0" w:color="auto"/>
        <w:left w:val="none" w:sz="0" w:space="0" w:color="auto"/>
        <w:bottom w:val="none" w:sz="0" w:space="0" w:color="auto"/>
        <w:right w:val="none" w:sz="0" w:space="0" w:color="auto"/>
      </w:divBdr>
    </w:div>
    <w:div w:id="959149636">
      <w:bodyDiv w:val="1"/>
      <w:marLeft w:val="0"/>
      <w:marRight w:val="0"/>
      <w:marTop w:val="0"/>
      <w:marBottom w:val="0"/>
      <w:divBdr>
        <w:top w:val="none" w:sz="0" w:space="0" w:color="auto"/>
        <w:left w:val="none" w:sz="0" w:space="0" w:color="auto"/>
        <w:bottom w:val="none" w:sz="0" w:space="0" w:color="auto"/>
        <w:right w:val="none" w:sz="0" w:space="0" w:color="auto"/>
      </w:divBdr>
    </w:div>
    <w:div w:id="1004043740">
      <w:bodyDiv w:val="1"/>
      <w:marLeft w:val="0"/>
      <w:marRight w:val="0"/>
      <w:marTop w:val="0"/>
      <w:marBottom w:val="0"/>
      <w:divBdr>
        <w:top w:val="none" w:sz="0" w:space="0" w:color="auto"/>
        <w:left w:val="none" w:sz="0" w:space="0" w:color="auto"/>
        <w:bottom w:val="none" w:sz="0" w:space="0" w:color="auto"/>
        <w:right w:val="none" w:sz="0" w:space="0" w:color="auto"/>
      </w:divBdr>
    </w:div>
    <w:div w:id="1013996174">
      <w:bodyDiv w:val="1"/>
      <w:marLeft w:val="0"/>
      <w:marRight w:val="0"/>
      <w:marTop w:val="0"/>
      <w:marBottom w:val="0"/>
      <w:divBdr>
        <w:top w:val="none" w:sz="0" w:space="0" w:color="auto"/>
        <w:left w:val="none" w:sz="0" w:space="0" w:color="auto"/>
        <w:bottom w:val="none" w:sz="0" w:space="0" w:color="auto"/>
        <w:right w:val="none" w:sz="0" w:space="0" w:color="auto"/>
      </w:divBdr>
    </w:div>
    <w:div w:id="1029450932">
      <w:bodyDiv w:val="1"/>
      <w:marLeft w:val="0"/>
      <w:marRight w:val="0"/>
      <w:marTop w:val="0"/>
      <w:marBottom w:val="0"/>
      <w:divBdr>
        <w:top w:val="none" w:sz="0" w:space="0" w:color="auto"/>
        <w:left w:val="none" w:sz="0" w:space="0" w:color="auto"/>
        <w:bottom w:val="none" w:sz="0" w:space="0" w:color="auto"/>
        <w:right w:val="none" w:sz="0" w:space="0" w:color="auto"/>
      </w:divBdr>
    </w:div>
    <w:div w:id="1082215395">
      <w:bodyDiv w:val="1"/>
      <w:marLeft w:val="0"/>
      <w:marRight w:val="0"/>
      <w:marTop w:val="0"/>
      <w:marBottom w:val="0"/>
      <w:divBdr>
        <w:top w:val="none" w:sz="0" w:space="0" w:color="auto"/>
        <w:left w:val="none" w:sz="0" w:space="0" w:color="auto"/>
        <w:bottom w:val="none" w:sz="0" w:space="0" w:color="auto"/>
        <w:right w:val="none" w:sz="0" w:space="0" w:color="auto"/>
      </w:divBdr>
    </w:div>
    <w:div w:id="1111247607">
      <w:bodyDiv w:val="1"/>
      <w:marLeft w:val="0"/>
      <w:marRight w:val="0"/>
      <w:marTop w:val="0"/>
      <w:marBottom w:val="0"/>
      <w:divBdr>
        <w:top w:val="none" w:sz="0" w:space="0" w:color="auto"/>
        <w:left w:val="none" w:sz="0" w:space="0" w:color="auto"/>
        <w:bottom w:val="none" w:sz="0" w:space="0" w:color="auto"/>
        <w:right w:val="none" w:sz="0" w:space="0" w:color="auto"/>
      </w:divBdr>
    </w:div>
    <w:div w:id="1121798569">
      <w:bodyDiv w:val="1"/>
      <w:marLeft w:val="0"/>
      <w:marRight w:val="0"/>
      <w:marTop w:val="0"/>
      <w:marBottom w:val="0"/>
      <w:divBdr>
        <w:top w:val="none" w:sz="0" w:space="0" w:color="auto"/>
        <w:left w:val="none" w:sz="0" w:space="0" w:color="auto"/>
        <w:bottom w:val="none" w:sz="0" w:space="0" w:color="auto"/>
        <w:right w:val="none" w:sz="0" w:space="0" w:color="auto"/>
      </w:divBdr>
    </w:div>
    <w:div w:id="1203253812">
      <w:bodyDiv w:val="1"/>
      <w:marLeft w:val="0"/>
      <w:marRight w:val="0"/>
      <w:marTop w:val="0"/>
      <w:marBottom w:val="0"/>
      <w:divBdr>
        <w:top w:val="none" w:sz="0" w:space="0" w:color="auto"/>
        <w:left w:val="none" w:sz="0" w:space="0" w:color="auto"/>
        <w:bottom w:val="none" w:sz="0" w:space="0" w:color="auto"/>
        <w:right w:val="none" w:sz="0" w:space="0" w:color="auto"/>
      </w:divBdr>
    </w:div>
    <w:div w:id="1222905990">
      <w:bodyDiv w:val="1"/>
      <w:marLeft w:val="0"/>
      <w:marRight w:val="0"/>
      <w:marTop w:val="0"/>
      <w:marBottom w:val="0"/>
      <w:divBdr>
        <w:top w:val="none" w:sz="0" w:space="0" w:color="auto"/>
        <w:left w:val="none" w:sz="0" w:space="0" w:color="auto"/>
        <w:bottom w:val="none" w:sz="0" w:space="0" w:color="auto"/>
        <w:right w:val="none" w:sz="0" w:space="0" w:color="auto"/>
      </w:divBdr>
    </w:div>
    <w:div w:id="1321351895">
      <w:bodyDiv w:val="1"/>
      <w:marLeft w:val="0"/>
      <w:marRight w:val="0"/>
      <w:marTop w:val="0"/>
      <w:marBottom w:val="0"/>
      <w:divBdr>
        <w:top w:val="none" w:sz="0" w:space="0" w:color="auto"/>
        <w:left w:val="none" w:sz="0" w:space="0" w:color="auto"/>
        <w:bottom w:val="none" w:sz="0" w:space="0" w:color="auto"/>
        <w:right w:val="none" w:sz="0" w:space="0" w:color="auto"/>
      </w:divBdr>
    </w:div>
    <w:div w:id="1351224587">
      <w:bodyDiv w:val="1"/>
      <w:marLeft w:val="0"/>
      <w:marRight w:val="0"/>
      <w:marTop w:val="0"/>
      <w:marBottom w:val="0"/>
      <w:divBdr>
        <w:top w:val="none" w:sz="0" w:space="0" w:color="auto"/>
        <w:left w:val="none" w:sz="0" w:space="0" w:color="auto"/>
        <w:bottom w:val="none" w:sz="0" w:space="0" w:color="auto"/>
        <w:right w:val="none" w:sz="0" w:space="0" w:color="auto"/>
      </w:divBdr>
    </w:div>
    <w:div w:id="1361977434">
      <w:bodyDiv w:val="1"/>
      <w:marLeft w:val="0"/>
      <w:marRight w:val="0"/>
      <w:marTop w:val="0"/>
      <w:marBottom w:val="0"/>
      <w:divBdr>
        <w:top w:val="none" w:sz="0" w:space="0" w:color="auto"/>
        <w:left w:val="none" w:sz="0" w:space="0" w:color="auto"/>
        <w:bottom w:val="none" w:sz="0" w:space="0" w:color="auto"/>
        <w:right w:val="none" w:sz="0" w:space="0" w:color="auto"/>
      </w:divBdr>
    </w:div>
    <w:div w:id="1422029084">
      <w:bodyDiv w:val="1"/>
      <w:marLeft w:val="0"/>
      <w:marRight w:val="0"/>
      <w:marTop w:val="0"/>
      <w:marBottom w:val="0"/>
      <w:divBdr>
        <w:top w:val="none" w:sz="0" w:space="0" w:color="auto"/>
        <w:left w:val="none" w:sz="0" w:space="0" w:color="auto"/>
        <w:bottom w:val="none" w:sz="0" w:space="0" w:color="auto"/>
        <w:right w:val="none" w:sz="0" w:space="0" w:color="auto"/>
      </w:divBdr>
    </w:div>
    <w:div w:id="1428885004">
      <w:bodyDiv w:val="1"/>
      <w:marLeft w:val="0"/>
      <w:marRight w:val="0"/>
      <w:marTop w:val="0"/>
      <w:marBottom w:val="0"/>
      <w:divBdr>
        <w:top w:val="none" w:sz="0" w:space="0" w:color="auto"/>
        <w:left w:val="none" w:sz="0" w:space="0" w:color="auto"/>
        <w:bottom w:val="none" w:sz="0" w:space="0" w:color="auto"/>
        <w:right w:val="none" w:sz="0" w:space="0" w:color="auto"/>
      </w:divBdr>
    </w:div>
    <w:div w:id="1458643115">
      <w:bodyDiv w:val="1"/>
      <w:marLeft w:val="0"/>
      <w:marRight w:val="0"/>
      <w:marTop w:val="0"/>
      <w:marBottom w:val="0"/>
      <w:divBdr>
        <w:top w:val="none" w:sz="0" w:space="0" w:color="auto"/>
        <w:left w:val="none" w:sz="0" w:space="0" w:color="auto"/>
        <w:bottom w:val="none" w:sz="0" w:space="0" w:color="auto"/>
        <w:right w:val="none" w:sz="0" w:space="0" w:color="auto"/>
      </w:divBdr>
    </w:div>
    <w:div w:id="1507550918">
      <w:bodyDiv w:val="1"/>
      <w:marLeft w:val="0"/>
      <w:marRight w:val="0"/>
      <w:marTop w:val="0"/>
      <w:marBottom w:val="0"/>
      <w:divBdr>
        <w:top w:val="none" w:sz="0" w:space="0" w:color="auto"/>
        <w:left w:val="none" w:sz="0" w:space="0" w:color="auto"/>
        <w:bottom w:val="none" w:sz="0" w:space="0" w:color="auto"/>
        <w:right w:val="none" w:sz="0" w:space="0" w:color="auto"/>
      </w:divBdr>
    </w:div>
    <w:div w:id="1527333494">
      <w:bodyDiv w:val="1"/>
      <w:marLeft w:val="0"/>
      <w:marRight w:val="0"/>
      <w:marTop w:val="0"/>
      <w:marBottom w:val="0"/>
      <w:divBdr>
        <w:top w:val="none" w:sz="0" w:space="0" w:color="auto"/>
        <w:left w:val="none" w:sz="0" w:space="0" w:color="auto"/>
        <w:bottom w:val="none" w:sz="0" w:space="0" w:color="auto"/>
        <w:right w:val="none" w:sz="0" w:space="0" w:color="auto"/>
      </w:divBdr>
    </w:div>
    <w:div w:id="1618951864">
      <w:bodyDiv w:val="1"/>
      <w:marLeft w:val="0"/>
      <w:marRight w:val="0"/>
      <w:marTop w:val="0"/>
      <w:marBottom w:val="0"/>
      <w:divBdr>
        <w:top w:val="none" w:sz="0" w:space="0" w:color="auto"/>
        <w:left w:val="none" w:sz="0" w:space="0" w:color="auto"/>
        <w:bottom w:val="none" w:sz="0" w:space="0" w:color="auto"/>
        <w:right w:val="none" w:sz="0" w:space="0" w:color="auto"/>
      </w:divBdr>
    </w:div>
    <w:div w:id="1625308830">
      <w:bodyDiv w:val="1"/>
      <w:marLeft w:val="0"/>
      <w:marRight w:val="0"/>
      <w:marTop w:val="0"/>
      <w:marBottom w:val="0"/>
      <w:divBdr>
        <w:top w:val="none" w:sz="0" w:space="0" w:color="auto"/>
        <w:left w:val="none" w:sz="0" w:space="0" w:color="auto"/>
        <w:bottom w:val="none" w:sz="0" w:space="0" w:color="auto"/>
        <w:right w:val="none" w:sz="0" w:space="0" w:color="auto"/>
      </w:divBdr>
    </w:div>
    <w:div w:id="1695107256">
      <w:bodyDiv w:val="1"/>
      <w:marLeft w:val="0"/>
      <w:marRight w:val="0"/>
      <w:marTop w:val="0"/>
      <w:marBottom w:val="0"/>
      <w:divBdr>
        <w:top w:val="none" w:sz="0" w:space="0" w:color="auto"/>
        <w:left w:val="none" w:sz="0" w:space="0" w:color="auto"/>
        <w:bottom w:val="none" w:sz="0" w:space="0" w:color="auto"/>
        <w:right w:val="none" w:sz="0" w:space="0" w:color="auto"/>
      </w:divBdr>
    </w:div>
    <w:div w:id="1749038324">
      <w:bodyDiv w:val="1"/>
      <w:marLeft w:val="0"/>
      <w:marRight w:val="0"/>
      <w:marTop w:val="0"/>
      <w:marBottom w:val="0"/>
      <w:divBdr>
        <w:top w:val="none" w:sz="0" w:space="0" w:color="auto"/>
        <w:left w:val="none" w:sz="0" w:space="0" w:color="auto"/>
        <w:bottom w:val="none" w:sz="0" w:space="0" w:color="auto"/>
        <w:right w:val="none" w:sz="0" w:space="0" w:color="auto"/>
      </w:divBdr>
    </w:div>
    <w:div w:id="1805656098">
      <w:bodyDiv w:val="1"/>
      <w:marLeft w:val="0"/>
      <w:marRight w:val="0"/>
      <w:marTop w:val="0"/>
      <w:marBottom w:val="0"/>
      <w:divBdr>
        <w:top w:val="none" w:sz="0" w:space="0" w:color="auto"/>
        <w:left w:val="none" w:sz="0" w:space="0" w:color="auto"/>
        <w:bottom w:val="none" w:sz="0" w:space="0" w:color="auto"/>
        <w:right w:val="none" w:sz="0" w:space="0" w:color="auto"/>
      </w:divBdr>
    </w:div>
    <w:div w:id="1891645095">
      <w:bodyDiv w:val="1"/>
      <w:marLeft w:val="0"/>
      <w:marRight w:val="0"/>
      <w:marTop w:val="0"/>
      <w:marBottom w:val="0"/>
      <w:divBdr>
        <w:top w:val="none" w:sz="0" w:space="0" w:color="auto"/>
        <w:left w:val="none" w:sz="0" w:space="0" w:color="auto"/>
        <w:bottom w:val="none" w:sz="0" w:space="0" w:color="auto"/>
        <w:right w:val="none" w:sz="0" w:space="0" w:color="auto"/>
      </w:divBdr>
    </w:div>
    <w:div w:id="1979384429">
      <w:bodyDiv w:val="1"/>
      <w:marLeft w:val="0"/>
      <w:marRight w:val="0"/>
      <w:marTop w:val="0"/>
      <w:marBottom w:val="0"/>
      <w:divBdr>
        <w:top w:val="none" w:sz="0" w:space="0" w:color="auto"/>
        <w:left w:val="none" w:sz="0" w:space="0" w:color="auto"/>
        <w:bottom w:val="none" w:sz="0" w:space="0" w:color="auto"/>
        <w:right w:val="none" w:sz="0" w:space="0" w:color="auto"/>
      </w:divBdr>
    </w:div>
    <w:div w:id="2022706091">
      <w:bodyDiv w:val="1"/>
      <w:marLeft w:val="0"/>
      <w:marRight w:val="0"/>
      <w:marTop w:val="0"/>
      <w:marBottom w:val="0"/>
      <w:divBdr>
        <w:top w:val="none" w:sz="0" w:space="0" w:color="auto"/>
        <w:left w:val="none" w:sz="0" w:space="0" w:color="auto"/>
        <w:bottom w:val="none" w:sz="0" w:space="0" w:color="auto"/>
        <w:right w:val="none" w:sz="0" w:space="0" w:color="auto"/>
      </w:divBdr>
    </w:div>
    <w:div w:id="212109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icann.org/resources/pages/approved-with-specs-2013-09-17-en"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s://www.icann.org/resources/pages/rdds-labeling-policy-2017-02-01-en" TargetMode="External"/><Relationship Id="rId11" Type="http://schemas.openxmlformats.org/officeDocument/2006/relationships/hyperlink" Target="https://www.icann.org/resources/pages/thick-whois-transition-policy-2017-02-01-en" TargetMode="External"/><Relationship Id="rId12" Type="http://schemas.openxmlformats.org/officeDocument/2006/relationships/hyperlink" Target="https://www.icann.org/resources/pages/udrp-rules-2015-03-11-en" TargetMode="External"/><Relationship Id="rId13" Type="http://schemas.openxmlformats.org/officeDocument/2006/relationships/hyperlink" Target="https://www.icann.org/en/resources/registrars/consensus-policies/wdrp" TargetMode="External"/><Relationship Id="rId14" Type="http://schemas.openxmlformats.org/officeDocument/2006/relationships/hyperlink" Target="https://www.icann.org/resources/pages/transfer-policy-2016-06-01-en" TargetMode="External"/><Relationship Id="rId15" Type="http://schemas.openxmlformats.org/officeDocument/2006/relationships/hyperlink" Target="http://newgtlds.icann.org/en/applicants/urs/rules-28jun13-en.pdf" TargetMode="External"/><Relationship Id="rId16" Type="http://schemas.openxmlformats.org/officeDocument/2006/relationships/hyperlink" Target="https://www.icann.org/octo" TargetMode="Externa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oter" Target="footer3.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community.icann.org/download/attachments/96207076/Data%20Elements%20Matrix_v0.7.3.pdf?version=1&amp;modificationDate=1542390110299&amp;api=v2" TargetMode="External"/><Relationship Id="rId8" Type="http://schemas.openxmlformats.org/officeDocument/2006/relationships/hyperlink" Target="https://community.icann.org/download/attachments/90774122/Summary-Contractual-Compliance-Data-Processing-Activities.pdf?version=1&amp;modificationDate=1542678827000&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14</Pages>
  <Words>4501</Words>
  <Characters>25660</Characters>
  <Application>Microsoft Macintosh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30101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Kurt Pritz</cp:lastModifiedBy>
  <cp:revision>6</cp:revision>
  <cp:lastPrinted>2019-01-29T13:43:00Z</cp:lastPrinted>
  <dcterms:created xsi:type="dcterms:W3CDTF">2019-02-12T17:31:00Z</dcterms:created>
  <dcterms:modified xsi:type="dcterms:W3CDTF">2019-02-12T18:23:00Z</dcterms:modified>
  <cp:category/>
</cp:coreProperties>
</file>