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94989" w14:textId="77777777" w:rsidR="00566B9B" w:rsidRDefault="00566B9B" w:rsidP="00513545">
      <w:pPr>
        <w:rPr>
          <w:rFonts w:eastAsia="Times New Roman" w:cs="Times New Roman"/>
          <w:sz w:val="22"/>
          <w:szCs w:val="22"/>
        </w:rPr>
      </w:pPr>
      <w:bookmarkStart w:id="0" w:name="_GoBack"/>
      <w:bookmarkEnd w:id="0"/>
      <w:r>
        <w:rPr>
          <w:rFonts w:eastAsia="Times New Roman" w:cs="Times New Roman"/>
          <w:sz w:val="22"/>
          <w:szCs w:val="22"/>
        </w:rPr>
        <w:t>Geographical Differentiation</w:t>
      </w:r>
    </w:p>
    <w:p w14:paraId="25E6D66D" w14:textId="77777777" w:rsidR="00566B9B" w:rsidRDefault="00566B9B" w:rsidP="00513545">
      <w:pPr>
        <w:rPr>
          <w:rFonts w:eastAsia="Times New Roman" w:cs="Times New Roman"/>
          <w:sz w:val="22"/>
          <w:szCs w:val="22"/>
        </w:rPr>
      </w:pPr>
    </w:p>
    <w:p w14:paraId="23BCDC48" w14:textId="77777777" w:rsidR="00566B9B" w:rsidRDefault="00566B9B" w:rsidP="00513545">
      <w:pPr>
        <w:rPr>
          <w:rFonts w:eastAsia="Times New Roman" w:cs="Times New Roman"/>
          <w:sz w:val="22"/>
          <w:szCs w:val="22"/>
        </w:rPr>
      </w:pPr>
      <w:r>
        <w:rPr>
          <w:rFonts w:eastAsia="Times New Roman" w:cs="Times New Roman"/>
          <w:sz w:val="22"/>
          <w:szCs w:val="22"/>
        </w:rPr>
        <w:t xml:space="preserve">Current Situation: </w:t>
      </w:r>
    </w:p>
    <w:p w14:paraId="1F5B70FA" w14:textId="77777777" w:rsidR="00566B9B" w:rsidRDefault="00566B9B" w:rsidP="00513545">
      <w:pPr>
        <w:rPr>
          <w:rFonts w:eastAsia="Times New Roman" w:cs="Times New Roman"/>
          <w:sz w:val="22"/>
          <w:szCs w:val="22"/>
        </w:rPr>
      </w:pPr>
    </w:p>
    <w:p w14:paraId="1209F0DA" w14:textId="77777777" w:rsidR="00B23227" w:rsidRDefault="00B23227" w:rsidP="00513545">
      <w:pPr>
        <w:rPr>
          <w:rFonts w:eastAsia="Times New Roman" w:cs="Times New Roman"/>
          <w:sz w:val="22"/>
          <w:szCs w:val="22"/>
        </w:rPr>
      </w:pPr>
      <w:r>
        <w:rPr>
          <w:rFonts w:eastAsia="Times New Roman" w:cs="Times New Roman"/>
          <w:sz w:val="22"/>
          <w:szCs w:val="22"/>
        </w:rPr>
        <w:t>The Tempora</w:t>
      </w:r>
      <w:r w:rsidR="00154607">
        <w:rPr>
          <w:rFonts w:eastAsia="Times New Roman" w:cs="Times New Roman"/>
          <w:sz w:val="22"/>
          <w:szCs w:val="22"/>
        </w:rPr>
        <w:t xml:space="preserve">ry Specification, in </w:t>
      </w:r>
      <w:r w:rsidR="005D06A5">
        <w:rPr>
          <w:rFonts w:eastAsia="Times New Roman" w:cs="Times New Roman"/>
          <w:sz w:val="22"/>
          <w:szCs w:val="22"/>
        </w:rPr>
        <w:t xml:space="preserve">Appendix A, </w:t>
      </w:r>
      <w:r w:rsidR="00154607">
        <w:rPr>
          <w:rFonts w:eastAsia="Times New Roman" w:cs="Times New Roman"/>
          <w:sz w:val="22"/>
          <w:szCs w:val="22"/>
        </w:rPr>
        <w:t xml:space="preserve">section </w:t>
      </w:r>
      <w:r w:rsidR="005D06A5">
        <w:rPr>
          <w:rFonts w:eastAsia="Times New Roman" w:cs="Times New Roman"/>
          <w:sz w:val="22"/>
          <w:szCs w:val="22"/>
        </w:rPr>
        <w:t>2.1, indicates which registrars</w:t>
      </w:r>
      <w:r>
        <w:rPr>
          <w:rFonts w:eastAsia="Times New Roman" w:cs="Times New Roman"/>
          <w:sz w:val="22"/>
          <w:szCs w:val="22"/>
        </w:rPr>
        <w:t xml:space="preserve"> (based on geographical considerations)</w:t>
      </w:r>
      <w:r w:rsidR="005D06A5">
        <w:rPr>
          <w:rFonts w:eastAsia="Times New Roman" w:cs="Times New Roman"/>
          <w:sz w:val="22"/>
          <w:szCs w:val="22"/>
        </w:rPr>
        <w:t xml:space="preserve"> </w:t>
      </w:r>
      <w:r>
        <w:rPr>
          <w:rFonts w:eastAsia="Times New Roman" w:cs="Times New Roman"/>
          <w:sz w:val="22"/>
          <w:szCs w:val="22"/>
        </w:rPr>
        <w:t xml:space="preserve">must comply with GDPR personal data publication restrictions. </w:t>
      </w:r>
    </w:p>
    <w:p w14:paraId="2269A05B" w14:textId="77777777" w:rsidR="00B23227" w:rsidRDefault="00B23227" w:rsidP="00513545">
      <w:pPr>
        <w:rPr>
          <w:rFonts w:eastAsia="Times New Roman" w:cs="Times New Roman"/>
          <w:sz w:val="22"/>
          <w:szCs w:val="22"/>
        </w:rPr>
      </w:pPr>
    </w:p>
    <w:p w14:paraId="49398FA3" w14:textId="77777777" w:rsidR="00B23227" w:rsidRDefault="00B23227" w:rsidP="00513545">
      <w:pPr>
        <w:rPr>
          <w:rFonts w:eastAsia="Times New Roman" w:cs="Times New Roman"/>
          <w:sz w:val="22"/>
          <w:szCs w:val="22"/>
        </w:rPr>
      </w:pPr>
      <w:r>
        <w:rPr>
          <w:rFonts w:eastAsia="Times New Roman" w:cs="Times New Roman"/>
          <w:sz w:val="22"/>
          <w:szCs w:val="22"/>
        </w:rPr>
        <w:t>Appendix A, section 3 states: “</w:t>
      </w:r>
      <w:r w:rsidRPr="00B23227">
        <w:rPr>
          <w:rFonts w:eastAsia="Times New Roman" w:cs="Times New Roman"/>
          <w:sz w:val="22"/>
          <w:szCs w:val="22"/>
        </w:rPr>
        <w:t>Registry Operator and Registrar MAY apply the requirements in Section 2 of this Appendix (</w:t>
      </w:r>
      <w:proofErr w:type="spellStart"/>
      <w:r w:rsidRPr="00B23227">
        <w:rPr>
          <w:rFonts w:eastAsia="Times New Roman" w:cs="Times New Roman"/>
          <w:sz w:val="22"/>
          <w:szCs w:val="22"/>
        </w:rPr>
        <w:t>i</w:t>
      </w:r>
      <w:proofErr w:type="spellEnd"/>
      <w:r w:rsidRPr="00B23227">
        <w:rPr>
          <w:rFonts w:eastAsia="Times New Roman" w:cs="Times New Roman"/>
          <w:sz w:val="22"/>
          <w:szCs w:val="22"/>
        </w:rPr>
        <w:t>) where it has a commercially reasonable purpose to do so ,or (ii) where it is not technically feasible to limit application of the requirements as provided in Section 2.1 of this Appendix</w:t>
      </w:r>
      <w:r>
        <w:rPr>
          <w:rFonts w:eastAsia="Times New Roman" w:cs="Times New Roman"/>
          <w:sz w:val="22"/>
          <w:szCs w:val="22"/>
        </w:rPr>
        <w:t>.”</w:t>
      </w:r>
    </w:p>
    <w:p w14:paraId="40482C1E" w14:textId="77777777" w:rsidR="00B23227" w:rsidRDefault="00B23227" w:rsidP="00513545">
      <w:pPr>
        <w:rPr>
          <w:rFonts w:eastAsia="Times New Roman" w:cs="Times New Roman"/>
          <w:sz w:val="22"/>
          <w:szCs w:val="22"/>
        </w:rPr>
      </w:pPr>
    </w:p>
    <w:p w14:paraId="2BD154D0" w14:textId="77777777" w:rsidR="00B23227" w:rsidRDefault="00B23227" w:rsidP="00513545">
      <w:pPr>
        <w:rPr>
          <w:rFonts w:eastAsia="Times New Roman" w:cs="Times New Roman"/>
          <w:sz w:val="22"/>
          <w:szCs w:val="22"/>
        </w:rPr>
      </w:pPr>
      <w:r>
        <w:rPr>
          <w:rFonts w:eastAsia="Times New Roman" w:cs="Times New Roman"/>
          <w:sz w:val="22"/>
          <w:szCs w:val="22"/>
        </w:rPr>
        <w:t>O</w:t>
      </w:r>
      <w:r w:rsidR="00CC66B5" w:rsidRPr="00EA5629">
        <w:rPr>
          <w:rFonts w:eastAsia="Times New Roman" w:cs="Times New Roman"/>
          <w:sz w:val="22"/>
          <w:szCs w:val="22"/>
        </w:rPr>
        <w:t xml:space="preserve">n 21 November 2018, the European Data Protection Board (EDPB) published additional </w:t>
      </w:r>
      <w:hyperlink r:id="rId5" w:history="1">
        <w:r w:rsidR="00CC66B5" w:rsidRPr="00EA5629">
          <w:rPr>
            <w:rStyle w:val="Hyperlink"/>
            <w:rFonts w:eastAsia="Times New Roman" w:cs="Times New Roman"/>
            <w:sz w:val="22"/>
            <w:szCs w:val="22"/>
          </w:rPr>
          <w:t>guidelines</w:t>
        </w:r>
      </w:hyperlink>
      <w:r w:rsidR="00CC66B5" w:rsidRPr="00EA5629">
        <w:rPr>
          <w:rFonts w:eastAsia="Times New Roman" w:cs="Times New Roman"/>
          <w:sz w:val="22"/>
          <w:szCs w:val="22"/>
        </w:rPr>
        <w:t xml:space="preserve"> </w:t>
      </w:r>
      <w:r w:rsidR="00EA5629">
        <w:rPr>
          <w:rFonts w:eastAsia="Times New Roman" w:cs="Times New Roman"/>
          <w:sz w:val="22"/>
          <w:szCs w:val="22"/>
        </w:rPr>
        <w:t xml:space="preserve">on the </w:t>
      </w:r>
      <w:r w:rsidR="00CC66B5" w:rsidRPr="00EA5629">
        <w:rPr>
          <w:rFonts w:eastAsia="Times New Roman" w:cs="Times New Roman"/>
          <w:sz w:val="22"/>
          <w:szCs w:val="22"/>
        </w:rPr>
        <w:t>territorial scope of the GDPR (Article 3)</w:t>
      </w:r>
      <w:r w:rsidR="00EA5629" w:rsidRPr="00EA5629">
        <w:rPr>
          <w:rFonts w:eastAsia="Times New Roman" w:cs="Times New Roman"/>
          <w:sz w:val="22"/>
          <w:szCs w:val="22"/>
        </w:rPr>
        <w:t xml:space="preserve">(Guideline 3/2018). </w:t>
      </w:r>
    </w:p>
    <w:p w14:paraId="18AF8835" w14:textId="77777777" w:rsidR="00566B9B" w:rsidRDefault="00566B9B" w:rsidP="00513545">
      <w:pPr>
        <w:rPr>
          <w:rFonts w:eastAsia="Times New Roman" w:cs="Times New Roman"/>
          <w:sz w:val="22"/>
          <w:szCs w:val="22"/>
        </w:rPr>
      </w:pPr>
    </w:p>
    <w:p w14:paraId="21090829" w14:textId="017D687D" w:rsidR="00566B9B" w:rsidRDefault="00566B9B" w:rsidP="00513545">
      <w:pPr>
        <w:rPr>
          <w:rFonts w:eastAsia="Times New Roman" w:cs="Times New Roman"/>
          <w:sz w:val="22"/>
          <w:szCs w:val="22"/>
        </w:rPr>
      </w:pPr>
      <w:r>
        <w:rPr>
          <w:rFonts w:eastAsia="Times New Roman" w:cs="Times New Roman"/>
          <w:sz w:val="22"/>
          <w:szCs w:val="22"/>
        </w:rPr>
        <w:t>The EPDP team noted</w:t>
      </w:r>
      <w:r w:rsidR="00710C2B">
        <w:rPr>
          <w:rFonts w:eastAsia="Times New Roman" w:cs="Times New Roman"/>
          <w:sz w:val="22"/>
          <w:szCs w:val="22"/>
        </w:rPr>
        <w:t xml:space="preserve">: (1) </w:t>
      </w:r>
      <w:r>
        <w:rPr>
          <w:rFonts w:eastAsia="Times New Roman" w:cs="Times New Roman"/>
          <w:sz w:val="22"/>
          <w:szCs w:val="22"/>
        </w:rPr>
        <w:t xml:space="preserve">the complex environment faced by contracted parties in making </w:t>
      </w:r>
      <w:r w:rsidR="00710C2B">
        <w:rPr>
          <w:rFonts w:eastAsia="Times New Roman" w:cs="Times New Roman"/>
          <w:sz w:val="22"/>
          <w:szCs w:val="22"/>
        </w:rPr>
        <w:t xml:space="preserve">geographical distinctions among registered name holders and also (2) the “rules engine” postulated by the </w:t>
      </w:r>
      <w:hyperlink r:id="rId6" w:history="1">
        <w:r w:rsidR="00244827" w:rsidRPr="00244827">
          <w:rPr>
            <w:rStyle w:val="Hyperlink"/>
            <w:rFonts w:eastAsia="Times New Roman" w:cs="Times New Roman"/>
            <w:sz w:val="22"/>
            <w:szCs w:val="22"/>
          </w:rPr>
          <w:t>Expert Working Group on gTLD Directory Services</w:t>
        </w:r>
      </w:hyperlink>
      <w:r w:rsidR="00244827">
        <w:rPr>
          <w:rFonts w:eastAsia="Times New Roman" w:cs="Times New Roman"/>
          <w:sz w:val="22"/>
          <w:szCs w:val="22"/>
        </w:rPr>
        <w:t xml:space="preserve"> (the “EWG”)</w:t>
      </w:r>
      <w:r w:rsidR="00710C2B">
        <w:rPr>
          <w:rFonts w:eastAsia="Times New Roman" w:cs="Times New Roman"/>
          <w:sz w:val="22"/>
          <w:szCs w:val="22"/>
        </w:rPr>
        <w:t>.</w:t>
      </w:r>
    </w:p>
    <w:p w14:paraId="728ADB7E" w14:textId="77777777" w:rsidR="00B23227" w:rsidRDefault="00B23227" w:rsidP="00513545">
      <w:pPr>
        <w:rPr>
          <w:rFonts w:eastAsia="Times New Roman" w:cs="Times New Roman"/>
          <w:sz w:val="22"/>
          <w:szCs w:val="22"/>
        </w:rPr>
      </w:pPr>
    </w:p>
    <w:p w14:paraId="54135F5E" w14:textId="77777777" w:rsidR="00566B9B" w:rsidRDefault="00566B9B" w:rsidP="00513545">
      <w:pPr>
        <w:rPr>
          <w:rFonts w:eastAsia="Times New Roman" w:cs="Times New Roman"/>
          <w:sz w:val="22"/>
          <w:szCs w:val="22"/>
        </w:rPr>
      </w:pPr>
      <w:r>
        <w:rPr>
          <w:rFonts w:eastAsia="Times New Roman" w:cs="Times New Roman"/>
          <w:sz w:val="22"/>
          <w:szCs w:val="22"/>
        </w:rPr>
        <w:t xml:space="preserve">Final Report language might include: </w:t>
      </w:r>
    </w:p>
    <w:p w14:paraId="063E76E3" w14:textId="77777777" w:rsidR="00566B9B" w:rsidRDefault="00566B9B" w:rsidP="00513545">
      <w:pPr>
        <w:rPr>
          <w:rFonts w:eastAsia="Times New Roman" w:cs="Times New Roman"/>
          <w:sz w:val="22"/>
          <w:szCs w:val="22"/>
        </w:rPr>
      </w:pPr>
    </w:p>
    <w:p w14:paraId="25639EDC" w14:textId="431E31B7" w:rsidR="00566B9B" w:rsidRDefault="00566B9B" w:rsidP="00513545">
      <w:pPr>
        <w:rPr>
          <w:rFonts w:eastAsia="Times New Roman" w:cs="Times New Roman"/>
          <w:sz w:val="22"/>
          <w:szCs w:val="22"/>
        </w:rPr>
      </w:pPr>
      <w:r>
        <w:rPr>
          <w:rFonts w:eastAsia="Times New Roman" w:cs="Times New Roman"/>
          <w:sz w:val="22"/>
          <w:szCs w:val="22"/>
        </w:rPr>
        <w:t xml:space="preserve">Currently, </w:t>
      </w:r>
      <w:r w:rsidRPr="00B23227">
        <w:rPr>
          <w:rFonts w:eastAsia="Times New Roman" w:cs="Times New Roman"/>
          <w:sz w:val="22"/>
          <w:szCs w:val="22"/>
        </w:rPr>
        <w:t>Registry Operator and Registrar MAY apply the requirements in</w:t>
      </w:r>
      <w:r>
        <w:rPr>
          <w:rFonts w:eastAsia="Times New Roman" w:cs="Times New Roman"/>
          <w:sz w:val="22"/>
          <w:szCs w:val="22"/>
        </w:rPr>
        <w:t xml:space="preserve"> the Temporary Specification Appendix A, section </w:t>
      </w:r>
      <w:r w:rsidRPr="00B23227">
        <w:rPr>
          <w:rFonts w:eastAsia="Times New Roman" w:cs="Times New Roman"/>
          <w:sz w:val="22"/>
          <w:szCs w:val="22"/>
        </w:rPr>
        <w:t>2 of this Appendix (</w:t>
      </w:r>
      <w:proofErr w:type="spellStart"/>
      <w:r w:rsidRPr="00B23227">
        <w:rPr>
          <w:rFonts w:eastAsia="Times New Roman" w:cs="Times New Roman"/>
          <w:sz w:val="22"/>
          <w:szCs w:val="22"/>
        </w:rPr>
        <w:t>i</w:t>
      </w:r>
      <w:proofErr w:type="spellEnd"/>
      <w:r w:rsidRPr="00B23227">
        <w:rPr>
          <w:rFonts w:eastAsia="Times New Roman" w:cs="Times New Roman"/>
          <w:sz w:val="22"/>
          <w:szCs w:val="22"/>
        </w:rPr>
        <w:t>) where it has a commercially reasonable purpose to do so,</w:t>
      </w:r>
      <w:r w:rsidR="008D73AC">
        <w:rPr>
          <w:rFonts w:eastAsia="Times New Roman" w:cs="Times New Roman"/>
          <w:sz w:val="22"/>
          <w:szCs w:val="22"/>
        </w:rPr>
        <w:t xml:space="preserve"> </w:t>
      </w:r>
      <w:r w:rsidRPr="00B23227">
        <w:rPr>
          <w:rFonts w:eastAsia="Times New Roman" w:cs="Times New Roman"/>
          <w:sz w:val="22"/>
          <w:szCs w:val="22"/>
        </w:rPr>
        <w:t>or (ii) where it is not technically feasible to limit application of the requirements as provided in Section 2.1 of this Appendix</w:t>
      </w:r>
      <w:r>
        <w:rPr>
          <w:rFonts w:eastAsia="Times New Roman" w:cs="Times New Roman"/>
          <w:sz w:val="22"/>
          <w:szCs w:val="22"/>
        </w:rPr>
        <w:t>.</w:t>
      </w:r>
    </w:p>
    <w:p w14:paraId="79D220D4" w14:textId="77777777" w:rsidR="00566B9B" w:rsidRDefault="00566B9B" w:rsidP="00513545">
      <w:pPr>
        <w:rPr>
          <w:rFonts w:eastAsia="Times New Roman" w:cs="Times New Roman"/>
          <w:sz w:val="22"/>
          <w:szCs w:val="22"/>
        </w:rPr>
      </w:pPr>
    </w:p>
    <w:p w14:paraId="0D426D17" w14:textId="77777777" w:rsidR="00566B9B" w:rsidRDefault="00566B9B" w:rsidP="00513545">
      <w:pPr>
        <w:rPr>
          <w:rFonts w:eastAsia="Times New Roman" w:cs="Times New Roman"/>
          <w:sz w:val="22"/>
          <w:szCs w:val="22"/>
        </w:rPr>
      </w:pPr>
      <w:r>
        <w:rPr>
          <w:rFonts w:eastAsia="Times New Roman" w:cs="Times New Roman"/>
          <w:sz w:val="22"/>
          <w:szCs w:val="22"/>
        </w:rPr>
        <w:t>In the meantime, the EPDP Team will:</w:t>
      </w:r>
    </w:p>
    <w:p w14:paraId="485FB970" w14:textId="77777777" w:rsidR="00566B9B" w:rsidRDefault="00566B9B" w:rsidP="00513545">
      <w:pPr>
        <w:rPr>
          <w:rFonts w:eastAsia="Times New Roman" w:cs="Times New Roman"/>
          <w:sz w:val="22"/>
          <w:szCs w:val="22"/>
        </w:rPr>
      </w:pPr>
    </w:p>
    <w:p w14:paraId="1B59CC5D" w14:textId="77777777" w:rsidR="00566B9B" w:rsidRPr="00566B9B" w:rsidRDefault="00566B9B" w:rsidP="00566B9B">
      <w:pPr>
        <w:pStyle w:val="ListParagraph"/>
        <w:numPr>
          <w:ilvl w:val="0"/>
          <w:numId w:val="1"/>
        </w:numPr>
        <w:rPr>
          <w:rFonts w:eastAsia="Times New Roman" w:cs="Times New Roman"/>
          <w:sz w:val="22"/>
          <w:szCs w:val="22"/>
        </w:rPr>
      </w:pPr>
      <w:r w:rsidRPr="00566B9B">
        <w:rPr>
          <w:rFonts w:eastAsia="Times New Roman" w:cs="Times New Roman"/>
          <w:sz w:val="22"/>
          <w:szCs w:val="22"/>
        </w:rPr>
        <w:t xml:space="preserve">seek additional clarity to that provided in the latest EDPB Guidelines to determine if a set of criteria (specifically establishment and targeting criteria) can be developed that enables Registry Operators and Registrars to readily differentiate between those registered name holders falling under GDPR restrictions and those that do not, </w:t>
      </w:r>
    </w:p>
    <w:p w14:paraId="5F01DAFC" w14:textId="77777777" w:rsidR="00566B9B" w:rsidRDefault="00566B9B" w:rsidP="00513545">
      <w:pPr>
        <w:rPr>
          <w:rFonts w:eastAsia="Times New Roman" w:cs="Times New Roman"/>
          <w:sz w:val="22"/>
          <w:szCs w:val="22"/>
        </w:rPr>
      </w:pPr>
    </w:p>
    <w:p w14:paraId="653ACF29" w14:textId="77777777" w:rsidR="00566B9B" w:rsidRDefault="00566B9B" w:rsidP="00513545">
      <w:pPr>
        <w:rPr>
          <w:rFonts w:eastAsia="Times New Roman" w:cs="Times New Roman"/>
          <w:sz w:val="22"/>
          <w:szCs w:val="22"/>
        </w:rPr>
      </w:pPr>
      <w:r>
        <w:rPr>
          <w:rFonts w:eastAsia="Times New Roman" w:cs="Times New Roman"/>
          <w:sz w:val="22"/>
          <w:szCs w:val="22"/>
        </w:rPr>
        <w:t>and</w:t>
      </w:r>
    </w:p>
    <w:p w14:paraId="1C2A3B07" w14:textId="77777777" w:rsidR="00566B9B" w:rsidRDefault="00566B9B" w:rsidP="00513545">
      <w:pPr>
        <w:rPr>
          <w:rFonts w:eastAsia="Times New Roman" w:cs="Times New Roman"/>
          <w:sz w:val="22"/>
          <w:szCs w:val="22"/>
        </w:rPr>
      </w:pPr>
    </w:p>
    <w:p w14:paraId="1B273AEF" w14:textId="78661D0F" w:rsidR="00CC66B5" w:rsidRPr="00566B9B" w:rsidRDefault="00566B9B" w:rsidP="00566B9B">
      <w:pPr>
        <w:pStyle w:val="ListParagraph"/>
        <w:numPr>
          <w:ilvl w:val="0"/>
          <w:numId w:val="1"/>
        </w:numPr>
        <w:rPr>
          <w:rFonts w:eastAsia="Times New Roman" w:cs="Times New Roman"/>
          <w:sz w:val="22"/>
          <w:szCs w:val="22"/>
        </w:rPr>
      </w:pPr>
      <w:r>
        <w:rPr>
          <w:rFonts w:eastAsia="Times New Roman" w:cs="Times New Roman"/>
          <w:sz w:val="22"/>
          <w:szCs w:val="22"/>
        </w:rPr>
        <w:t xml:space="preserve">will instruct ICANN </w:t>
      </w:r>
      <w:r w:rsidR="008D73AC">
        <w:rPr>
          <w:rFonts w:eastAsia="Times New Roman" w:cs="Times New Roman"/>
          <w:sz w:val="22"/>
          <w:szCs w:val="22"/>
        </w:rPr>
        <w:t xml:space="preserve">to </w:t>
      </w:r>
      <w:r w:rsidR="00710C2B">
        <w:rPr>
          <w:rFonts w:eastAsia="Times New Roman" w:cs="Times New Roman"/>
          <w:sz w:val="22"/>
          <w:szCs w:val="22"/>
        </w:rPr>
        <w:t>undertake an initial</w:t>
      </w:r>
      <w:r w:rsidR="00EA5629" w:rsidRPr="00566B9B">
        <w:rPr>
          <w:rFonts w:eastAsia="Times New Roman" w:cs="Times New Roman"/>
          <w:sz w:val="22"/>
          <w:szCs w:val="22"/>
        </w:rPr>
        <w:t xml:space="preserve"> feasibility </w:t>
      </w:r>
      <w:r w:rsidR="00710C2B">
        <w:rPr>
          <w:rFonts w:eastAsia="Times New Roman" w:cs="Times New Roman"/>
          <w:sz w:val="22"/>
          <w:szCs w:val="22"/>
        </w:rPr>
        <w:t xml:space="preserve">study </w:t>
      </w:r>
      <w:r w:rsidR="00EA5629" w:rsidRPr="00566B9B">
        <w:rPr>
          <w:rFonts w:eastAsia="Times New Roman" w:cs="Times New Roman"/>
          <w:sz w:val="22"/>
          <w:szCs w:val="22"/>
        </w:rPr>
        <w:t xml:space="preserve">of a </w:t>
      </w:r>
      <w:r w:rsidR="00C06B8E" w:rsidRPr="00566B9B">
        <w:rPr>
          <w:rFonts w:eastAsia="Times New Roman" w:cs="Times New Roman"/>
          <w:sz w:val="22"/>
          <w:szCs w:val="22"/>
        </w:rPr>
        <w:t>“</w:t>
      </w:r>
      <w:r w:rsidR="00EA5629" w:rsidRPr="00566B9B">
        <w:rPr>
          <w:rFonts w:eastAsia="Times New Roman" w:cs="Times New Roman"/>
          <w:sz w:val="22"/>
          <w:szCs w:val="22"/>
        </w:rPr>
        <w:t>rules engine</w:t>
      </w:r>
      <w:r w:rsidR="00C06B8E" w:rsidRPr="00566B9B">
        <w:rPr>
          <w:rFonts w:eastAsia="Times New Roman" w:cs="Times New Roman"/>
          <w:sz w:val="22"/>
          <w:szCs w:val="22"/>
        </w:rPr>
        <w:t>”</w:t>
      </w:r>
      <w:r w:rsidR="00750868" w:rsidRPr="00566B9B">
        <w:rPr>
          <w:rFonts w:eastAsia="Times New Roman" w:cs="Times New Roman"/>
          <w:sz w:val="22"/>
          <w:szCs w:val="22"/>
        </w:rPr>
        <w:t>, an information system to apply data protection laws</w:t>
      </w:r>
      <w:r w:rsidR="000A7A0E">
        <w:rPr>
          <w:rFonts w:eastAsia="Times New Roman" w:cs="Times New Roman"/>
          <w:sz w:val="22"/>
          <w:szCs w:val="22"/>
        </w:rPr>
        <w:t>, including direction that the study be of limited scope and budget before</w:t>
      </w:r>
      <w:r w:rsidR="00C06B8E" w:rsidRPr="00566B9B">
        <w:rPr>
          <w:rFonts w:eastAsia="Times New Roman" w:cs="Times New Roman"/>
          <w:sz w:val="22"/>
          <w:szCs w:val="22"/>
        </w:rPr>
        <w:t xml:space="preserve"> </w:t>
      </w:r>
      <w:r w:rsidR="000A7A0E">
        <w:rPr>
          <w:rFonts w:eastAsia="Times New Roman" w:cs="Times New Roman"/>
          <w:sz w:val="22"/>
          <w:szCs w:val="22"/>
        </w:rPr>
        <w:t xml:space="preserve">directed </w:t>
      </w:r>
      <w:r w:rsidR="00C06B8E" w:rsidRPr="00566B9B">
        <w:rPr>
          <w:rFonts w:eastAsia="Times New Roman" w:cs="Times New Roman"/>
          <w:sz w:val="22"/>
          <w:szCs w:val="22"/>
        </w:rPr>
        <w:t>research commences</w:t>
      </w:r>
      <w:r w:rsidR="000A7A0E">
        <w:rPr>
          <w:rFonts w:eastAsia="Times New Roman" w:cs="Times New Roman"/>
          <w:sz w:val="22"/>
          <w:szCs w:val="22"/>
        </w:rPr>
        <w:t xml:space="preserve"> and design parameters are determined, and that, </w:t>
      </w:r>
      <w:r w:rsidR="00D274A9">
        <w:rPr>
          <w:rFonts w:eastAsia="Times New Roman" w:cs="Times New Roman"/>
          <w:sz w:val="22"/>
          <w:szCs w:val="22"/>
        </w:rPr>
        <w:t>depending on the</w:t>
      </w:r>
      <w:r w:rsidR="00EA5629" w:rsidRPr="00566B9B">
        <w:rPr>
          <w:rFonts w:eastAsia="Times New Roman" w:cs="Times New Roman"/>
          <w:sz w:val="22"/>
          <w:szCs w:val="22"/>
        </w:rPr>
        <w:t xml:space="preserve"> outcome, the EPDP Team may recommend further work on a rules engine</w:t>
      </w:r>
      <w:r w:rsidR="00D274A9">
        <w:rPr>
          <w:rFonts w:eastAsia="Times New Roman" w:cs="Times New Roman"/>
          <w:sz w:val="22"/>
          <w:szCs w:val="22"/>
        </w:rPr>
        <w:t xml:space="preserve"> </w:t>
      </w:r>
      <w:r w:rsidR="00EA5629" w:rsidRPr="00566B9B">
        <w:rPr>
          <w:rFonts w:eastAsia="Times New Roman" w:cs="Times New Roman"/>
          <w:sz w:val="22"/>
          <w:szCs w:val="22"/>
        </w:rPr>
        <w:t>or similar mechanism.</w:t>
      </w:r>
    </w:p>
    <w:p w14:paraId="4B0CAFED" w14:textId="77777777" w:rsidR="00CC66B5" w:rsidRPr="00EA5629" w:rsidRDefault="00CC66B5" w:rsidP="00CC66B5">
      <w:pPr>
        <w:rPr>
          <w:rFonts w:eastAsia="Times New Roman" w:cs="Times New Roman"/>
          <w:sz w:val="22"/>
          <w:szCs w:val="22"/>
        </w:rPr>
      </w:pPr>
    </w:p>
    <w:p w14:paraId="40C5ED6A" w14:textId="77777777" w:rsidR="00404709" w:rsidRDefault="00404709"/>
    <w:sectPr w:rsidR="00404709" w:rsidSect="00440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F6549"/>
    <w:multiLevelType w:val="hybridMultilevel"/>
    <w:tmpl w:val="3B9E8FA6"/>
    <w:lvl w:ilvl="0" w:tplc="1EDAD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6B5"/>
    <w:rsid w:val="000A7A0E"/>
    <w:rsid w:val="00154607"/>
    <w:rsid w:val="001E10E8"/>
    <w:rsid w:val="00243B59"/>
    <w:rsid w:val="00244827"/>
    <w:rsid w:val="00404709"/>
    <w:rsid w:val="00440B65"/>
    <w:rsid w:val="00513545"/>
    <w:rsid w:val="00566B9B"/>
    <w:rsid w:val="005D06A5"/>
    <w:rsid w:val="00710C2B"/>
    <w:rsid w:val="00750868"/>
    <w:rsid w:val="008D73AC"/>
    <w:rsid w:val="009B38A3"/>
    <w:rsid w:val="00B23227"/>
    <w:rsid w:val="00C06B8E"/>
    <w:rsid w:val="00CC66B5"/>
    <w:rsid w:val="00D274A9"/>
    <w:rsid w:val="00DC58CE"/>
    <w:rsid w:val="00EA5629"/>
    <w:rsid w:val="00FC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5CD2"/>
  <w15:chartTrackingRefBased/>
  <w15:docId w15:val="{15EB4100-6440-7B46-AF04-6A682740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629"/>
    <w:rPr>
      <w:color w:val="0563C1" w:themeColor="hyperlink"/>
      <w:u w:val="single"/>
    </w:rPr>
  </w:style>
  <w:style w:type="character" w:customStyle="1" w:styleId="UnresolvedMention1">
    <w:name w:val="Unresolved Mention1"/>
    <w:basedOn w:val="DefaultParagraphFont"/>
    <w:uiPriority w:val="99"/>
    <w:rsid w:val="00EA5629"/>
    <w:rPr>
      <w:color w:val="605E5C"/>
      <w:shd w:val="clear" w:color="auto" w:fill="E1DFDD"/>
    </w:rPr>
  </w:style>
  <w:style w:type="paragraph" w:styleId="ListParagraph">
    <w:name w:val="List Paragraph"/>
    <w:basedOn w:val="Normal"/>
    <w:uiPriority w:val="34"/>
    <w:qFormat/>
    <w:rsid w:val="00566B9B"/>
    <w:pPr>
      <w:ind w:left="720"/>
      <w:contextualSpacing/>
    </w:pPr>
  </w:style>
  <w:style w:type="character" w:styleId="UnresolvedMention">
    <w:name w:val="Unresolved Mention"/>
    <w:basedOn w:val="DefaultParagraphFont"/>
    <w:uiPriority w:val="99"/>
    <w:rsid w:val="00244827"/>
    <w:rPr>
      <w:color w:val="605E5C"/>
      <w:shd w:val="clear" w:color="auto" w:fill="E1DFDD"/>
    </w:rPr>
  </w:style>
  <w:style w:type="paragraph" w:styleId="BalloonText">
    <w:name w:val="Balloon Text"/>
    <w:basedOn w:val="Normal"/>
    <w:link w:val="BalloonTextChar"/>
    <w:uiPriority w:val="99"/>
    <w:semiHidden/>
    <w:unhideWhenUsed/>
    <w:rsid w:val="0024482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4482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5208">
      <w:bodyDiv w:val="1"/>
      <w:marLeft w:val="0"/>
      <w:marRight w:val="0"/>
      <w:marTop w:val="0"/>
      <w:marBottom w:val="0"/>
      <w:divBdr>
        <w:top w:val="none" w:sz="0" w:space="0" w:color="auto"/>
        <w:left w:val="none" w:sz="0" w:space="0" w:color="auto"/>
        <w:bottom w:val="none" w:sz="0" w:space="0" w:color="auto"/>
        <w:right w:val="none" w:sz="0" w:space="0" w:color="auto"/>
      </w:divBdr>
    </w:div>
    <w:div w:id="1152018649">
      <w:bodyDiv w:val="1"/>
      <w:marLeft w:val="0"/>
      <w:marRight w:val="0"/>
      <w:marTop w:val="0"/>
      <w:marBottom w:val="0"/>
      <w:divBdr>
        <w:top w:val="none" w:sz="0" w:space="0" w:color="auto"/>
        <w:left w:val="none" w:sz="0" w:space="0" w:color="auto"/>
        <w:bottom w:val="none" w:sz="0" w:space="0" w:color="auto"/>
        <w:right w:val="none" w:sz="0" w:space="0" w:color="auto"/>
      </w:divBdr>
    </w:div>
    <w:div w:id="1180240291">
      <w:bodyDiv w:val="1"/>
      <w:marLeft w:val="0"/>
      <w:marRight w:val="0"/>
      <w:marTop w:val="0"/>
      <w:marBottom w:val="0"/>
      <w:divBdr>
        <w:top w:val="none" w:sz="0" w:space="0" w:color="auto"/>
        <w:left w:val="none" w:sz="0" w:space="0" w:color="auto"/>
        <w:bottom w:val="none" w:sz="0" w:space="0" w:color="auto"/>
        <w:right w:val="none" w:sz="0" w:space="0" w:color="auto"/>
      </w:divBdr>
    </w:div>
    <w:div w:id="1242525678">
      <w:bodyDiv w:val="1"/>
      <w:marLeft w:val="0"/>
      <w:marRight w:val="0"/>
      <w:marTop w:val="0"/>
      <w:marBottom w:val="0"/>
      <w:divBdr>
        <w:top w:val="none" w:sz="0" w:space="0" w:color="auto"/>
        <w:left w:val="none" w:sz="0" w:space="0" w:color="auto"/>
        <w:bottom w:val="none" w:sz="0" w:space="0" w:color="auto"/>
        <w:right w:val="none" w:sz="0" w:space="0" w:color="auto"/>
      </w:divBdr>
    </w:div>
    <w:div w:id="1284994860">
      <w:bodyDiv w:val="1"/>
      <w:marLeft w:val="0"/>
      <w:marRight w:val="0"/>
      <w:marTop w:val="0"/>
      <w:marBottom w:val="0"/>
      <w:divBdr>
        <w:top w:val="none" w:sz="0" w:space="0" w:color="auto"/>
        <w:left w:val="none" w:sz="0" w:space="0" w:color="auto"/>
        <w:bottom w:val="none" w:sz="0" w:space="0" w:color="auto"/>
        <w:right w:val="none" w:sz="0" w:space="0" w:color="auto"/>
      </w:divBdr>
    </w:div>
    <w:div w:id="166389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en/system/files/files/final-report-06jun14-en.pdf" TargetMode="External"/><Relationship Id="rId5" Type="http://schemas.openxmlformats.org/officeDocument/2006/relationships/hyperlink" Target="https://edpb.europa.eu/our-work-tools/public-consultations/2018/guidelines-32018-territorial-scope-gdpr-article-3_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4</cp:revision>
  <dcterms:created xsi:type="dcterms:W3CDTF">2018-12-19T17:27:00Z</dcterms:created>
  <dcterms:modified xsi:type="dcterms:W3CDTF">2018-12-19T20:30:00Z</dcterms:modified>
</cp:coreProperties>
</file>