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4F163" w14:textId="77777777" w:rsidR="009252D7" w:rsidRDefault="00C60373">
      <w:pPr>
        <w:contextualSpacing w:val="0"/>
        <w:rPr>
          <w:rFonts w:ascii="Calibri" w:eastAsia="Calibri" w:hAnsi="Calibri" w:cs="Calibri"/>
        </w:rPr>
      </w:pPr>
      <w:r>
        <w:rPr>
          <w:rFonts w:ascii="Calibri" w:eastAsia="Calibri" w:hAnsi="Calibri" w:cs="Calibri"/>
        </w:rPr>
        <w:t xml:space="preserve"> </w:t>
      </w:r>
    </w:p>
    <w:p w14:paraId="4A7D6DF5" w14:textId="77777777" w:rsidR="009252D7" w:rsidRDefault="00C60373">
      <w:pPr>
        <w:contextualSpacing w:val="0"/>
        <w:rPr>
          <w:b/>
        </w:rPr>
      </w:pPr>
      <w:r>
        <w:rPr>
          <w:b/>
        </w:rPr>
        <w:t>EPDP Team Preliminary Rec #13.</w:t>
      </w:r>
      <w:bookmarkStart w:id="0" w:name="_GoBack"/>
      <w:bookmarkEnd w:id="0"/>
      <w:r>
        <w:rPr>
          <w:b/>
        </w:rPr>
        <w:t xml:space="preserve">               </w:t>
      </w:r>
    </w:p>
    <w:p w14:paraId="48F027BF" w14:textId="77777777" w:rsidR="009252D7" w:rsidRDefault="00C60373">
      <w:pPr>
        <w:contextualSpacing w:val="0"/>
      </w:pPr>
      <w:r>
        <w:t xml:space="preserve">Based on the information and the deliberations the EPDP Team had on this topic and pending further input and legal advice, the EPDP Team recommends that </w:t>
      </w:r>
      <w:commentRangeStart w:id="1"/>
      <w:r>
        <w:t>ICANN negotiates and enters</w:t>
      </w:r>
      <w:commentRangeEnd w:id="1"/>
      <w:r>
        <w:commentReference w:id="1"/>
      </w:r>
      <w:r>
        <w:t xml:space="preserve"> into a Joint Controller Agreement (JCA) with the contracted parties.</w:t>
      </w:r>
    </w:p>
    <w:p w14:paraId="403198C3" w14:textId="77777777" w:rsidR="009252D7" w:rsidRDefault="00C60373">
      <w:pPr>
        <w:contextualSpacing w:val="0"/>
      </w:pPr>
      <w:r>
        <w:t xml:space="preserve"> </w:t>
      </w:r>
    </w:p>
    <w:p w14:paraId="49BE4A87" w14:textId="77777777" w:rsidR="009252D7" w:rsidRDefault="00C60373">
      <w:pPr>
        <w:contextualSpacing w:val="0"/>
      </w:pPr>
      <w:r>
        <w:t>In addition to the legally required components of such agreement, the JCA shall specify the responsibilities of the respective parties for the processing activities as described below.</w:t>
      </w:r>
      <w:r>
        <w:t xml:space="preserve"> </w:t>
      </w:r>
      <w:commentRangeStart w:id="2"/>
      <w:r>
        <w:t>Indemnification clauses</w:t>
      </w:r>
      <w:commentRangeEnd w:id="2"/>
      <w:r>
        <w:commentReference w:id="2"/>
      </w:r>
      <w:r>
        <w:t xml:space="preserve"> shall ensure that the risk for certain data processing is borne by either one or multiple parties that have the primary interest in the processing.</w:t>
      </w:r>
    </w:p>
    <w:p w14:paraId="243E0725" w14:textId="77777777" w:rsidR="009252D7" w:rsidRDefault="00C60373">
      <w:pPr>
        <w:contextualSpacing w:val="0"/>
      </w:pPr>
      <w:r>
        <w:t xml:space="preserve"> </w:t>
      </w:r>
    </w:p>
    <w:p w14:paraId="7AA4D1B5" w14:textId="77777777" w:rsidR="009252D7" w:rsidRDefault="00C60373">
      <w:pPr>
        <w:contextualSpacing w:val="0"/>
        <w:rPr>
          <w:highlight w:val="yellow"/>
        </w:rPr>
      </w:pPr>
      <w:r>
        <w:rPr>
          <w:highlight w:val="yellow"/>
        </w:rPr>
        <w:t xml:space="preserve">·       </w:t>
      </w:r>
      <w:r>
        <w:t>The EPDP Team understands that a joint controller situation between IC</w:t>
      </w:r>
      <w:r>
        <w:t xml:space="preserve">ANN Org, Registries and Registrars requires work at a greater level of granularity than in this report. </w:t>
      </w:r>
      <w:r>
        <w:rPr>
          <w:highlight w:val="yellow"/>
        </w:rPr>
        <w:t>During the further work of the EPDP and negotiations that will subsequently take place between the Registries, Registrars and ICANN in relation to memor</w:t>
      </w:r>
      <w:r>
        <w:rPr>
          <w:highlight w:val="yellow"/>
        </w:rPr>
        <w:t>ializing this relationship when entering into a Joint Controller Agreement (JCA), the parties shall conduct a detailed review of the individual processing activities and the actions to be taken by the respective parties. Note that Art. 26 sec 2 of the GDPR</w:t>
      </w:r>
      <w:r>
        <w:rPr>
          <w:highlight w:val="yellow"/>
        </w:rPr>
        <w:t xml:space="preserve"> specifies:</w:t>
      </w:r>
    </w:p>
    <w:p w14:paraId="200E0098" w14:textId="77777777" w:rsidR="009252D7" w:rsidRDefault="00C60373">
      <w:pPr>
        <w:contextualSpacing w:val="0"/>
        <w:rPr>
          <w:highlight w:val="yellow"/>
        </w:rPr>
      </w:pPr>
      <w:r>
        <w:rPr>
          <w:highlight w:val="yellow"/>
        </w:rPr>
        <w:t xml:space="preserve"> </w:t>
      </w:r>
    </w:p>
    <w:p w14:paraId="54399A2A" w14:textId="77777777" w:rsidR="009252D7" w:rsidRDefault="00C60373">
      <w:pPr>
        <w:contextualSpacing w:val="0"/>
        <w:rPr>
          <w:highlight w:val="yellow"/>
        </w:rPr>
      </w:pPr>
      <w:r>
        <w:rPr>
          <w:highlight w:val="yellow"/>
        </w:rPr>
        <w:t>"The arrangement referred to in paragraph 1 shall duly reflect the respective roles and relationships of the joint controllers vis-à-vis the data subjects. The essence of the arrangement shall be made available to the data subject."</w:t>
      </w:r>
    </w:p>
    <w:p w14:paraId="40DC1A05" w14:textId="77777777" w:rsidR="009252D7" w:rsidRDefault="00C60373">
      <w:pPr>
        <w:contextualSpacing w:val="0"/>
        <w:rPr>
          <w:highlight w:val="yellow"/>
        </w:rPr>
      </w:pPr>
      <w:r>
        <w:rPr>
          <w:highlight w:val="yellow"/>
        </w:rPr>
        <w:t xml:space="preserve"> </w:t>
      </w:r>
    </w:p>
    <w:p w14:paraId="56DF06B6" w14:textId="77777777" w:rsidR="009252D7" w:rsidRDefault="00C60373">
      <w:pPr>
        <w:contextualSpacing w:val="0"/>
      </w:pPr>
      <w:r>
        <w:rPr>
          <w:highlight w:val="yellow"/>
        </w:rPr>
        <w:t>Based o</w:t>
      </w:r>
      <w:r>
        <w:rPr>
          <w:highlight w:val="yellow"/>
        </w:rPr>
        <w:t>n this, two documents will need to be prepared, one which is published and outlines the roles and responsibility and one private document containing more and potentially confidential information on the collaboration of the joint controllers</w:t>
      </w:r>
      <w:commentRangeStart w:id="3"/>
      <w:r>
        <w:rPr>
          <w:highlight w:val="yellow"/>
        </w:rPr>
        <w:t>.</w:t>
      </w:r>
      <w:commentRangeEnd w:id="3"/>
      <w:r>
        <w:commentReference w:id="3"/>
      </w:r>
      <w:r>
        <w:t xml:space="preserve"> </w:t>
      </w:r>
    </w:p>
    <w:p w14:paraId="4511463D" w14:textId="77777777" w:rsidR="009252D7" w:rsidRDefault="00C60373">
      <w:pPr>
        <w:contextualSpacing w:val="0"/>
      </w:pPr>
      <w:r>
        <w:t xml:space="preserve"> </w:t>
      </w:r>
    </w:p>
    <w:p w14:paraId="42C06EFF" w14:textId="77777777" w:rsidR="009252D7" w:rsidRDefault="00C60373">
      <w:pPr>
        <w:contextualSpacing w:val="0"/>
      </w:pPr>
      <w:r>
        <w:t xml:space="preserve">A clear </w:t>
      </w:r>
      <w:r>
        <w:t xml:space="preserve">demarcation the processing activities covered by the JCA versus those carried out by either party outside the scope of the JCA shall be documented and reflected both in the private as well as in the public version of the JCA. </w:t>
      </w:r>
    </w:p>
    <w:p w14:paraId="6B6F087F" w14:textId="77777777" w:rsidR="009252D7" w:rsidRDefault="009252D7">
      <w:pPr>
        <w:contextualSpacing w:val="0"/>
      </w:pPr>
    </w:p>
    <w:p w14:paraId="1DA5E481" w14:textId="77777777" w:rsidR="009252D7" w:rsidRDefault="00C60373">
      <w:pPr>
        <w:contextualSpacing w:val="0"/>
      </w:pPr>
      <w:r>
        <w:t>The JCA shall ensure that th</w:t>
      </w:r>
      <w:r>
        <w:t xml:space="preserve">e risks of data processing are shared adequately based on whose interests are concerned. Also, the JCA shall include indemnifications to ensure that no party shall ultimately be liable for another parties’ wrongdoing. </w:t>
      </w:r>
    </w:p>
    <w:p w14:paraId="003BDFCA" w14:textId="77777777" w:rsidR="009252D7" w:rsidRDefault="009252D7">
      <w:pPr>
        <w:contextualSpacing w:val="0"/>
      </w:pPr>
    </w:p>
    <w:p w14:paraId="14050155" w14:textId="77777777" w:rsidR="009252D7" w:rsidRDefault="00C60373">
      <w:pPr>
        <w:contextualSpacing w:val="0"/>
      </w:pPr>
      <w:r>
        <w:t>The JCA shall recognize that parties</w:t>
      </w:r>
      <w:r>
        <w:t xml:space="preserve"> are currently using third parties’ services or otherwise work with </w:t>
      </w:r>
      <w:commentRangeStart w:id="4"/>
      <w:r>
        <w:t>third parties</w:t>
      </w:r>
      <w:commentRangeEnd w:id="4"/>
      <w:r>
        <w:commentReference w:id="4"/>
      </w:r>
      <w:r>
        <w:t xml:space="preserve">, such as </w:t>
      </w:r>
    </w:p>
    <w:p w14:paraId="1F10CF28" w14:textId="77777777" w:rsidR="009252D7" w:rsidRDefault="00C60373">
      <w:pPr>
        <w:contextualSpacing w:val="0"/>
      </w:pPr>
      <w:r>
        <w:t xml:space="preserve"> </w:t>
      </w:r>
    </w:p>
    <w:p w14:paraId="62E7F8FE" w14:textId="77777777" w:rsidR="009252D7" w:rsidRDefault="00C60373">
      <w:pPr>
        <w:contextualSpacing w:val="0"/>
      </w:pPr>
      <w:r>
        <w:t xml:space="preserve">·   </w:t>
      </w:r>
      <w:r>
        <w:tab/>
        <w:t>Data Escrow Agents</w:t>
      </w:r>
    </w:p>
    <w:p w14:paraId="784814EB" w14:textId="77777777" w:rsidR="009252D7" w:rsidRDefault="00C60373">
      <w:pPr>
        <w:contextualSpacing w:val="0"/>
      </w:pPr>
      <w:r>
        <w:t xml:space="preserve">·   </w:t>
      </w:r>
      <w:r>
        <w:tab/>
        <w:t>EBEROs</w:t>
      </w:r>
    </w:p>
    <w:p w14:paraId="005763C0" w14:textId="77777777" w:rsidR="009252D7" w:rsidRDefault="00C60373">
      <w:pPr>
        <w:contextualSpacing w:val="0"/>
      </w:pPr>
      <w:r>
        <w:t xml:space="preserve">·   </w:t>
      </w:r>
      <w:r>
        <w:tab/>
        <w:t>Registry Service Providers</w:t>
      </w:r>
    </w:p>
    <w:p w14:paraId="339A7147" w14:textId="77777777" w:rsidR="009252D7" w:rsidRDefault="00C60373">
      <w:pPr>
        <w:contextualSpacing w:val="0"/>
      </w:pPr>
      <w:r>
        <w:t xml:space="preserve">·   </w:t>
      </w:r>
      <w:r>
        <w:tab/>
        <w:t>Registrar as a Service Providers</w:t>
      </w:r>
    </w:p>
    <w:p w14:paraId="46F870EF" w14:textId="77777777" w:rsidR="009252D7" w:rsidRDefault="00C60373">
      <w:pPr>
        <w:contextualSpacing w:val="0"/>
      </w:pPr>
      <w:r>
        <w:t xml:space="preserve">·   </w:t>
      </w:r>
      <w:r>
        <w:tab/>
        <w:t>Resellers</w:t>
      </w:r>
    </w:p>
    <w:p w14:paraId="44115545" w14:textId="77777777" w:rsidR="009252D7" w:rsidRDefault="00C60373">
      <w:pPr>
        <w:contextualSpacing w:val="0"/>
      </w:pPr>
      <w:r>
        <w:t xml:space="preserve">·   </w:t>
      </w:r>
      <w:r>
        <w:tab/>
        <w:t>Dispute Resolution Providers</w:t>
      </w:r>
    </w:p>
    <w:p w14:paraId="680106BD" w14:textId="77777777" w:rsidR="009252D7" w:rsidRDefault="00C60373">
      <w:pPr>
        <w:contextualSpacing w:val="0"/>
      </w:pPr>
      <w:r>
        <w:lastRenderedPageBreak/>
        <w:t xml:space="preserve">·   </w:t>
      </w:r>
      <w:r>
        <w:tab/>
        <w:t>the TMCH.</w:t>
      </w:r>
    </w:p>
    <w:p w14:paraId="0A6C763A" w14:textId="77777777" w:rsidR="009252D7" w:rsidRDefault="00C60373">
      <w:pPr>
        <w:contextualSpacing w:val="0"/>
      </w:pPr>
      <w:r>
        <w:t xml:space="preserve"> </w:t>
      </w:r>
    </w:p>
    <w:p w14:paraId="7E004251" w14:textId="77777777" w:rsidR="009252D7" w:rsidRDefault="00C60373">
      <w:pPr>
        <w:contextualSpacing w:val="0"/>
      </w:pPr>
      <w:r>
        <w:t xml:space="preserve">This may or may not include processing of personal data by those third parties. Where personal data is processed by third parties, the </w:t>
      </w:r>
      <w:commentRangeStart w:id="5"/>
      <w:r>
        <w:t>respective joint controller</w:t>
      </w:r>
      <w:commentRangeEnd w:id="5"/>
      <w:r>
        <w:commentReference w:id="5"/>
      </w:r>
      <w:r>
        <w:t xml:space="preserve"> will need to ensure that the data processing is carried out in a way complian</w:t>
      </w:r>
      <w:r>
        <w:t xml:space="preserve">t with GDPR. However, conditional to GDPR compliance, nothing in the JCA shall prevent the respective joint controller from engaging third parties and entering into the required agreements without further authorizations from the other joint controllers. </w:t>
      </w:r>
    </w:p>
    <w:p w14:paraId="6AFD26EB" w14:textId="77777777" w:rsidR="009252D7" w:rsidRDefault="009252D7">
      <w:pPr>
        <w:contextualSpacing w:val="0"/>
      </w:pPr>
    </w:p>
    <w:p w14:paraId="0CCAEB34" w14:textId="77777777" w:rsidR="009252D7" w:rsidRDefault="00C60373">
      <w:pPr>
        <w:contextualSpacing w:val="0"/>
        <w:rPr>
          <w:highlight w:val="yellow"/>
        </w:rPr>
      </w:pPr>
      <w:r>
        <w:t xml:space="preserve">The EPDP Team considers it out of scope of its work </w:t>
      </w:r>
      <w:r>
        <w:rPr>
          <w:highlight w:val="yellow"/>
        </w:rPr>
        <w:t>to prepare a JCA or even to</w:t>
      </w:r>
      <w:r>
        <w:t xml:space="preserve"> prescribe in what form JCAs will be entered into, as long as a set of the minimum requirements as specified in the EPDP Team’s report, are met. It does appear advisable, though, to create one template, which can be amended to reflect situations that are n</w:t>
      </w:r>
      <w:r>
        <w:t>ot applicable industry-wide (such as eligibility requirements for registered name holders) and that JCAs are entered into per TLD between ICANN Org, the respective Registry Operator and registrars. A potential way to facilitate contracting would be to make</w:t>
      </w:r>
      <w:r>
        <w:t xml:space="preserve"> the JCA part of the RRA, so there would be separate tri-partite agreements between ICANN Org, the Registry Operator and</w:t>
      </w:r>
      <w:commentRangeStart w:id="6"/>
      <w:r>
        <w:t xml:space="preserve"> each registrar</w:t>
      </w:r>
      <w:commentRangeEnd w:id="6"/>
      <w:r>
        <w:commentReference w:id="6"/>
      </w:r>
      <w:r>
        <w:t xml:space="preserve">. </w:t>
      </w:r>
      <w:r>
        <w:rPr>
          <w:highlight w:val="yellow"/>
        </w:rPr>
        <w:t>While ICANN is not a party to the RRA, but ICANN could authorize the registries to enter into JCAs with all registra</w:t>
      </w:r>
      <w:r>
        <w:rPr>
          <w:highlight w:val="yellow"/>
        </w:rPr>
        <w:t>rs on its behalf.</w:t>
      </w:r>
    </w:p>
    <w:p w14:paraId="5FADD7AC" w14:textId="77777777" w:rsidR="009252D7" w:rsidRDefault="009252D7">
      <w:pPr>
        <w:contextualSpacing w:val="0"/>
      </w:pPr>
    </w:p>
    <w:sectPr w:rsidR="009252D7">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initials="A">
    <w:p w14:paraId="140051FE" w14:textId="77777777" w:rsidR="009252D7" w:rsidRDefault="00C60373">
      <w:pPr>
        <w:widowControl w:val="0"/>
        <w:pBdr>
          <w:top w:val="nil"/>
          <w:left w:val="nil"/>
          <w:bottom w:val="nil"/>
          <w:right w:val="nil"/>
          <w:between w:val="nil"/>
        </w:pBdr>
        <w:spacing w:line="240" w:lineRule="auto"/>
        <w:contextualSpacing w:val="0"/>
        <w:rPr>
          <w:color w:val="000000"/>
        </w:rPr>
      </w:pPr>
      <w:r>
        <w:rPr>
          <w:color w:val="000000"/>
        </w:rPr>
        <w:t>Policy recommendations should specify exactly who MUST do what.  If the EPDP team intends for there to be an ICANN Consensus Policy that says that every registry MUST enter into a joint controller agreement with ICANN and with all of its regist</w:t>
      </w:r>
      <w:r>
        <w:rPr>
          <w:color w:val="000000"/>
        </w:rPr>
        <w:t>rars, then we suggest that the language here make that clear.</w:t>
      </w:r>
    </w:p>
  </w:comment>
  <w:comment w:id="2" w:author="Author" w:initials="A">
    <w:p w14:paraId="6B562F06" w14:textId="77777777" w:rsidR="009252D7" w:rsidRDefault="00C60373">
      <w:pPr>
        <w:widowControl w:val="0"/>
        <w:pBdr>
          <w:top w:val="nil"/>
          <w:left w:val="nil"/>
          <w:bottom w:val="nil"/>
          <w:right w:val="nil"/>
          <w:between w:val="nil"/>
        </w:pBdr>
        <w:spacing w:line="240" w:lineRule="auto"/>
        <w:contextualSpacing w:val="0"/>
        <w:rPr>
          <w:color w:val="000000"/>
        </w:rPr>
      </w:pPr>
      <w:r>
        <w:rPr>
          <w:color w:val="000000"/>
        </w:rPr>
        <w:t>It's not clear if this is intended to become part of the ICANN Consensus Policy creating a binding contractual obligation on ICANN and the cont</w:t>
      </w:r>
      <w:r>
        <w:rPr>
          <w:color w:val="000000"/>
        </w:rPr>
        <w:t>racted parties. If the EPDP team intends for there to be an ICANN Consensus Policy that requires indemnification clauses in the joint controller agreements, then we suggest that the language here make that clear.</w:t>
      </w:r>
    </w:p>
  </w:comment>
  <w:comment w:id="3" w:author="Author" w:initials="A">
    <w:p w14:paraId="6456EA65" w14:textId="77777777" w:rsidR="009252D7" w:rsidRDefault="00C60373">
      <w:pPr>
        <w:widowControl w:val="0"/>
        <w:pBdr>
          <w:top w:val="nil"/>
          <w:left w:val="nil"/>
          <w:bottom w:val="nil"/>
          <w:right w:val="nil"/>
          <w:between w:val="nil"/>
        </w:pBdr>
        <w:spacing w:line="240" w:lineRule="auto"/>
        <w:contextualSpacing w:val="0"/>
        <w:rPr>
          <w:color w:val="000000"/>
        </w:rPr>
      </w:pPr>
      <w:r>
        <w:rPr>
          <w:color w:val="000000"/>
        </w:rPr>
        <w:t>All of ICANN registry and registrar agreements and associated specifications and appendices are publicly posted in line with ICANN's Bylaws' transparency mandate. It's not clear why any of the r</w:t>
      </w:r>
      <w:r>
        <w:rPr>
          <w:color w:val="000000"/>
        </w:rPr>
        <w:t>ecommended documents here would have any confidential information.</w:t>
      </w:r>
    </w:p>
  </w:comment>
  <w:comment w:id="4" w:author="Author" w:initials="A">
    <w:p w14:paraId="756B1036" w14:textId="77777777" w:rsidR="009252D7" w:rsidRDefault="00C60373">
      <w:pPr>
        <w:widowControl w:val="0"/>
        <w:pBdr>
          <w:top w:val="nil"/>
          <w:left w:val="nil"/>
          <w:bottom w:val="nil"/>
          <w:right w:val="nil"/>
          <w:between w:val="nil"/>
        </w:pBdr>
        <w:spacing w:line="240" w:lineRule="auto"/>
        <w:contextualSpacing w:val="0"/>
        <w:rPr>
          <w:color w:val="000000"/>
        </w:rPr>
      </w:pPr>
      <w:r>
        <w:rPr>
          <w:color w:val="000000"/>
        </w:rPr>
        <w:t>Does the EPDP Team also consider zone file users, others who access public and/or non-public WHOIS data, as well as privacy-proxy service providers as third-parties covered by this requirem</w:t>
      </w:r>
      <w:r>
        <w:rPr>
          <w:color w:val="000000"/>
        </w:rPr>
        <w:t>ent?</w:t>
      </w:r>
    </w:p>
  </w:comment>
  <w:comment w:id="5" w:author="Author" w:initials="A">
    <w:p w14:paraId="2759DA8F" w14:textId="77777777" w:rsidR="009252D7" w:rsidRDefault="00C60373">
      <w:pPr>
        <w:widowControl w:val="0"/>
        <w:pBdr>
          <w:top w:val="nil"/>
          <w:left w:val="nil"/>
          <w:bottom w:val="nil"/>
          <w:right w:val="nil"/>
          <w:between w:val="nil"/>
        </w:pBdr>
        <w:spacing w:line="240" w:lineRule="auto"/>
        <w:contextualSpacing w:val="0"/>
        <w:rPr>
          <w:color w:val="000000"/>
        </w:rPr>
      </w:pPr>
      <w:r>
        <w:rPr>
          <w:color w:val="000000"/>
        </w:rPr>
        <w:t xml:space="preserve">It would be helpful if the EPDP Team could </w:t>
      </w:r>
      <w:r>
        <w:rPr>
          <w:color w:val="000000"/>
        </w:rPr>
        <w:t>specify who the respective joint controller is for each of the identified third parties above. For example, which joint controller would be responsible for data escrow agents.</w:t>
      </w:r>
    </w:p>
  </w:comment>
  <w:comment w:id="6" w:author="Author" w:initials="A">
    <w:p w14:paraId="3D226C00" w14:textId="77777777" w:rsidR="009252D7" w:rsidRDefault="00C60373">
      <w:pPr>
        <w:widowControl w:val="0"/>
        <w:pBdr>
          <w:top w:val="nil"/>
          <w:left w:val="nil"/>
          <w:bottom w:val="nil"/>
          <w:right w:val="nil"/>
          <w:between w:val="nil"/>
        </w:pBdr>
        <w:spacing w:line="240" w:lineRule="auto"/>
        <w:contextualSpacing w:val="0"/>
        <w:rPr>
          <w:color w:val="000000"/>
        </w:rPr>
      </w:pPr>
      <w:r>
        <w:rPr>
          <w:color w:val="000000"/>
        </w:rPr>
        <w:t>It would be helpful if the EPDP Team could clarify if this means one joint contr</w:t>
      </w:r>
      <w:r>
        <w:rPr>
          <w:color w:val="000000"/>
        </w:rPr>
        <w:t>oller agreement between ICANN, one registry, and one registrar, or if this means one joint controller agreement between ICANN, one registry, and all registrars that do business with that registry. And could each registrar negotiate different terms with eac</w:t>
      </w:r>
      <w:r>
        <w:rPr>
          <w:color w:val="000000"/>
        </w:rPr>
        <w:t>h registry?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0051FE" w15:done="0"/>
  <w15:commentEx w15:paraId="6B562F06" w15:done="0"/>
  <w15:commentEx w15:paraId="6456EA65" w15:done="0"/>
  <w15:commentEx w15:paraId="756B1036" w15:done="0"/>
  <w15:commentEx w15:paraId="2759DA8F" w15:done="0"/>
  <w15:commentEx w15:paraId="3D226C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0051FE" w16cid:durableId="1F9EAA57"/>
  <w16cid:commentId w16cid:paraId="6B562F06" w16cid:durableId="1F9EAA58"/>
  <w16cid:commentId w16cid:paraId="6456EA65" w16cid:durableId="1F9EAA59"/>
  <w16cid:commentId w16cid:paraId="756B1036" w16cid:durableId="1F9EAA5A"/>
  <w16cid:commentId w16cid:paraId="2759DA8F" w16cid:durableId="1F9EAA5B"/>
  <w16cid:commentId w16cid:paraId="3D226C00" w16cid:durableId="1F9EAA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00000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D7"/>
    <w:rsid w:val="009252D7"/>
    <w:rsid w:val="00C60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C9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60373"/>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6037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2018-11-20T23:45:00Z</dcterms:created>
  <dcterms:modified xsi:type="dcterms:W3CDTF">2018-11-20T23:45:00Z</dcterms:modified>
</cp:coreProperties>
</file>