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94"/>
        <w:gridCol w:w="9411"/>
      </w:tblGrid>
      <w:tr w:rsidR="00257D24" w:rsidRPr="00492375" w14:paraId="30128B59" w14:textId="77777777" w:rsidTr="00257D24">
        <w:tc>
          <w:tcPr>
            <w:tcW w:w="2194" w:type="dxa"/>
            <w:shd w:val="clear" w:color="auto" w:fill="F2F2F2" w:themeFill="background1" w:themeFillShade="F2"/>
          </w:tcPr>
          <w:p w14:paraId="61DE79EE" w14:textId="1B8E1006" w:rsidR="00257D24" w:rsidRPr="00492375" w:rsidRDefault="00257D24" w:rsidP="00173AFA">
            <w:pPr>
              <w:rPr>
                <w:sz w:val="22"/>
                <w:szCs w:val="22"/>
              </w:rPr>
            </w:pPr>
            <w:r w:rsidRPr="00492375">
              <w:rPr>
                <w:sz w:val="22"/>
                <w:szCs w:val="22"/>
              </w:rPr>
              <w:t>Small Team #</w:t>
            </w:r>
            <w:r w:rsidR="00155C92">
              <w:rPr>
                <w:sz w:val="22"/>
                <w:szCs w:val="22"/>
              </w:rPr>
              <w:t>3</w:t>
            </w:r>
          </w:p>
          <w:p w14:paraId="4E27B247" w14:textId="36398956" w:rsidR="00492375" w:rsidRDefault="00257D24" w:rsidP="00173AFA">
            <w:pPr>
              <w:rPr>
                <w:sz w:val="22"/>
                <w:szCs w:val="22"/>
              </w:rPr>
            </w:pPr>
            <w:r w:rsidRPr="00492375">
              <w:rPr>
                <w:b/>
                <w:sz w:val="22"/>
                <w:szCs w:val="22"/>
              </w:rPr>
              <w:t xml:space="preserve">Wed </w:t>
            </w:r>
            <w:r w:rsidR="00155C92">
              <w:rPr>
                <w:b/>
                <w:sz w:val="22"/>
                <w:szCs w:val="22"/>
              </w:rPr>
              <w:t>10</w:t>
            </w:r>
            <w:r w:rsidRPr="00492375">
              <w:rPr>
                <w:b/>
                <w:sz w:val="22"/>
                <w:szCs w:val="22"/>
              </w:rPr>
              <w:t xml:space="preserve"> October</w:t>
            </w:r>
            <w:r w:rsidRPr="00492375">
              <w:rPr>
                <w:sz w:val="22"/>
                <w:szCs w:val="22"/>
              </w:rPr>
              <w:t xml:space="preserve"> </w:t>
            </w:r>
          </w:p>
          <w:p w14:paraId="2EF88F1B" w14:textId="65F048DA" w:rsidR="00257D24" w:rsidRPr="00492375" w:rsidRDefault="00257D24" w:rsidP="00173AFA">
            <w:pPr>
              <w:rPr>
                <w:sz w:val="22"/>
                <w:szCs w:val="22"/>
              </w:rPr>
            </w:pPr>
            <w:r w:rsidRPr="00492375">
              <w:rPr>
                <w:sz w:val="22"/>
                <w:szCs w:val="22"/>
              </w:rPr>
              <w:t xml:space="preserve">13.00 – 15.00 UTC </w:t>
            </w:r>
          </w:p>
        </w:tc>
        <w:tc>
          <w:tcPr>
            <w:tcW w:w="9411" w:type="dxa"/>
          </w:tcPr>
          <w:p w14:paraId="6BB30249" w14:textId="7CBD88C4" w:rsidR="00492375" w:rsidRPr="00155C92" w:rsidRDefault="00492375" w:rsidP="00173AFA">
            <w:pPr>
              <w:rPr>
                <w:rFonts w:cstheme="minorHAnsi"/>
                <w:b/>
                <w:sz w:val="22"/>
                <w:szCs w:val="22"/>
              </w:rPr>
            </w:pPr>
            <w:r w:rsidRPr="00155C92">
              <w:rPr>
                <w:rFonts w:cstheme="minorHAnsi"/>
                <w:b/>
                <w:sz w:val="22"/>
                <w:szCs w:val="22"/>
              </w:rPr>
              <w:t>Charter Questions to be addressed:</w:t>
            </w:r>
          </w:p>
          <w:p w14:paraId="29B3805E" w14:textId="77777777" w:rsidR="00155C92" w:rsidRPr="00155C92" w:rsidRDefault="00155C92" w:rsidP="00155C92">
            <w:pPr>
              <w:rPr>
                <w:rFonts w:cstheme="minorHAnsi"/>
                <w:sz w:val="22"/>
                <w:szCs w:val="22"/>
              </w:rPr>
            </w:pPr>
            <w:r w:rsidRPr="00155C92">
              <w:rPr>
                <w:rFonts w:cstheme="minorHAnsi"/>
                <w:sz w:val="22"/>
                <w:szCs w:val="22"/>
              </w:rPr>
              <w:t>j). Temporary Specification and Reasonable Access</w:t>
            </w:r>
          </w:p>
          <w:p w14:paraId="66506B7D" w14:textId="77777777" w:rsidR="00155C92" w:rsidRPr="00155C92" w:rsidRDefault="00155C92" w:rsidP="00155C92">
            <w:pPr>
              <w:ind w:left="720"/>
              <w:rPr>
                <w:rFonts w:cstheme="minorHAnsi"/>
                <w:sz w:val="22"/>
                <w:szCs w:val="22"/>
              </w:rPr>
            </w:pPr>
            <w:r w:rsidRPr="00155C92">
              <w:rPr>
                <w:rFonts w:cstheme="minorHAnsi"/>
                <w:sz w:val="22"/>
                <w:szCs w:val="22"/>
              </w:rPr>
              <w:t xml:space="preserve">j1) Should existing requirements in the Temporary Specification remain in place until a model for access is finalized? </w:t>
            </w:r>
          </w:p>
          <w:p w14:paraId="36389658" w14:textId="77777777" w:rsidR="00155C92" w:rsidRPr="00155C92" w:rsidRDefault="00155C92" w:rsidP="00155C92">
            <w:pPr>
              <w:numPr>
                <w:ilvl w:val="0"/>
                <w:numId w:val="4"/>
              </w:numPr>
              <w:spacing w:line="276" w:lineRule="auto"/>
              <w:contextualSpacing/>
              <w:rPr>
                <w:rFonts w:cstheme="minorHAnsi"/>
                <w:sz w:val="22"/>
                <w:szCs w:val="22"/>
              </w:rPr>
            </w:pPr>
            <w:r w:rsidRPr="00155C92">
              <w:rPr>
                <w:rFonts w:cstheme="minorHAnsi"/>
                <w:sz w:val="22"/>
                <w:szCs w:val="22"/>
              </w:rPr>
              <w:t xml:space="preserve"> If so:</w:t>
            </w:r>
          </w:p>
          <w:p w14:paraId="33EC7214" w14:textId="77777777" w:rsidR="00155C92" w:rsidRPr="00155C92" w:rsidRDefault="00155C92" w:rsidP="00155C92">
            <w:pPr>
              <w:ind w:left="360"/>
              <w:rPr>
                <w:rFonts w:cstheme="minorHAnsi"/>
                <w:sz w:val="22"/>
                <w:szCs w:val="22"/>
              </w:rPr>
            </w:pPr>
            <w:r w:rsidRPr="00155C92">
              <w:rPr>
                <w:rFonts w:cstheme="minorHAnsi"/>
                <w:sz w:val="22"/>
                <w:szCs w:val="22"/>
              </w:rPr>
              <w:t xml:space="preserve">1.     Under Section 4 of Appendix A of the Temporary Specification, what is meant by “reasonable access” to Non-Public data? </w:t>
            </w:r>
          </w:p>
          <w:p w14:paraId="10E14761" w14:textId="77777777" w:rsidR="00155C92" w:rsidRPr="00155C92" w:rsidRDefault="00155C92" w:rsidP="00155C92">
            <w:pPr>
              <w:ind w:left="360"/>
              <w:rPr>
                <w:rFonts w:cstheme="minorHAnsi"/>
                <w:sz w:val="22"/>
                <w:szCs w:val="22"/>
              </w:rPr>
            </w:pPr>
            <w:r w:rsidRPr="00155C92">
              <w:rPr>
                <w:rFonts w:cstheme="minorHAnsi"/>
                <w:sz w:val="22"/>
                <w:szCs w:val="22"/>
              </w:rPr>
              <w:t xml:space="preserve">2.    What criteria must Contracted Parties be obligated to consider in deciding whether to disclose non-public Registration data to an outside party requestor (i.e. whether or not the legitimate interest of the outside party seeking disclosure are overridden by the interests or fundamental rights or freedoms of the registrant)?    </w:t>
            </w:r>
          </w:p>
          <w:p w14:paraId="2D7C0D1C" w14:textId="77777777" w:rsidR="00155C92" w:rsidRPr="00155C92" w:rsidRDefault="00155C92" w:rsidP="00155C92">
            <w:pPr>
              <w:numPr>
                <w:ilvl w:val="0"/>
                <w:numId w:val="4"/>
              </w:numPr>
              <w:spacing w:line="276" w:lineRule="auto"/>
              <w:contextualSpacing/>
              <w:rPr>
                <w:rFonts w:cstheme="minorHAnsi"/>
                <w:sz w:val="22"/>
                <w:szCs w:val="22"/>
              </w:rPr>
            </w:pPr>
            <w:r w:rsidRPr="00155C92">
              <w:rPr>
                <w:rFonts w:cstheme="minorHAnsi"/>
                <w:sz w:val="22"/>
                <w:szCs w:val="22"/>
              </w:rPr>
              <w:t>If not:</w:t>
            </w:r>
          </w:p>
          <w:p w14:paraId="0B0FBFD8" w14:textId="66533458" w:rsidR="00155C92" w:rsidRPr="00155C92" w:rsidRDefault="00155C92" w:rsidP="00155C92">
            <w:pPr>
              <w:ind w:left="360"/>
              <w:rPr>
                <w:rFonts w:cstheme="minorHAnsi"/>
                <w:sz w:val="22"/>
                <w:szCs w:val="22"/>
              </w:rPr>
            </w:pPr>
            <w:r w:rsidRPr="00155C92">
              <w:rPr>
                <w:rFonts w:cstheme="minorHAnsi"/>
                <w:sz w:val="22"/>
                <w:szCs w:val="22"/>
              </w:rPr>
              <w:t>1.     What framework(s) for disclosure could be used to address (</w:t>
            </w:r>
            <w:proofErr w:type="spellStart"/>
            <w:r w:rsidRPr="00155C92">
              <w:rPr>
                <w:rFonts w:cstheme="minorHAnsi"/>
                <w:sz w:val="22"/>
                <w:szCs w:val="22"/>
              </w:rPr>
              <w:t>i</w:t>
            </w:r>
            <w:proofErr w:type="spellEnd"/>
            <w:r w:rsidRPr="00155C92">
              <w:rPr>
                <w:rFonts w:cstheme="minorHAnsi"/>
                <w:sz w:val="22"/>
                <w:szCs w:val="22"/>
              </w:rPr>
              <w:t>) issues involving abuse of domain name registrations, including but not limited to consumer protection, investigation of cybercrime, DNS abuse and intellectual property protection, (ii) addressing appropriate law enforcement needs, and (iii) provide access to registration data based on legitimate interests not outweighed by the fundamental rights of relevant data subjects?</w:t>
            </w:r>
          </w:p>
          <w:p w14:paraId="65B9C150" w14:textId="77777777" w:rsidR="00155C92" w:rsidRDefault="00155C92" w:rsidP="00155C92">
            <w:pPr>
              <w:rPr>
                <w:rFonts w:cstheme="minorHAnsi"/>
                <w:sz w:val="22"/>
                <w:szCs w:val="22"/>
              </w:rPr>
            </w:pPr>
          </w:p>
          <w:p w14:paraId="763F7EAF" w14:textId="210C08C9" w:rsidR="00155C92" w:rsidRPr="00155C92" w:rsidRDefault="00155C92" w:rsidP="00155C92">
            <w:pPr>
              <w:rPr>
                <w:rFonts w:cstheme="minorHAnsi"/>
                <w:sz w:val="22"/>
                <w:szCs w:val="22"/>
              </w:rPr>
            </w:pPr>
            <w:r w:rsidRPr="00155C92">
              <w:rPr>
                <w:rFonts w:cstheme="minorHAnsi"/>
                <w:sz w:val="22"/>
                <w:szCs w:val="22"/>
              </w:rPr>
              <w:t xml:space="preserve">j2) Can the obligation to provide “reasonable access” be further clarified and/or better defined through the implementation of a community-wide model for access or similar framework which </w:t>
            </w:r>
            <w:proofErr w:type="gramStart"/>
            <w:r w:rsidRPr="00155C92">
              <w:rPr>
                <w:rFonts w:cstheme="minorHAnsi"/>
                <w:sz w:val="22"/>
                <w:szCs w:val="22"/>
              </w:rPr>
              <w:t>takes into account</w:t>
            </w:r>
            <w:proofErr w:type="gramEnd"/>
            <w:r w:rsidRPr="00155C92">
              <w:rPr>
                <w:rFonts w:cstheme="minorHAnsi"/>
                <w:sz w:val="22"/>
                <w:szCs w:val="22"/>
              </w:rPr>
              <w:t xml:space="preserve"> at least the following elements:</w:t>
            </w:r>
          </w:p>
          <w:p w14:paraId="7CEBE8C5" w14:textId="262061A4" w:rsidR="00155C92" w:rsidRPr="00155C92" w:rsidRDefault="00155C92" w:rsidP="00155C92">
            <w:pPr>
              <w:ind w:left="720"/>
              <w:rPr>
                <w:rFonts w:cstheme="minorHAnsi"/>
                <w:sz w:val="22"/>
                <w:szCs w:val="22"/>
              </w:rPr>
            </w:pPr>
            <w:r w:rsidRPr="00155C92">
              <w:rPr>
                <w:rFonts w:cstheme="minorHAnsi"/>
                <w:sz w:val="22"/>
                <w:szCs w:val="22"/>
              </w:rPr>
              <w:t>1.    What outside parties / classes of outside parties, and types of uses of non-public Registration Data by such parties, fall within legitimate purposes and legal basis for such use?</w:t>
            </w:r>
          </w:p>
          <w:p w14:paraId="014DCEAC" w14:textId="77777777" w:rsidR="00155C92" w:rsidRPr="00155C92" w:rsidRDefault="00155C92" w:rsidP="00155C92">
            <w:pPr>
              <w:ind w:left="720"/>
              <w:rPr>
                <w:rFonts w:cstheme="minorHAnsi"/>
                <w:sz w:val="22"/>
                <w:szCs w:val="22"/>
              </w:rPr>
            </w:pPr>
            <w:r w:rsidRPr="00155C92">
              <w:rPr>
                <w:rFonts w:cstheme="minorHAnsi"/>
                <w:sz w:val="22"/>
                <w:szCs w:val="22"/>
              </w:rPr>
              <w:t>2.    Should such outside parties / classes of outside parties be vetted by ICANN in some manner and if so, how?</w:t>
            </w:r>
          </w:p>
          <w:p w14:paraId="20FE4EC3" w14:textId="77777777" w:rsidR="00155C92" w:rsidRPr="00155C92" w:rsidRDefault="00155C92" w:rsidP="00155C92">
            <w:pPr>
              <w:ind w:left="720"/>
              <w:rPr>
                <w:rFonts w:cstheme="minorHAnsi"/>
                <w:sz w:val="22"/>
                <w:szCs w:val="22"/>
              </w:rPr>
            </w:pPr>
            <w:r w:rsidRPr="00155C92">
              <w:rPr>
                <w:rFonts w:cstheme="minorHAnsi"/>
                <w:sz w:val="22"/>
                <w:szCs w:val="22"/>
              </w:rPr>
              <w:t xml:space="preserve">3.    If the parties should not be vetted by ICANN, who should vet such parties?  </w:t>
            </w:r>
          </w:p>
          <w:p w14:paraId="5720641C" w14:textId="77777777" w:rsidR="00155C92" w:rsidRPr="00155C92" w:rsidRDefault="00155C92" w:rsidP="00155C92">
            <w:pPr>
              <w:ind w:left="720"/>
              <w:rPr>
                <w:rFonts w:cstheme="minorHAnsi"/>
                <w:sz w:val="22"/>
                <w:szCs w:val="22"/>
              </w:rPr>
            </w:pPr>
            <w:r w:rsidRPr="00155C92">
              <w:rPr>
                <w:rFonts w:cstheme="minorHAnsi"/>
                <w:sz w:val="22"/>
                <w:szCs w:val="22"/>
              </w:rPr>
              <w:t>4.    In addition to vetting the parties, either by ICANN or by some other body or bodies, what other safeguards should be considered to ensure disclosure of Non-Public Personal Data is not abused?</w:t>
            </w:r>
          </w:p>
          <w:p w14:paraId="398B37F6" w14:textId="2CEEA911" w:rsidR="00257D24" w:rsidRDefault="00257D24" w:rsidP="00173AFA">
            <w:pPr>
              <w:rPr>
                <w:sz w:val="22"/>
                <w:szCs w:val="22"/>
              </w:rPr>
            </w:pPr>
          </w:p>
          <w:p w14:paraId="557FF98F" w14:textId="77777777" w:rsidR="00155C92" w:rsidRPr="00155C92" w:rsidRDefault="00155C92" w:rsidP="00155C92">
            <w:pPr>
              <w:rPr>
                <w:rFonts w:cstheme="minorHAnsi"/>
                <w:sz w:val="22"/>
                <w:szCs w:val="22"/>
              </w:rPr>
            </w:pPr>
            <w:r w:rsidRPr="00155C92">
              <w:rPr>
                <w:rFonts w:cstheme="minorHAnsi"/>
                <w:sz w:val="22"/>
                <w:szCs w:val="22"/>
              </w:rPr>
              <w:t>Publication of data by registrar/registry:</w:t>
            </w:r>
          </w:p>
          <w:p w14:paraId="2995CC73" w14:textId="77777777" w:rsidR="00155C92" w:rsidRPr="00155C92" w:rsidRDefault="00155C92" w:rsidP="00155C92">
            <w:pPr>
              <w:ind w:left="309" w:hanging="309"/>
              <w:rPr>
                <w:rFonts w:cstheme="minorHAnsi"/>
                <w:sz w:val="22"/>
                <w:szCs w:val="22"/>
              </w:rPr>
            </w:pPr>
            <w:r w:rsidRPr="00155C92">
              <w:rPr>
                <w:rFonts w:cstheme="minorHAnsi"/>
                <w:sz w:val="22"/>
                <w:szCs w:val="22"/>
              </w:rPr>
              <w:t xml:space="preserve">f2) Should standardized requirements on registrant contact mechanism be developed? </w:t>
            </w:r>
          </w:p>
          <w:p w14:paraId="6E3CDDB6" w14:textId="65633612" w:rsidR="00155C92" w:rsidRPr="00155C92" w:rsidRDefault="00155C92" w:rsidP="00173AFA">
            <w:pPr>
              <w:rPr>
                <w:sz w:val="22"/>
                <w:szCs w:val="22"/>
              </w:rPr>
            </w:pPr>
            <w:r w:rsidRPr="00155C92">
              <w:rPr>
                <w:rFonts w:cstheme="minorHAnsi"/>
                <w:sz w:val="22"/>
                <w:szCs w:val="22"/>
              </w:rPr>
              <w:t>f3) Under what circumstances should third parties be permitted to contact the registrant, and how should contact be facilitated in those circumstances?</w:t>
            </w:r>
          </w:p>
        </w:tc>
      </w:tr>
      <w:tr w:rsidR="00257D24" w:rsidRPr="00492375" w14:paraId="46B5FAC1" w14:textId="77777777" w:rsidTr="00257D24">
        <w:tc>
          <w:tcPr>
            <w:tcW w:w="2194" w:type="dxa"/>
            <w:shd w:val="clear" w:color="auto" w:fill="F2F2F2" w:themeFill="background1" w:themeFillShade="F2"/>
          </w:tcPr>
          <w:p w14:paraId="7C3BB23C" w14:textId="6296E858" w:rsidR="00257D24" w:rsidRPr="00492375" w:rsidRDefault="00257D24" w:rsidP="00173AFA">
            <w:pPr>
              <w:rPr>
                <w:b/>
                <w:sz w:val="22"/>
                <w:szCs w:val="22"/>
              </w:rPr>
            </w:pPr>
            <w:r w:rsidRPr="00492375">
              <w:rPr>
                <w:b/>
                <w:sz w:val="22"/>
                <w:szCs w:val="22"/>
              </w:rPr>
              <w:lastRenderedPageBreak/>
              <w:t>EDPB Advice</w:t>
            </w:r>
          </w:p>
        </w:tc>
        <w:tc>
          <w:tcPr>
            <w:tcW w:w="9411" w:type="dxa"/>
          </w:tcPr>
          <w:p w14:paraId="1E29DAA7" w14:textId="0F12B3B4" w:rsidR="00510C88" w:rsidRPr="00510C88" w:rsidRDefault="00510C88" w:rsidP="00173AFA">
            <w:pPr>
              <w:rPr>
                <w:sz w:val="22"/>
                <w:szCs w:val="22"/>
              </w:rPr>
            </w:pPr>
            <w:r w:rsidRPr="00510C88">
              <w:rPr>
                <w:sz w:val="22"/>
                <w:szCs w:val="22"/>
              </w:rPr>
              <w:t xml:space="preserve">ICANN and the registrars/registries are, as controllers, responsible for ensuring that personal data processed in the context of WHOIS are only disclosed to third parties with a legitimate interest or other lawful basis under the GDPR, also </w:t>
            </w:r>
            <w:proofErr w:type="gramStart"/>
            <w:r w:rsidRPr="00510C88">
              <w:rPr>
                <w:sz w:val="22"/>
                <w:szCs w:val="22"/>
              </w:rPr>
              <w:t>taking into account</w:t>
            </w:r>
            <w:proofErr w:type="gramEnd"/>
            <w:r w:rsidRPr="00510C88">
              <w:rPr>
                <w:sz w:val="22"/>
                <w:szCs w:val="22"/>
              </w:rPr>
              <w:t xml:space="preserve"> the other requirements of the GDPR. This implies putting in place an appropriate access model, with appropriate safeguards, including measures to ensure a sufficient degree of compliance assurance. The responsibility for designing a model that will provide this assurance is in first instance up to ICANN and the registrars/registries.</w:t>
            </w:r>
          </w:p>
        </w:tc>
      </w:tr>
      <w:tr w:rsidR="00C11411" w:rsidRPr="00492375" w14:paraId="23BC56DE" w14:textId="77777777" w:rsidTr="00257D24">
        <w:tc>
          <w:tcPr>
            <w:tcW w:w="2194" w:type="dxa"/>
            <w:shd w:val="clear" w:color="auto" w:fill="F2F2F2" w:themeFill="background1" w:themeFillShade="F2"/>
          </w:tcPr>
          <w:p w14:paraId="16020B67" w14:textId="38A6BFE8" w:rsidR="00C11411" w:rsidRPr="00492375" w:rsidRDefault="0027377D" w:rsidP="00173AFA">
            <w:pPr>
              <w:rPr>
                <w:b/>
                <w:sz w:val="22"/>
                <w:szCs w:val="22"/>
              </w:rPr>
            </w:pPr>
            <w:r>
              <w:rPr>
                <w:b/>
                <w:sz w:val="22"/>
                <w:szCs w:val="22"/>
              </w:rPr>
              <w:t>Relevant Temporary Specification Sections</w:t>
            </w:r>
          </w:p>
        </w:tc>
        <w:tc>
          <w:tcPr>
            <w:tcW w:w="9411" w:type="dxa"/>
          </w:tcPr>
          <w:p w14:paraId="07706D2E" w14:textId="7C9C94FB" w:rsidR="00D13D1B" w:rsidRPr="00D13D1B" w:rsidRDefault="0027377D" w:rsidP="00D13D1B">
            <w:pPr>
              <w:rPr>
                <w:rFonts w:cstheme="minorHAnsi"/>
                <w:b/>
                <w:sz w:val="22"/>
                <w:szCs w:val="22"/>
              </w:rPr>
            </w:pPr>
            <w:r w:rsidRPr="00D13D1B">
              <w:rPr>
                <w:rFonts w:cstheme="minorHAnsi"/>
                <w:b/>
                <w:sz w:val="22"/>
                <w:szCs w:val="22"/>
              </w:rPr>
              <w:t xml:space="preserve">Appendix A </w:t>
            </w:r>
            <w:r w:rsidR="00510C88" w:rsidRPr="00D13D1B">
              <w:rPr>
                <w:rFonts w:cstheme="minorHAnsi"/>
                <w:b/>
                <w:sz w:val="22"/>
                <w:szCs w:val="22"/>
              </w:rPr>
              <w:t>–</w:t>
            </w:r>
            <w:r w:rsidR="00D13D1B" w:rsidRPr="00D13D1B">
              <w:rPr>
                <w:rFonts w:cstheme="minorHAnsi"/>
                <w:b/>
                <w:sz w:val="22"/>
                <w:szCs w:val="22"/>
              </w:rPr>
              <w:t xml:space="preserve"> </w:t>
            </w:r>
            <w:r w:rsidR="00510C88" w:rsidRPr="00D13D1B">
              <w:rPr>
                <w:rFonts w:cstheme="minorHAnsi"/>
                <w:b/>
                <w:bCs/>
                <w:sz w:val="22"/>
                <w:szCs w:val="22"/>
              </w:rPr>
              <w:t>4</w:t>
            </w:r>
            <w:r w:rsidR="00D13D1B" w:rsidRPr="00D13D1B">
              <w:rPr>
                <w:rFonts w:cstheme="minorHAnsi"/>
                <w:b/>
                <w:bCs/>
                <w:sz w:val="22"/>
                <w:szCs w:val="22"/>
              </w:rPr>
              <w:t xml:space="preserve">. </w:t>
            </w:r>
            <w:r w:rsidR="00D13D1B" w:rsidRPr="00D13D1B">
              <w:rPr>
                <w:rStyle w:val="Strong"/>
                <w:rFonts w:cstheme="minorHAnsi"/>
                <w:color w:val="333333"/>
                <w:sz w:val="22"/>
                <w:szCs w:val="22"/>
              </w:rPr>
              <w:t>Access to Non-Public Registration Data</w:t>
            </w:r>
          </w:p>
          <w:p w14:paraId="7F1937ED" w14:textId="77777777" w:rsidR="00D13D1B" w:rsidRPr="00D13D1B" w:rsidRDefault="00D13D1B" w:rsidP="00D13D1B">
            <w:pPr>
              <w:pStyle w:val="NormalWeb"/>
              <w:spacing w:before="0" w:beforeAutospacing="0" w:after="0" w:afterAutospacing="0"/>
              <w:rPr>
                <w:rFonts w:asciiTheme="minorHAnsi" w:hAnsiTheme="minorHAnsi" w:cstheme="minorHAnsi"/>
                <w:color w:val="333333"/>
                <w:sz w:val="22"/>
                <w:szCs w:val="22"/>
              </w:rPr>
            </w:pPr>
            <w:bookmarkStart w:id="0" w:name="appendixA-4.1"/>
            <w:bookmarkEnd w:id="0"/>
            <w:r w:rsidRPr="00D13D1B">
              <w:rPr>
                <w:rFonts w:asciiTheme="minorHAnsi" w:hAnsiTheme="minorHAnsi" w:cstheme="minorHAnsi"/>
                <w:color w:val="333333"/>
                <w:sz w:val="22"/>
                <w:szCs w:val="22"/>
              </w:rPr>
              <w:t>4.1. Registrar and Registry Operator MUST provide reasonable access to Personal Data in Registration Data to third parties on the basis of a legitimate interests pursued by the third party, except where such interests are overridden by the interests or fundamental rights and freedoms of the Registered Name Holder or data subject pursuant to Article 6(1)(f) GDPR.</w:t>
            </w:r>
          </w:p>
          <w:p w14:paraId="1947CB5F" w14:textId="77777777" w:rsidR="0027377D" w:rsidRDefault="00D13D1B" w:rsidP="00D13D1B">
            <w:pPr>
              <w:pStyle w:val="NormalWeb"/>
              <w:spacing w:before="0" w:beforeAutospacing="0" w:after="0" w:afterAutospacing="0"/>
              <w:rPr>
                <w:rFonts w:asciiTheme="minorHAnsi" w:hAnsiTheme="minorHAnsi" w:cstheme="minorHAnsi"/>
                <w:color w:val="333333"/>
                <w:sz w:val="22"/>
                <w:szCs w:val="22"/>
              </w:rPr>
            </w:pPr>
            <w:bookmarkStart w:id="1" w:name="appendixA-4.2"/>
            <w:bookmarkEnd w:id="1"/>
            <w:r w:rsidRPr="00D13D1B">
              <w:rPr>
                <w:rFonts w:asciiTheme="minorHAnsi" w:hAnsiTheme="minorHAnsi" w:cstheme="minorHAnsi"/>
                <w:color w:val="333333"/>
                <w:sz w:val="22"/>
                <w:szCs w:val="22"/>
              </w:rPr>
              <w:t>4.2. Notwithstanding Section 4.1 of this Appendix, Registrar and Registry Operator MUST provide reasonable access to Personal Data in Registration Data to a third party where the Article 29 Working Party/European Data Protection Board, court order of a relevant court of competent jurisdiction concerning the GDPR, applicable legislation or regulation has provided guidance that the provision of specified non-public elements of Registration Data to a specified class of third party for a specified purpose is lawful. Registrar and Registry Operator MUST provide such reasonable access within 90 days of the date</w:t>
            </w:r>
            <w:r w:rsidRPr="00D13D1B">
              <w:rPr>
                <w:rStyle w:val="apple-converted-space"/>
                <w:rFonts w:asciiTheme="minorHAnsi" w:hAnsiTheme="minorHAnsi" w:cstheme="minorHAnsi"/>
                <w:color w:val="333333"/>
                <w:sz w:val="22"/>
                <w:szCs w:val="22"/>
              </w:rPr>
              <w:t> </w:t>
            </w:r>
            <w:r w:rsidRPr="00D13D1B">
              <w:rPr>
                <w:rFonts w:asciiTheme="minorHAnsi" w:hAnsiTheme="minorHAnsi" w:cstheme="minorHAnsi"/>
                <w:color w:val="333333"/>
                <w:sz w:val="22"/>
                <w:szCs w:val="22"/>
              </w:rPr>
              <w:t>ICANN</w:t>
            </w:r>
            <w:r w:rsidRPr="00D13D1B">
              <w:rPr>
                <w:rStyle w:val="apple-converted-space"/>
                <w:rFonts w:asciiTheme="minorHAnsi" w:hAnsiTheme="minorHAnsi" w:cstheme="minorHAnsi"/>
                <w:color w:val="333333"/>
                <w:sz w:val="22"/>
                <w:szCs w:val="22"/>
              </w:rPr>
              <w:t> </w:t>
            </w:r>
            <w:r w:rsidRPr="00D13D1B">
              <w:rPr>
                <w:rFonts w:asciiTheme="minorHAnsi" w:hAnsiTheme="minorHAnsi" w:cstheme="minorHAnsi"/>
                <w:color w:val="333333"/>
                <w:sz w:val="22"/>
                <w:szCs w:val="22"/>
              </w:rPr>
              <w:t>publishes any such guidance, unless legal requirements otherwise demand an earlier implementation.</w:t>
            </w:r>
          </w:p>
          <w:p w14:paraId="4659278D" w14:textId="11E12463" w:rsidR="00D13D1B" w:rsidRDefault="00D13D1B" w:rsidP="00D13D1B">
            <w:pPr>
              <w:pStyle w:val="NormalWeb"/>
              <w:spacing w:before="0" w:beforeAutospacing="0" w:after="0" w:afterAutospacing="0"/>
              <w:rPr>
                <w:rFonts w:asciiTheme="minorHAnsi" w:hAnsiTheme="minorHAnsi" w:cstheme="minorHAnsi"/>
                <w:color w:val="333333"/>
                <w:sz w:val="22"/>
                <w:szCs w:val="22"/>
              </w:rPr>
            </w:pPr>
          </w:p>
          <w:p w14:paraId="1367B02B" w14:textId="77777777" w:rsidR="00D13D1B" w:rsidRPr="00D13D1B" w:rsidRDefault="00D13D1B" w:rsidP="00D13D1B">
            <w:pPr>
              <w:pStyle w:val="NormalWeb"/>
              <w:spacing w:before="0" w:beforeAutospacing="0" w:after="0" w:afterAutospacing="0"/>
              <w:rPr>
                <w:rFonts w:asciiTheme="minorHAnsi" w:hAnsiTheme="minorHAnsi" w:cstheme="minorHAnsi"/>
                <w:b/>
                <w:color w:val="333333"/>
                <w:sz w:val="22"/>
                <w:szCs w:val="22"/>
              </w:rPr>
            </w:pPr>
            <w:r w:rsidRPr="00D13D1B">
              <w:rPr>
                <w:rFonts w:asciiTheme="minorHAnsi" w:hAnsiTheme="minorHAnsi" w:cstheme="minorHAnsi"/>
                <w:b/>
                <w:color w:val="333333"/>
                <w:sz w:val="22"/>
                <w:szCs w:val="22"/>
              </w:rPr>
              <w:t xml:space="preserve">Appendix A - </w:t>
            </w:r>
            <w:r w:rsidRPr="00D13D1B">
              <w:rPr>
                <w:rFonts w:asciiTheme="minorHAnsi" w:hAnsiTheme="minorHAnsi" w:cstheme="minorHAnsi"/>
                <w:b/>
                <w:bCs/>
                <w:sz w:val="22"/>
                <w:szCs w:val="22"/>
              </w:rPr>
              <w:t>Requirements for Processing Personal Data in Public RDDS Where Processing is Subject to the GDPR</w:t>
            </w:r>
          </w:p>
          <w:p w14:paraId="41691273" w14:textId="77777777" w:rsidR="00D13D1B" w:rsidRPr="00D13D1B" w:rsidRDefault="00D13D1B" w:rsidP="00D13D1B">
            <w:pPr>
              <w:pStyle w:val="NormalWeb"/>
              <w:spacing w:before="0" w:beforeAutospacing="0" w:after="0" w:afterAutospacing="0"/>
              <w:rPr>
                <w:rFonts w:asciiTheme="minorHAnsi" w:hAnsiTheme="minorHAnsi" w:cstheme="minorHAnsi"/>
                <w:color w:val="000000" w:themeColor="text1"/>
                <w:sz w:val="22"/>
                <w:szCs w:val="22"/>
              </w:rPr>
            </w:pPr>
            <w:r w:rsidRPr="00D13D1B">
              <w:rPr>
                <w:rFonts w:asciiTheme="minorHAnsi" w:hAnsiTheme="minorHAnsi" w:cstheme="minorHAnsi"/>
                <w:color w:val="000000" w:themeColor="text1"/>
                <w:sz w:val="22"/>
                <w:szCs w:val="22"/>
              </w:rPr>
              <w:t>2.5. In responses to domain name queries, in the value of the "Email" field of every contact (e.g., Registrant, Admin, Tech):</w:t>
            </w:r>
          </w:p>
          <w:p w14:paraId="76F59439" w14:textId="77777777" w:rsidR="00D13D1B" w:rsidRPr="00D13D1B" w:rsidRDefault="00D13D1B" w:rsidP="00D13D1B">
            <w:pPr>
              <w:pStyle w:val="NormalWeb"/>
              <w:spacing w:before="0" w:beforeAutospacing="0" w:after="0" w:afterAutospacing="0"/>
              <w:rPr>
                <w:rFonts w:asciiTheme="minorHAnsi" w:hAnsiTheme="minorHAnsi" w:cstheme="minorHAnsi"/>
                <w:color w:val="000000" w:themeColor="text1"/>
                <w:sz w:val="22"/>
                <w:szCs w:val="22"/>
              </w:rPr>
            </w:pPr>
            <w:bookmarkStart w:id="2" w:name="appendixA-2.5.1"/>
            <w:bookmarkEnd w:id="2"/>
            <w:r w:rsidRPr="00D13D1B">
              <w:rPr>
                <w:rFonts w:asciiTheme="minorHAnsi" w:hAnsiTheme="minorHAnsi" w:cstheme="minorHAnsi"/>
                <w:color w:val="000000" w:themeColor="text1"/>
                <w:sz w:val="22"/>
                <w:szCs w:val="22"/>
              </w:rPr>
              <w:t xml:space="preserve">2.5.1. Registrar MUST provide an email address or a web form to facilitate email communication with the relevant </w:t>
            </w:r>
            <w:proofErr w:type="gramStart"/>
            <w:r w:rsidRPr="00D13D1B">
              <w:rPr>
                <w:rFonts w:asciiTheme="minorHAnsi" w:hAnsiTheme="minorHAnsi" w:cstheme="minorHAnsi"/>
                <w:color w:val="000000" w:themeColor="text1"/>
                <w:sz w:val="22"/>
                <w:szCs w:val="22"/>
              </w:rPr>
              <w:t>contact, but</w:t>
            </w:r>
            <w:proofErr w:type="gramEnd"/>
            <w:r w:rsidRPr="00D13D1B">
              <w:rPr>
                <w:rFonts w:asciiTheme="minorHAnsi" w:hAnsiTheme="minorHAnsi" w:cstheme="minorHAnsi"/>
                <w:color w:val="000000" w:themeColor="text1"/>
                <w:sz w:val="22"/>
                <w:szCs w:val="22"/>
              </w:rPr>
              <w:t xml:space="preserve"> MUST NOT identify the contact email address or the contact itself.</w:t>
            </w:r>
          </w:p>
          <w:p w14:paraId="464455BA" w14:textId="77777777" w:rsidR="00D13D1B" w:rsidRPr="00D13D1B" w:rsidRDefault="00D13D1B" w:rsidP="00D13D1B">
            <w:pPr>
              <w:pStyle w:val="NormalWeb"/>
              <w:spacing w:before="0" w:beforeAutospacing="0" w:after="0" w:afterAutospacing="0"/>
              <w:rPr>
                <w:rFonts w:asciiTheme="minorHAnsi" w:hAnsiTheme="minorHAnsi" w:cstheme="minorHAnsi"/>
                <w:color w:val="000000" w:themeColor="text1"/>
                <w:sz w:val="22"/>
                <w:szCs w:val="22"/>
              </w:rPr>
            </w:pPr>
            <w:bookmarkStart w:id="3" w:name="appendixA-2.5.1.1"/>
            <w:bookmarkEnd w:id="3"/>
            <w:r w:rsidRPr="00D13D1B">
              <w:rPr>
                <w:rFonts w:asciiTheme="minorHAnsi" w:hAnsiTheme="minorHAnsi" w:cstheme="minorHAnsi"/>
                <w:color w:val="000000" w:themeColor="text1"/>
                <w:sz w:val="22"/>
                <w:szCs w:val="22"/>
              </w:rPr>
              <w:t>2.5.1.1. The email address and the URL to the web form MUST provide functionality to forward communications received to the email address of the applicable contact.</w:t>
            </w:r>
          </w:p>
          <w:p w14:paraId="4699A6B3" w14:textId="77777777" w:rsidR="00D13D1B" w:rsidRPr="00D13D1B" w:rsidRDefault="00D13D1B" w:rsidP="00D13D1B">
            <w:pPr>
              <w:pStyle w:val="NormalWeb"/>
              <w:spacing w:before="0" w:beforeAutospacing="0" w:after="0" w:afterAutospacing="0"/>
              <w:rPr>
                <w:rFonts w:asciiTheme="minorHAnsi" w:hAnsiTheme="minorHAnsi" w:cstheme="minorHAnsi"/>
                <w:color w:val="000000" w:themeColor="text1"/>
                <w:sz w:val="22"/>
                <w:szCs w:val="22"/>
              </w:rPr>
            </w:pPr>
            <w:bookmarkStart w:id="4" w:name="appendixA-2.5.1.2"/>
            <w:bookmarkEnd w:id="4"/>
            <w:r w:rsidRPr="00D13D1B">
              <w:rPr>
                <w:rFonts w:asciiTheme="minorHAnsi" w:hAnsiTheme="minorHAnsi" w:cstheme="minorHAnsi"/>
                <w:color w:val="000000" w:themeColor="text1"/>
                <w:sz w:val="22"/>
                <w:szCs w:val="22"/>
              </w:rPr>
              <w:t>2.5.1.2. Registrar MAY implement commercially reasonable safeguards to filter out spam and other form of abusive communications.</w:t>
            </w:r>
          </w:p>
          <w:p w14:paraId="677C39A5" w14:textId="64999232" w:rsidR="00D13D1B" w:rsidRPr="00D13D1B" w:rsidRDefault="00D13D1B" w:rsidP="00D13D1B">
            <w:pPr>
              <w:pStyle w:val="NormalWeb"/>
              <w:spacing w:before="0" w:beforeAutospacing="0" w:after="0" w:afterAutospacing="0"/>
              <w:rPr>
                <w:rFonts w:asciiTheme="minorHAnsi" w:hAnsiTheme="minorHAnsi" w:cstheme="minorHAnsi"/>
                <w:color w:val="333333"/>
                <w:sz w:val="22"/>
                <w:szCs w:val="22"/>
              </w:rPr>
            </w:pPr>
            <w:bookmarkStart w:id="5" w:name="appendixA-2.5.1.3"/>
            <w:bookmarkEnd w:id="5"/>
            <w:r w:rsidRPr="00D13D1B">
              <w:rPr>
                <w:rFonts w:asciiTheme="minorHAnsi" w:hAnsiTheme="minorHAnsi" w:cstheme="minorHAnsi"/>
                <w:color w:val="000000" w:themeColor="text1"/>
                <w:sz w:val="22"/>
                <w:szCs w:val="22"/>
              </w:rPr>
              <w:t>2.5.1.3. It MUST NOT be feasible to extract or derive the email address of the contact from the email address and the URL to the web form provided to facilitate email communication with the relevant contact.</w:t>
            </w:r>
          </w:p>
        </w:tc>
      </w:tr>
      <w:tr w:rsidR="00E860F9" w:rsidRPr="00492375" w14:paraId="3F615C13" w14:textId="77777777" w:rsidTr="00257D24">
        <w:tc>
          <w:tcPr>
            <w:tcW w:w="2194" w:type="dxa"/>
            <w:shd w:val="clear" w:color="auto" w:fill="F2F2F2" w:themeFill="background1" w:themeFillShade="F2"/>
          </w:tcPr>
          <w:p w14:paraId="649398CB" w14:textId="433D11F5" w:rsidR="00E860F9" w:rsidRPr="00492375" w:rsidRDefault="00E860F9" w:rsidP="00173AFA">
            <w:pPr>
              <w:rPr>
                <w:b/>
                <w:sz w:val="22"/>
                <w:szCs w:val="22"/>
              </w:rPr>
            </w:pPr>
            <w:bookmarkStart w:id="6" w:name="_GoBack"/>
            <w:bookmarkEnd w:id="6"/>
            <w:r>
              <w:rPr>
                <w:b/>
                <w:sz w:val="22"/>
                <w:szCs w:val="22"/>
              </w:rPr>
              <w:lastRenderedPageBreak/>
              <w:t>Related Questions to ICANN Org</w:t>
            </w:r>
          </w:p>
        </w:tc>
        <w:tc>
          <w:tcPr>
            <w:tcW w:w="9411" w:type="dxa"/>
          </w:tcPr>
          <w:p w14:paraId="5A635646" w14:textId="540CD966" w:rsidR="00E860F9" w:rsidRDefault="00E860F9" w:rsidP="00E860F9">
            <w:pPr>
              <w:pStyle w:val="p1"/>
              <w:spacing w:before="0" w:beforeAutospacing="0" w:after="0" w:afterAutospacing="0"/>
              <w:rPr>
                <w:rStyle w:val="Emphasis"/>
                <w:rFonts w:asciiTheme="minorHAnsi" w:hAnsiTheme="minorHAnsi" w:cstheme="minorHAnsi"/>
                <w:color w:val="000000" w:themeColor="text1"/>
                <w:sz w:val="22"/>
                <w:szCs w:val="22"/>
              </w:rPr>
            </w:pPr>
            <w:r w:rsidRPr="00E860F9">
              <w:rPr>
                <w:rStyle w:val="Emphasis"/>
                <w:rFonts w:asciiTheme="minorHAnsi" w:hAnsiTheme="minorHAnsi" w:cstheme="minorHAnsi"/>
                <w:color w:val="000000" w:themeColor="text1"/>
                <w:sz w:val="22"/>
                <w:szCs w:val="22"/>
              </w:rPr>
              <w:t xml:space="preserve">In section 5.7 of the Temporary Specification (and other sections), what is the meaning of “reasonable access”? Is it access to personal data </w:t>
            </w:r>
            <w:proofErr w:type="gramStart"/>
            <w:r w:rsidRPr="00E860F9">
              <w:rPr>
                <w:rStyle w:val="Emphasis"/>
                <w:rFonts w:asciiTheme="minorHAnsi" w:hAnsiTheme="minorHAnsi" w:cstheme="minorHAnsi"/>
                <w:color w:val="000000" w:themeColor="text1"/>
                <w:sz w:val="22"/>
                <w:szCs w:val="22"/>
              </w:rPr>
              <w:t>reasonably provided</w:t>
            </w:r>
            <w:proofErr w:type="gramEnd"/>
            <w:r w:rsidRPr="00E860F9">
              <w:rPr>
                <w:rStyle w:val="Emphasis"/>
                <w:rFonts w:asciiTheme="minorHAnsi" w:hAnsiTheme="minorHAnsi" w:cstheme="minorHAnsi"/>
                <w:color w:val="000000" w:themeColor="text1"/>
                <w:sz w:val="22"/>
                <w:szCs w:val="22"/>
              </w:rPr>
              <w:t>? Does “reasonably” relate to the effort necessary to retrieve it? Does it mean how criteria for releasing it are applied, i.e., legitimate and not overcome by the rights of others? Should it just be “access”?</w:t>
            </w:r>
          </w:p>
          <w:p w14:paraId="0BFCF37A" w14:textId="77777777" w:rsidR="00E860F9" w:rsidRPr="00E860F9" w:rsidRDefault="00E860F9" w:rsidP="00E860F9">
            <w:pPr>
              <w:pStyle w:val="p1"/>
              <w:spacing w:before="0" w:beforeAutospacing="0" w:after="0" w:afterAutospacing="0"/>
              <w:rPr>
                <w:rFonts w:asciiTheme="minorHAnsi" w:hAnsiTheme="minorHAnsi" w:cstheme="minorHAnsi"/>
                <w:color w:val="000000" w:themeColor="text1"/>
                <w:sz w:val="22"/>
                <w:szCs w:val="22"/>
              </w:rPr>
            </w:pPr>
          </w:p>
          <w:p w14:paraId="0D598C20" w14:textId="0517D921" w:rsidR="00E860F9" w:rsidRPr="00E860F9" w:rsidRDefault="00E860F9" w:rsidP="00E860F9">
            <w:pPr>
              <w:pStyle w:val="p1"/>
              <w:spacing w:before="0" w:beforeAutospacing="0" w:after="0" w:afterAutospacing="0"/>
              <w:rPr>
                <w:rStyle w:val="Hyperlink"/>
                <w:rFonts w:asciiTheme="minorHAnsi" w:hAnsiTheme="minorHAnsi" w:cstheme="minorHAnsi"/>
                <w:color w:val="000000" w:themeColor="text1"/>
                <w:sz w:val="22"/>
                <w:szCs w:val="22"/>
                <w:u w:val="none"/>
              </w:rPr>
            </w:pPr>
            <w:r w:rsidRPr="00E860F9">
              <w:rPr>
                <w:rStyle w:val="s1"/>
                <w:rFonts w:asciiTheme="minorHAnsi" w:hAnsiTheme="minorHAnsi" w:cstheme="minorHAnsi"/>
                <w:color w:val="000000" w:themeColor="text1"/>
                <w:sz w:val="22"/>
                <w:szCs w:val="22"/>
              </w:rPr>
              <w:t>“Reasonable access” is not defined in the Temporary Specification. Generally, compliance with the requirement for registrars and registries to provide reasonable access to non-public registration data is evaluated on a case-by-case basis, based on evidence provided by the requestor, including its request for access to non-public registration data, evidence of the requestor’s legitimate purpose for accessing the non-public registration data, the timing and content of the contracted party’s response to the request (if any), and any other information or evidence relevant to assessing the request and response.</w:t>
            </w:r>
          </w:p>
        </w:tc>
      </w:tr>
    </w:tbl>
    <w:p w14:paraId="11C49CDA" w14:textId="77777777" w:rsidR="00D21F29" w:rsidRDefault="00D21F29"/>
    <w:sectPr w:rsidR="00D21F29" w:rsidSect="00257D24">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757F1" w14:textId="77777777" w:rsidR="00EB5639" w:rsidRDefault="00EB5639" w:rsidP="001F79CB">
      <w:r>
        <w:separator/>
      </w:r>
    </w:p>
  </w:endnote>
  <w:endnote w:type="continuationSeparator" w:id="0">
    <w:p w14:paraId="5B4C7DD1" w14:textId="77777777" w:rsidR="00EB5639" w:rsidRDefault="00EB5639" w:rsidP="001F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5267112"/>
      <w:docPartObj>
        <w:docPartGallery w:val="Page Numbers (Bottom of Page)"/>
        <w:docPartUnique/>
      </w:docPartObj>
    </w:sdtPr>
    <w:sdtEndPr>
      <w:rPr>
        <w:rStyle w:val="PageNumber"/>
      </w:rPr>
    </w:sdtEndPr>
    <w:sdtContent>
      <w:p w14:paraId="07B2AAC5" w14:textId="086DB21C" w:rsidR="001F79CB" w:rsidRDefault="001F79CB" w:rsidP="00FE06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42C5FF" w14:textId="77777777" w:rsidR="001F79CB" w:rsidRDefault="001F79CB" w:rsidP="001F79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8"/>
        <w:szCs w:val="18"/>
      </w:rPr>
      <w:id w:val="-570661210"/>
      <w:docPartObj>
        <w:docPartGallery w:val="Page Numbers (Bottom of Page)"/>
        <w:docPartUnique/>
      </w:docPartObj>
    </w:sdtPr>
    <w:sdtEndPr>
      <w:rPr>
        <w:rStyle w:val="PageNumber"/>
      </w:rPr>
    </w:sdtEndPr>
    <w:sdtContent>
      <w:p w14:paraId="46F6B0BB" w14:textId="3AB3F147" w:rsidR="001F79CB" w:rsidRPr="001F79CB" w:rsidRDefault="001F79CB" w:rsidP="00FE06C3">
        <w:pPr>
          <w:pStyle w:val="Footer"/>
          <w:framePr w:wrap="none" w:vAnchor="text" w:hAnchor="margin" w:xAlign="right" w:y="1"/>
          <w:rPr>
            <w:rStyle w:val="PageNumber"/>
            <w:sz w:val="18"/>
            <w:szCs w:val="18"/>
          </w:rPr>
        </w:pPr>
        <w:r w:rsidRPr="001F79CB">
          <w:rPr>
            <w:rStyle w:val="PageNumber"/>
            <w:sz w:val="18"/>
            <w:szCs w:val="18"/>
          </w:rPr>
          <w:fldChar w:fldCharType="begin"/>
        </w:r>
        <w:r w:rsidRPr="001F79CB">
          <w:rPr>
            <w:rStyle w:val="PageNumber"/>
            <w:sz w:val="18"/>
            <w:szCs w:val="18"/>
          </w:rPr>
          <w:instrText xml:space="preserve"> PAGE </w:instrText>
        </w:r>
        <w:r w:rsidRPr="001F79CB">
          <w:rPr>
            <w:rStyle w:val="PageNumber"/>
            <w:sz w:val="18"/>
            <w:szCs w:val="18"/>
          </w:rPr>
          <w:fldChar w:fldCharType="separate"/>
        </w:r>
        <w:r w:rsidRPr="001F79CB">
          <w:rPr>
            <w:rStyle w:val="PageNumber"/>
            <w:noProof/>
            <w:sz w:val="18"/>
            <w:szCs w:val="18"/>
          </w:rPr>
          <w:t>1</w:t>
        </w:r>
        <w:r w:rsidRPr="001F79CB">
          <w:rPr>
            <w:rStyle w:val="PageNumber"/>
            <w:sz w:val="18"/>
            <w:szCs w:val="18"/>
          </w:rPr>
          <w:fldChar w:fldCharType="end"/>
        </w:r>
      </w:p>
    </w:sdtContent>
  </w:sdt>
  <w:p w14:paraId="1661F4BD" w14:textId="77777777" w:rsidR="001F79CB" w:rsidRDefault="001F79CB" w:rsidP="001F79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24B12" w14:textId="77777777" w:rsidR="00EB5639" w:rsidRDefault="00EB5639" w:rsidP="001F79CB">
      <w:r>
        <w:separator/>
      </w:r>
    </w:p>
  </w:footnote>
  <w:footnote w:type="continuationSeparator" w:id="0">
    <w:p w14:paraId="53F66FD7" w14:textId="77777777" w:rsidR="00EB5639" w:rsidRDefault="00EB5639" w:rsidP="001F7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B59"/>
    <w:multiLevelType w:val="multilevel"/>
    <w:tmpl w:val="552A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D7671"/>
    <w:multiLevelType w:val="multilevel"/>
    <w:tmpl w:val="4514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054CA5"/>
    <w:multiLevelType w:val="multilevel"/>
    <w:tmpl w:val="52E6C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748E1"/>
    <w:multiLevelType w:val="multilevel"/>
    <w:tmpl w:val="623C2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FD2380"/>
    <w:multiLevelType w:val="multilevel"/>
    <w:tmpl w:val="623AA6FC"/>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24"/>
    <w:rsid w:val="000D22E9"/>
    <w:rsid w:val="00155C92"/>
    <w:rsid w:val="001F79CB"/>
    <w:rsid w:val="00257D24"/>
    <w:rsid w:val="0027377D"/>
    <w:rsid w:val="003411A1"/>
    <w:rsid w:val="00492375"/>
    <w:rsid w:val="00510C88"/>
    <w:rsid w:val="007F1FED"/>
    <w:rsid w:val="008436FE"/>
    <w:rsid w:val="008A172B"/>
    <w:rsid w:val="00AD5DB2"/>
    <w:rsid w:val="00C11411"/>
    <w:rsid w:val="00D13D1B"/>
    <w:rsid w:val="00D21F29"/>
    <w:rsid w:val="00DD7FD2"/>
    <w:rsid w:val="00E860F9"/>
    <w:rsid w:val="00EB5639"/>
    <w:rsid w:val="00F5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C0E2"/>
  <w15:chartTrackingRefBased/>
  <w15:docId w15:val="{D4548DCE-6C06-DB4B-9351-E4778D95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7D24"/>
    <w:rPr>
      <w:color w:val="0563C1" w:themeColor="hyperlink"/>
      <w:u w:val="single"/>
    </w:rPr>
  </w:style>
  <w:style w:type="paragraph" w:styleId="NormalWeb">
    <w:name w:val="Normal (Web)"/>
    <w:basedOn w:val="Normal"/>
    <w:uiPriority w:val="99"/>
    <w:unhideWhenUsed/>
    <w:rsid w:val="00257D2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57D24"/>
    <w:rPr>
      <w:color w:val="605E5C"/>
      <w:shd w:val="clear" w:color="auto" w:fill="E1DFDD"/>
    </w:rPr>
  </w:style>
  <w:style w:type="character" w:styleId="FollowedHyperlink">
    <w:name w:val="FollowedHyperlink"/>
    <w:basedOn w:val="DefaultParagraphFont"/>
    <w:uiPriority w:val="99"/>
    <w:semiHidden/>
    <w:unhideWhenUsed/>
    <w:rsid w:val="00257D24"/>
    <w:rPr>
      <w:color w:val="954F72" w:themeColor="followedHyperlink"/>
      <w:u w:val="single"/>
    </w:rPr>
  </w:style>
  <w:style w:type="character" w:styleId="Strong">
    <w:name w:val="Strong"/>
    <w:basedOn w:val="DefaultParagraphFont"/>
    <w:uiPriority w:val="22"/>
    <w:qFormat/>
    <w:rsid w:val="0027377D"/>
    <w:rPr>
      <w:b/>
      <w:bCs/>
    </w:rPr>
  </w:style>
  <w:style w:type="character" w:customStyle="1" w:styleId="apple-converted-space">
    <w:name w:val="apple-converted-space"/>
    <w:basedOn w:val="DefaultParagraphFont"/>
    <w:rsid w:val="0027377D"/>
  </w:style>
  <w:style w:type="paragraph" w:customStyle="1" w:styleId="p1">
    <w:name w:val="p1"/>
    <w:basedOn w:val="Normal"/>
    <w:rsid w:val="00E860F9"/>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E860F9"/>
  </w:style>
  <w:style w:type="character" w:styleId="Emphasis">
    <w:name w:val="Emphasis"/>
    <w:basedOn w:val="DefaultParagraphFont"/>
    <w:uiPriority w:val="20"/>
    <w:qFormat/>
    <w:rsid w:val="00E860F9"/>
    <w:rPr>
      <w:i/>
      <w:iCs/>
    </w:rPr>
  </w:style>
  <w:style w:type="paragraph" w:styleId="Footer">
    <w:name w:val="footer"/>
    <w:basedOn w:val="Normal"/>
    <w:link w:val="FooterChar"/>
    <w:uiPriority w:val="99"/>
    <w:unhideWhenUsed/>
    <w:rsid w:val="001F79CB"/>
    <w:pPr>
      <w:tabs>
        <w:tab w:val="center" w:pos="4680"/>
        <w:tab w:val="right" w:pos="9360"/>
      </w:tabs>
    </w:pPr>
  </w:style>
  <w:style w:type="character" w:customStyle="1" w:styleId="FooterChar">
    <w:name w:val="Footer Char"/>
    <w:basedOn w:val="DefaultParagraphFont"/>
    <w:link w:val="Footer"/>
    <w:uiPriority w:val="99"/>
    <w:rsid w:val="001F79CB"/>
    <w:rPr>
      <w:rFonts w:eastAsiaTheme="minorEastAsia"/>
    </w:rPr>
  </w:style>
  <w:style w:type="character" w:styleId="PageNumber">
    <w:name w:val="page number"/>
    <w:basedOn w:val="DefaultParagraphFont"/>
    <w:uiPriority w:val="99"/>
    <w:semiHidden/>
    <w:unhideWhenUsed/>
    <w:rsid w:val="001F79CB"/>
  </w:style>
  <w:style w:type="paragraph" w:styleId="Header">
    <w:name w:val="header"/>
    <w:basedOn w:val="Normal"/>
    <w:link w:val="HeaderChar"/>
    <w:uiPriority w:val="99"/>
    <w:unhideWhenUsed/>
    <w:rsid w:val="001F79CB"/>
    <w:pPr>
      <w:tabs>
        <w:tab w:val="center" w:pos="4680"/>
        <w:tab w:val="right" w:pos="9360"/>
      </w:tabs>
    </w:pPr>
  </w:style>
  <w:style w:type="character" w:customStyle="1" w:styleId="HeaderChar">
    <w:name w:val="Header Char"/>
    <w:basedOn w:val="DefaultParagraphFont"/>
    <w:link w:val="Header"/>
    <w:uiPriority w:val="99"/>
    <w:rsid w:val="001F79C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556">
      <w:bodyDiv w:val="1"/>
      <w:marLeft w:val="0"/>
      <w:marRight w:val="0"/>
      <w:marTop w:val="0"/>
      <w:marBottom w:val="0"/>
      <w:divBdr>
        <w:top w:val="none" w:sz="0" w:space="0" w:color="auto"/>
        <w:left w:val="none" w:sz="0" w:space="0" w:color="auto"/>
        <w:bottom w:val="none" w:sz="0" w:space="0" w:color="auto"/>
        <w:right w:val="none" w:sz="0" w:space="0" w:color="auto"/>
      </w:divBdr>
    </w:div>
    <w:div w:id="76023569">
      <w:bodyDiv w:val="1"/>
      <w:marLeft w:val="0"/>
      <w:marRight w:val="0"/>
      <w:marTop w:val="0"/>
      <w:marBottom w:val="0"/>
      <w:divBdr>
        <w:top w:val="none" w:sz="0" w:space="0" w:color="auto"/>
        <w:left w:val="none" w:sz="0" w:space="0" w:color="auto"/>
        <w:bottom w:val="none" w:sz="0" w:space="0" w:color="auto"/>
        <w:right w:val="none" w:sz="0" w:space="0" w:color="auto"/>
      </w:divBdr>
    </w:div>
    <w:div w:id="321739166">
      <w:bodyDiv w:val="1"/>
      <w:marLeft w:val="0"/>
      <w:marRight w:val="0"/>
      <w:marTop w:val="0"/>
      <w:marBottom w:val="0"/>
      <w:divBdr>
        <w:top w:val="none" w:sz="0" w:space="0" w:color="auto"/>
        <w:left w:val="none" w:sz="0" w:space="0" w:color="auto"/>
        <w:bottom w:val="none" w:sz="0" w:space="0" w:color="auto"/>
        <w:right w:val="none" w:sz="0" w:space="0" w:color="auto"/>
      </w:divBdr>
    </w:div>
    <w:div w:id="383910244">
      <w:bodyDiv w:val="1"/>
      <w:marLeft w:val="0"/>
      <w:marRight w:val="0"/>
      <w:marTop w:val="0"/>
      <w:marBottom w:val="0"/>
      <w:divBdr>
        <w:top w:val="none" w:sz="0" w:space="0" w:color="auto"/>
        <w:left w:val="none" w:sz="0" w:space="0" w:color="auto"/>
        <w:bottom w:val="none" w:sz="0" w:space="0" w:color="auto"/>
        <w:right w:val="none" w:sz="0" w:space="0" w:color="auto"/>
      </w:divBdr>
    </w:div>
    <w:div w:id="554199200">
      <w:bodyDiv w:val="1"/>
      <w:marLeft w:val="0"/>
      <w:marRight w:val="0"/>
      <w:marTop w:val="0"/>
      <w:marBottom w:val="0"/>
      <w:divBdr>
        <w:top w:val="none" w:sz="0" w:space="0" w:color="auto"/>
        <w:left w:val="none" w:sz="0" w:space="0" w:color="auto"/>
        <w:bottom w:val="none" w:sz="0" w:space="0" w:color="auto"/>
        <w:right w:val="none" w:sz="0" w:space="0" w:color="auto"/>
      </w:divBdr>
      <w:divsChild>
        <w:div w:id="2333246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907344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594828737">
      <w:bodyDiv w:val="1"/>
      <w:marLeft w:val="0"/>
      <w:marRight w:val="0"/>
      <w:marTop w:val="0"/>
      <w:marBottom w:val="0"/>
      <w:divBdr>
        <w:top w:val="none" w:sz="0" w:space="0" w:color="auto"/>
        <w:left w:val="none" w:sz="0" w:space="0" w:color="auto"/>
        <w:bottom w:val="none" w:sz="0" w:space="0" w:color="auto"/>
        <w:right w:val="none" w:sz="0" w:space="0" w:color="auto"/>
      </w:divBdr>
    </w:div>
    <w:div w:id="638657278">
      <w:bodyDiv w:val="1"/>
      <w:marLeft w:val="0"/>
      <w:marRight w:val="0"/>
      <w:marTop w:val="0"/>
      <w:marBottom w:val="0"/>
      <w:divBdr>
        <w:top w:val="none" w:sz="0" w:space="0" w:color="auto"/>
        <w:left w:val="none" w:sz="0" w:space="0" w:color="auto"/>
        <w:bottom w:val="none" w:sz="0" w:space="0" w:color="auto"/>
        <w:right w:val="none" w:sz="0" w:space="0" w:color="auto"/>
      </w:divBdr>
    </w:div>
    <w:div w:id="1025517134">
      <w:bodyDiv w:val="1"/>
      <w:marLeft w:val="0"/>
      <w:marRight w:val="0"/>
      <w:marTop w:val="0"/>
      <w:marBottom w:val="0"/>
      <w:divBdr>
        <w:top w:val="none" w:sz="0" w:space="0" w:color="auto"/>
        <w:left w:val="none" w:sz="0" w:space="0" w:color="auto"/>
        <w:bottom w:val="none" w:sz="0" w:space="0" w:color="auto"/>
        <w:right w:val="none" w:sz="0" w:space="0" w:color="auto"/>
      </w:divBdr>
    </w:div>
    <w:div w:id="1097558385">
      <w:bodyDiv w:val="1"/>
      <w:marLeft w:val="0"/>
      <w:marRight w:val="0"/>
      <w:marTop w:val="0"/>
      <w:marBottom w:val="0"/>
      <w:divBdr>
        <w:top w:val="none" w:sz="0" w:space="0" w:color="auto"/>
        <w:left w:val="none" w:sz="0" w:space="0" w:color="auto"/>
        <w:bottom w:val="none" w:sz="0" w:space="0" w:color="auto"/>
        <w:right w:val="none" w:sz="0" w:space="0" w:color="auto"/>
      </w:divBdr>
      <w:divsChild>
        <w:div w:id="6025002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715870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4004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dcterms:created xsi:type="dcterms:W3CDTF">2018-10-08T23:49:00Z</dcterms:created>
  <dcterms:modified xsi:type="dcterms:W3CDTF">2018-10-08T23:51:00Z</dcterms:modified>
</cp:coreProperties>
</file>