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DC47A" w14:textId="77777777" w:rsidR="0058517C" w:rsidRDefault="00AC5373" w:rsidP="00AC5373">
      <w:pPr>
        <w:pStyle w:val="Heading1"/>
        <w:numPr>
          <w:ilvl w:val="0"/>
          <w:numId w:val="0"/>
        </w:numPr>
        <w:rPr>
          <w:rFonts w:asciiTheme="minorHAnsi" w:hAnsiTheme="minorHAnsi" w:cstheme="minorHAnsi"/>
        </w:rPr>
      </w:pPr>
      <w:bookmarkStart w:id="0" w:name="_Toc13651997"/>
      <w:r>
        <w:rPr>
          <w:rFonts w:asciiTheme="minorHAnsi" w:hAnsiTheme="minorHAnsi" w:cstheme="minorHAnsi"/>
        </w:rPr>
        <w:t xml:space="preserve">System for Standardized Access/Disclosure to Non-Public Registration Data (SSAD) – Draft </w:t>
      </w:r>
      <w:r w:rsidRPr="00AC5373">
        <w:rPr>
          <w:rFonts w:asciiTheme="minorHAnsi" w:hAnsiTheme="minorHAnsi" w:cstheme="minorHAnsi"/>
        </w:rPr>
        <w:t>Responses to Charter Questions &amp; Preliminary Recommendations</w:t>
      </w:r>
      <w:bookmarkEnd w:id="0"/>
      <w:r w:rsidR="0058517C">
        <w:rPr>
          <w:rFonts w:asciiTheme="minorHAnsi" w:hAnsiTheme="minorHAnsi" w:cstheme="minorHAnsi"/>
        </w:rPr>
        <w:t xml:space="preserve"> </w:t>
      </w:r>
    </w:p>
    <w:p w14:paraId="4E95B1FD" w14:textId="0A258EA3" w:rsidR="00AC5373" w:rsidRPr="0058517C" w:rsidRDefault="0058517C" w:rsidP="00AC5373">
      <w:pPr>
        <w:pStyle w:val="Heading1"/>
        <w:numPr>
          <w:ilvl w:val="0"/>
          <w:numId w:val="0"/>
        </w:numPr>
        <w:rPr>
          <w:rFonts w:asciiTheme="minorHAnsi" w:hAnsiTheme="minorHAnsi" w:cstheme="minorHAnsi"/>
          <w:i/>
          <w:iCs/>
          <w:sz w:val="22"/>
          <w:szCs w:val="22"/>
        </w:rPr>
      </w:pPr>
      <w:r w:rsidRPr="0058517C">
        <w:rPr>
          <w:rFonts w:asciiTheme="minorHAnsi" w:hAnsiTheme="minorHAnsi" w:cstheme="minorHAnsi"/>
          <w:i/>
          <w:iCs/>
          <w:sz w:val="22"/>
          <w:szCs w:val="22"/>
        </w:rPr>
        <w:t>For review and discussion at the LA F2F Meeting (9-11 Sep 2019)</w:t>
      </w:r>
      <w:r w:rsidR="00AC5373" w:rsidRPr="0058517C">
        <w:rPr>
          <w:rFonts w:asciiTheme="minorHAnsi" w:hAnsiTheme="minorHAnsi" w:cstheme="minorHAnsi"/>
          <w:i/>
          <w:iCs/>
          <w:sz w:val="22"/>
          <w:szCs w:val="22"/>
        </w:rPr>
        <w:t xml:space="preserve"> </w:t>
      </w:r>
      <w:r w:rsidRPr="0058517C">
        <w:rPr>
          <w:rFonts w:asciiTheme="minorHAnsi" w:hAnsiTheme="minorHAnsi" w:cstheme="minorHAnsi"/>
          <w:i/>
          <w:iCs/>
          <w:sz w:val="22"/>
          <w:szCs w:val="22"/>
        </w:rPr>
        <w:t xml:space="preserve">                                           </w:t>
      </w:r>
    </w:p>
    <w:p w14:paraId="0B69DDF0" w14:textId="7773F875" w:rsidR="00AC5373" w:rsidRDefault="00AC5373" w:rsidP="00AC5373">
      <w:pPr>
        <w:rPr>
          <w:rFonts w:asciiTheme="minorHAnsi" w:hAnsiTheme="minorHAnsi" w:cstheme="minorHAnsi"/>
        </w:rPr>
      </w:pPr>
    </w:p>
    <w:p w14:paraId="7126306F" w14:textId="4E176913" w:rsidR="0058517C" w:rsidRDefault="0058517C" w:rsidP="00AC5373">
      <w:pPr>
        <w:rPr>
          <w:rFonts w:asciiTheme="minorHAnsi" w:hAnsiTheme="minorHAnsi" w:cstheme="minorHAnsi"/>
        </w:rPr>
      </w:pPr>
      <w:r>
        <w:rPr>
          <w:rFonts w:asciiTheme="minorHAnsi" w:hAnsiTheme="minorHAnsi" w:cstheme="minorHAnsi"/>
        </w:rPr>
        <w:t xml:space="preserve">To facilitate the development of these proposed policy principles and preliminary recommendations, the EPDP Team developed a number of use cases to better understand the needs of third parties in requesting access to and disclosure of non-public registration data. </w:t>
      </w:r>
    </w:p>
    <w:p w14:paraId="370F8A27" w14:textId="7EF443FA" w:rsidR="00AC5373" w:rsidRDefault="0058517C" w:rsidP="00AC5373">
      <w:pPr>
        <w:rPr>
          <w:rFonts w:asciiTheme="minorHAnsi" w:hAnsiTheme="minorHAnsi" w:cstheme="minorHAnsi"/>
        </w:rPr>
      </w:pPr>
      <w:r>
        <w:rPr>
          <w:rFonts w:asciiTheme="minorHAnsi" w:hAnsiTheme="minorHAnsi" w:cstheme="minorHAnsi"/>
        </w:rPr>
        <w:t xml:space="preserve">The use cases developed </w:t>
      </w:r>
      <w:r w:rsidR="00AC5373">
        <w:rPr>
          <w:rFonts w:asciiTheme="minorHAnsi" w:hAnsiTheme="minorHAnsi" w:cstheme="minorHAnsi"/>
        </w:rPr>
        <w:t>covered the following categories:</w:t>
      </w:r>
    </w:p>
    <w:p w14:paraId="6C4610F2" w14:textId="5704FFCF" w:rsidR="00AC5373" w:rsidRDefault="00AC5373" w:rsidP="00AC5373">
      <w:pPr>
        <w:rPr>
          <w:rFonts w:asciiTheme="minorHAnsi" w:hAnsiTheme="minorHAnsi" w:cstheme="minorHAnsi"/>
        </w:rPr>
      </w:pPr>
    </w:p>
    <w:p w14:paraId="75D6979D" w14:textId="567369B4"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Criminal Law enforcement/national or public security</w:t>
      </w:r>
    </w:p>
    <w:p w14:paraId="24AB13A8" w14:textId="070F6FB0"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Non-LE investigations and civil claims</w:t>
      </w:r>
    </w:p>
    <w:p w14:paraId="763C65D0" w14:textId="2C9CD61A"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17CE689B" w14:textId="555669BE"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6F238C9D" w14:textId="0B202F5B" w:rsid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Registered Name Holder consent or contract</w:t>
      </w:r>
    </w:p>
    <w:p w14:paraId="6CC56B2E" w14:textId="481B7A3A" w:rsidR="00AC5373" w:rsidRDefault="00AC5373" w:rsidP="00AC5373">
      <w:pPr>
        <w:rPr>
          <w:rFonts w:asciiTheme="minorHAnsi" w:hAnsiTheme="minorHAnsi" w:cstheme="minorHAnsi"/>
        </w:rPr>
      </w:pPr>
    </w:p>
    <w:p w14:paraId="612CD052" w14:textId="38200669" w:rsidR="00AC5373" w:rsidRDefault="00AC5373" w:rsidP="00AC5373">
      <w:pPr>
        <w:rPr>
          <w:rFonts w:asciiTheme="minorHAnsi" w:hAnsiTheme="minorHAnsi" w:cstheme="minorHAnsi"/>
        </w:rPr>
      </w:pPr>
      <w:r>
        <w:rPr>
          <w:rFonts w:asciiTheme="minorHAnsi" w:hAnsiTheme="minorHAnsi" w:cstheme="minorHAnsi"/>
        </w:rPr>
        <w:t xml:space="preserve">A template was developed to facilitate this review, detailing for each use case a number of aspects such as data elements typically required, lawful basis of </w:t>
      </w:r>
      <w:r w:rsidR="002A2B0F">
        <w:rPr>
          <w:rFonts w:asciiTheme="minorHAnsi" w:hAnsiTheme="minorHAnsi" w:cstheme="minorHAnsi"/>
        </w:rPr>
        <w:t xml:space="preserve">the </w:t>
      </w:r>
      <w:r>
        <w:rPr>
          <w:rFonts w:asciiTheme="minorHAnsi" w:hAnsiTheme="minorHAnsi" w:cstheme="minorHAnsi"/>
        </w:rPr>
        <w:t>entity disclosing the data and safeguards. For further details, please see</w:t>
      </w:r>
      <w:r w:rsidR="00C07812">
        <w:rPr>
          <w:rFonts w:asciiTheme="minorHAnsi" w:hAnsiTheme="minorHAnsi" w:cstheme="minorHAnsi"/>
        </w:rPr>
        <w:t xml:space="preserve"> </w:t>
      </w:r>
      <w:hyperlink r:id="rId7" w:history="1">
        <w:r w:rsidR="00C07812" w:rsidRPr="006E2032">
          <w:rPr>
            <w:rStyle w:val="Hyperlink"/>
            <w:rFonts w:asciiTheme="minorHAnsi" w:hAnsiTheme="minorHAnsi" w:cstheme="minorHAnsi"/>
          </w:rPr>
          <w:t>https://community.icann.org/x/-KCjBg</w:t>
        </w:r>
      </w:hyperlink>
      <w:r w:rsidR="00C07812">
        <w:rPr>
          <w:rFonts w:asciiTheme="minorHAnsi" w:hAnsiTheme="minorHAnsi" w:cstheme="minorHAnsi"/>
        </w:rPr>
        <w:t>.</w:t>
      </w:r>
    </w:p>
    <w:p w14:paraId="7824A6C1" w14:textId="311E3286" w:rsidR="0058517C" w:rsidRDefault="0058517C" w:rsidP="00AC5373">
      <w:pPr>
        <w:rPr>
          <w:rFonts w:asciiTheme="minorHAnsi" w:hAnsiTheme="minorHAnsi" w:cstheme="minorHAnsi"/>
        </w:rPr>
      </w:pPr>
    </w:p>
    <w:p w14:paraId="6DB48F38" w14:textId="603763E2" w:rsidR="00FD6854" w:rsidRDefault="0058517C" w:rsidP="00AC5373">
      <w:pPr>
        <w:rPr>
          <w:rFonts w:asciiTheme="minorHAnsi" w:hAnsiTheme="minorHAnsi" w:cstheme="minorHAnsi"/>
        </w:rPr>
      </w:pPr>
      <w:r>
        <w:rPr>
          <w:rFonts w:asciiTheme="minorHAnsi" w:hAnsiTheme="minorHAnsi" w:cstheme="minorHAnsi"/>
        </w:rPr>
        <w:t xml:space="preserve">At the direction of EPDP Leadership, the staff support team developed this document to serve as a starting point for the deliberations at the EPDP Team F2F meeting in Los Angeles from 9-11 September 2019. These proposed policy principles, </w:t>
      </w:r>
      <w:r w:rsidR="00C07812">
        <w:rPr>
          <w:rFonts w:asciiTheme="minorHAnsi" w:hAnsiTheme="minorHAnsi" w:cstheme="minorHAnsi"/>
        </w:rPr>
        <w:t>building blocks</w:t>
      </w:r>
      <w:r>
        <w:rPr>
          <w:rFonts w:asciiTheme="minorHAnsi" w:hAnsiTheme="minorHAnsi" w:cstheme="minorHAnsi"/>
        </w:rPr>
        <w:t xml:space="preserve"> and implementation guidance were derived from the EPDP Team’s discussions and review of the use cases. </w:t>
      </w:r>
    </w:p>
    <w:p w14:paraId="3CB52E9C" w14:textId="77777777" w:rsidR="00FD6854" w:rsidRDefault="00FD6854" w:rsidP="00AC5373">
      <w:pPr>
        <w:rPr>
          <w:rFonts w:asciiTheme="minorHAnsi" w:hAnsiTheme="minorHAnsi" w:cstheme="minorHAnsi"/>
        </w:rPr>
      </w:pPr>
    </w:p>
    <w:p w14:paraId="6E85149F" w14:textId="3A9E9A6B" w:rsidR="0058517C" w:rsidRPr="000C09C6" w:rsidRDefault="0058517C" w:rsidP="000C09C6">
      <w:pPr>
        <w:pBdr>
          <w:top w:val="single" w:sz="4" w:space="1" w:color="auto"/>
          <w:left w:val="single" w:sz="4" w:space="4" w:color="auto"/>
          <w:bottom w:val="single" w:sz="4" w:space="1" w:color="auto"/>
          <w:right w:val="single" w:sz="4" w:space="4" w:color="auto"/>
        </w:pBdr>
        <w:rPr>
          <w:rFonts w:asciiTheme="minorHAnsi" w:hAnsiTheme="minorHAnsi" w:cstheme="minorHAnsi"/>
          <w:b/>
          <w:bCs/>
        </w:rPr>
      </w:pPr>
      <w:bookmarkStart w:id="1" w:name="_GoBack"/>
      <w:r w:rsidRPr="000C09C6">
        <w:rPr>
          <w:rFonts w:asciiTheme="minorHAnsi" w:hAnsiTheme="minorHAnsi" w:cstheme="minorHAnsi"/>
          <w:b/>
          <w:bCs/>
        </w:rPr>
        <w:t>Please note that th</w:t>
      </w:r>
      <w:r w:rsidR="00483649" w:rsidRPr="000C09C6">
        <w:rPr>
          <w:rFonts w:asciiTheme="minorHAnsi" w:hAnsiTheme="minorHAnsi" w:cstheme="minorHAnsi"/>
          <w:b/>
          <w:bCs/>
        </w:rPr>
        <w:t xml:space="preserve">is paper aims to represent views that appeared to have been broadly </w:t>
      </w:r>
      <w:proofErr w:type="gramStart"/>
      <w:r w:rsidR="00483649" w:rsidRPr="000C09C6">
        <w:rPr>
          <w:rFonts w:asciiTheme="minorHAnsi" w:hAnsiTheme="minorHAnsi" w:cstheme="minorHAnsi"/>
          <w:b/>
          <w:bCs/>
        </w:rPr>
        <w:t>shared</w:t>
      </w:r>
      <w:proofErr w:type="gramEnd"/>
      <w:r w:rsidR="00C07812" w:rsidRPr="000C09C6">
        <w:rPr>
          <w:rFonts w:asciiTheme="minorHAnsi" w:hAnsiTheme="minorHAnsi" w:cstheme="minorHAnsi"/>
          <w:b/>
          <w:bCs/>
        </w:rPr>
        <w:t xml:space="preserve"> but these do NOT represent formally agreed to EPDP Team positions. F</w:t>
      </w:r>
      <w:r w:rsidR="00483649" w:rsidRPr="000C09C6">
        <w:rPr>
          <w:rFonts w:asciiTheme="minorHAnsi" w:hAnsiTheme="minorHAnsi" w:cstheme="minorHAnsi"/>
          <w:b/>
          <w:bCs/>
        </w:rPr>
        <w:t>urther review and discussion during the LA F2F meeting will need to confirm whether</w:t>
      </w:r>
      <w:r w:rsidR="00C07812" w:rsidRPr="000C09C6">
        <w:rPr>
          <w:rFonts w:asciiTheme="minorHAnsi" w:hAnsiTheme="minorHAnsi" w:cstheme="minorHAnsi"/>
          <w:b/>
          <w:bCs/>
        </w:rPr>
        <w:t xml:space="preserve"> there is support for these policy principles, building blocks and implementation guidance and if not, how these should be modified to achieve general support.</w:t>
      </w:r>
      <w:r w:rsidR="00FD6854">
        <w:rPr>
          <w:rFonts w:asciiTheme="minorHAnsi" w:hAnsiTheme="minorHAnsi" w:cstheme="minorHAnsi"/>
          <w:b/>
          <w:bCs/>
        </w:rPr>
        <w:t xml:space="preserve"> The paper also identifies a number of questions that are intended to aid the EPDP Team in further detailing its intent. </w:t>
      </w:r>
      <w:r w:rsidR="00C07812" w:rsidRPr="000C09C6">
        <w:rPr>
          <w:rFonts w:asciiTheme="minorHAnsi" w:hAnsiTheme="minorHAnsi" w:cstheme="minorHAnsi"/>
          <w:b/>
          <w:bCs/>
        </w:rPr>
        <w:t xml:space="preserve"> </w:t>
      </w:r>
      <w:bookmarkEnd w:id="1"/>
      <w:r w:rsidR="00483649" w:rsidRPr="000C09C6">
        <w:rPr>
          <w:rFonts w:asciiTheme="minorHAnsi" w:hAnsiTheme="minorHAnsi" w:cstheme="minorHAnsi"/>
          <w:b/>
          <w:bCs/>
        </w:rPr>
        <w:t xml:space="preserve">Where applicable, diverging positions or approaches have been documented as best as possible. </w:t>
      </w:r>
    </w:p>
    <w:p w14:paraId="0EED604E" w14:textId="77777777" w:rsidR="00AC5373" w:rsidRPr="00AC5373" w:rsidRDefault="00AC5373" w:rsidP="00AC5373">
      <w:pPr>
        <w:rPr>
          <w:rFonts w:asciiTheme="minorHAnsi" w:hAnsiTheme="minorHAnsi" w:cstheme="minorHAnsi"/>
        </w:rPr>
      </w:pPr>
    </w:p>
    <w:tbl>
      <w:tblPr>
        <w:tblW w:w="9319" w:type="dxa"/>
        <w:tblBorders>
          <w:insideH w:val="single" w:sz="12" w:space="0" w:color="ACB9CA" w:themeColor="text2" w:themeTint="66"/>
          <w:insideV w:val="single" w:sz="18" w:space="0" w:color="ED7D31"/>
        </w:tblBorders>
        <w:tblLayout w:type="fixed"/>
        <w:tblLook w:val="0400" w:firstRow="0" w:lastRow="0" w:firstColumn="0" w:lastColumn="0" w:noHBand="0" w:noVBand="1"/>
      </w:tblPr>
      <w:tblGrid>
        <w:gridCol w:w="9319"/>
      </w:tblGrid>
      <w:tr w:rsidR="00AC5373" w:rsidRPr="00AC5373" w14:paraId="2C5E98B1" w14:textId="77777777" w:rsidTr="00AE3195">
        <w:trPr>
          <w:trHeight w:val="360"/>
        </w:trPr>
        <w:tc>
          <w:tcPr>
            <w:tcW w:w="9319" w:type="dxa"/>
            <w:shd w:val="clear" w:color="auto" w:fill="auto"/>
            <w:tcMar>
              <w:top w:w="80" w:type="dxa"/>
              <w:left w:w="80" w:type="dxa"/>
              <w:bottom w:w="80" w:type="dxa"/>
              <w:right w:w="80" w:type="dxa"/>
            </w:tcMar>
            <w:vAlign w:val="bottom"/>
          </w:tcPr>
          <w:p w14:paraId="439453C6" w14:textId="7196BEE7" w:rsidR="00AC5373" w:rsidRPr="00AC5373" w:rsidRDefault="00AC5373" w:rsidP="00AE3195">
            <w:pPr>
              <w:pBdr>
                <w:top w:val="nil"/>
                <w:left w:val="nil"/>
                <w:bottom w:val="nil"/>
                <w:right w:val="nil"/>
                <w:between w:val="nil"/>
              </w:pBdr>
              <w:spacing w:after="60"/>
              <w:ind w:left="-77"/>
              <w:rPr>
                <w:rFonts w:asciiTheme="minorHAnsi" w:eastAsia="Calibri" w:hAnsiTheme="minorHAnsi" w:cstheme="minorHAnsi"/>
                <w:b/>
                <w:smallCaps/>
                <w:color w:val="A5A5A5"/>
              </w:rPr>
            </w:pPr>
            <w:r w:rsidRPr="00AC5373">
              <w:rPr>
                <w:rFonts w:asciiTheme="minorHAnsi" w:eastAsia="Calibri" w:hAnsiTheme="minorHAnsi" w:cstheme="minorHAnsi"/>
                <w:b/>
                <w:smallCaps/>
                <w:color w:val="000000"/>
              </w:rPr>
              <w:t>POLICY PRINCIPLES AND</w:t>
            </w:r>
            <w:r w:rsidR="00C07812">
              <w:rPr>
                <w:rFonts w:asciiTheme="minorHAnsi" w:eastAsia="Calibri" w:hAnsiTheme="minorHAnsi" w:cstheme="minorHAnsi"/>
                <w:b/>
                <w:smallCaps/>
                <w:color w:val="000000"/>
              </w:rPr>
              <w:t xml:space="preserve"> SSAD BUILDING BLOCKS</w:t>
            </w:r>
            <w:r w:rsidRPr="00AC5373">
              <w:rPr>
                <w:rFonts w:asciiTheme="minorHAnsi" w:eastAsia="Calibri" w:hAnsiTheme="minorHAnsi" w:cstheme="minorHAnsi"/>
                <w:b/>
                <w:smallCaps/>
                <w:color w:val="000000"/>
              </w:rPr>
              <w:t xml:space="preserve"> </w:t>
            </w:r>
          </w:p>
        </w:tc>
      </w:tr>
      <w:tr w:rsidR="00AC5373" w:rsidRPr="00AC5373" w14:paraId="73E127A3" w14:textId="77777777" w:rsidTr="00AE3195">
        <w:trPr>
          <w:trHeight w:val="200"/>
        </w:trPr>
        <w:tc>
          <w:tcPr>
            <w:tcW w:w="9319" w:type="dxa"/>
            <w:shd w:val="clear" w:color="auto" w:fill="auto"/>
            <w:tcMar>
              <w:top w:w="80" w:type="dxa"/>
              <w:left w:w="80" w:type="dxa"/>
              <w:bottom w:w="80" w:type="dxa"/>
              <w:right w:w="80" w:type="dxa"/>
            </w:tcMar>
            <w:vAlign w:val="center"/>
          </w:tcPr>
          <w:p w14:paraId="441475E6" w14:textId="77777777" w:rsidR="00AC5373" w:rsidRPr="00AC5373" w:rsidRDefault="00AC5373" w:rsidP="00AE3195">
            <w:pPr>
              <w:rPr>
                <w:rFonts w:asciiTheme="minorHAnsi" w:hAnsiTheme="minorHAnsi" w:cstheme="minorHAnsi"/>
              </w:rPr>
            </w:pPr>
          </w:p>
          <w:p w14:paraId="40F0B243" w14:textId="7E934804" w:rsidR="00FD6854" w:rsidRPr="00AC5373" w:rsidRDefault="00AC5373" w:rsidP="00AE3195">
            <w:pPr>
              <w:ind w:left="-77"/>
              <w:rPr>
                <w:rFonts w:asciiTheme="minorHAnsi" w:hAnsiTheme="minorHAnsi" w:cstheme="minorHAnsi"/>
              </w:rPr>
            </w:pPr>
            <w:r w:rsidRPr="00AC5373">
              <w:rPr>
                <w:rFonts w:asciiTheme="minorHAnsi" w:hAnsiTheme="minorHAnsi" w:cstheme="minorHAnsi"/>
              </w:rPr>
              <w:t xml:space="preserve">As a result of its deliberations on the use cases, </w:t>
            </w:r>
            <w:r w:rsidR="00483649">
              <w:rPr>
                <w:rFonts w:asciiTheme="minorHAnsi" w:hAnsiTheme="minorHAnsi" w:cstheme="minorHAnsi"/>
              </w:rPr>
              <w:t xml:space="preserve">the following </w:t>
            </w:r>
            <w:r w:rsidRPr="00AC5373">
              <w:rPr>
                <w:rFonts w:asciiTheme="minorHAnsi" w:hAnsiTheme="minorHAnsi" w:cstheme="minorHAnsi"/>
              </w:rPr>
              <w:t xml:space="preserve">policy principles and </w:t>
            </w:r>
            <w:r w:rsidR="00C07812">
              <w:rPr>
                <w:rFonts w:asciiTheme="minorHAnsi" w:hAnsiTheme="minorHAnsi" w:cstheme="minorHAnsi"/>
              </w:rPr>
              <w:t xml:space="preserve">SSAD building blocks </w:t>
            </w:r>
            <w:r w:rsidR="00483649">
              <w:rPr>
                <w:rFonts w:asciiTheme="minorHAnsi" w:hAnsiTheme="minorHAnsi" w:cstheme="minorHAnsi"/>
              </w:rPr>
              <w:t>are put forward for further discussion</w:t>
            </w:r>
            <w:r w:rsidRPr="00AC5373">
              <w:rPr>
                <w:rFonts w:asciiTheme="minorHAnsi" w:hAnsiTheme="minorHAnsi" w:cstheme="minorHAnsi"/>
              </w:rPr>
              <w:t xml:space="preserve">. The proposed policy principles do not necessarily create new requirements for contracted parties, but these policy principles must </w:t>
            </w:r>
            <w:r w:rsidRPr="00AC5373">
              <w:rPr>
                <w:rFonts w:asciiTheme="minorHAnsi" w:hAnsiTheme="minorHAnsi" w:cstheme="minorHAnsi"/>
              </w:rPr>
              <w:lastRenderedPageBreak/>
              <w:t xml:space="preserve">be adhered to in the implementation of the policy recommendations and underpin the implementation of SSAD. </w:t>
            </w:r>
          </w:p>
          <w:p w14:paraId="597B8D1B" w14:textId="6C2964ED" w:rsidR="00483649" w:rsidRPr="00AC5373" w:rsidRDefault="00483649" w:rsidP="000C09C6">
            <w:pPr>
              <w:ind w:left="-77"/>
              <w:rPr>
                <w:rFonts w:asciiTheme="minorHAnsi" w:hAnsiTheme="minorHAnsi" w:cstheme="minorHAnsi"/>
              </w:rPr>
            </w:pPr>
          </w:p>
        </w:tc>
      </w:tr>
    </w:tbl>
    <w:p w14:paraId="1FBA8876" w14:textId="46BC9F9D" w:rsidR="00AC5373" w:rsidRPr="00AC5373" w:rsidRDefault="00AC5373" w:rsidP="00AC5373">
      <w:pPr>
        <w:rPr>
          <w:rFonts w:asciiTheme="minorHAnsi" w:hAnsiTheme="minorHAnsi" w:cstheme="minorHAnsi"/>
          <w:b/>
          <w:bCs/>
        </w:rPr>
      </w:pPr>
      <w:commentRangeStart w:id="2"/>
      <w:r w:rsidRPr="00AC5373">
        <w:rPr>
          <w:rFonts w:asciiTheme="minorHAnsi" w:hAnsiTheme="minorHAnsi" w:cstheme="minorHAnsi"/>
          <w:b/>
          <w:bCs/>
        </w:rPr>
        <w:lastRenderedPageBreak/>
        <w:t>SSAD P</w:t>
      </w:r>
      <w:r w:rsidR="00C664F1">
        <w:rPr>
          <w:rFonts w:asciiTheme="minorHAnsi" w:hAnsiTheme="minorHAnsi" w:cstheme="minorHAnsi"/>
          <w:b/>
          <w:bCs/>
        </w:rPr>
        <w:t xml:space="preserve">OLICY PRINCIPLES </w:t>
      </w:r>
      <w:commentRangeEnd w:id="2"/>
      <w:r w:rsidR="006C5184">
        <w:rPr>
          <w:rStyle w:val="CommentReference"/>
          <w:rFonts w:ascii="Calibri" w:hAnsi="Calibri" w:cstheme="minorBidi"/>
        </w:rPr>
        <w:commentReference w:id="2"/>
      </w:r>
    </w:p>
    <w:p w14:paraId="5211CE3D" w14:textId="77777777" w:rsidR="00AC5373" w:rsidRPr="00AC5373" w:rsidRDefault="00AC5373" w:rsidP="00AC5373">
      <w:pPr>
        <w:rPr>
          <w:rFonts w:asciiTheme="minorHAnsi" w:hAnsiTheme="minorHAnsi" w:cstheme="minorHAnsi"/>
          <w:b/>
          <w:bCs/>
        </w:rPr>
      </w:pPr>
    </w:p>
    <w:p w14:paraId="1021DCEB" w14:textId="458180DB"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The objective of the SSAD is to provide a predictable, transparent and accountable mechanism for access/disclosure of non-public registration data. </w:t>
      </w:r>
    </w:p>
    <w:p w14:paraId="1439331E" w14:textId="77777777" w:rsidR="00483649" w:rsidRPr="00AC5373" w:rsidRDefault="00483649" w:rsidP="00483649">
      <w:pPr>
        <w:pStyle w:val="ListParagraph"/>
        <w:ind w:left="2160"/>
        <w:rPr>
          <w:rFonts w:asciiTheme="minorHAnsi" w:hAnsiTheme="minorHAnsi" w:cstheme="minorHAnsi"/>
          <w:sz w:val="24"/>
        </w:rPr>
      </w:pPr>
    </w:p>
    <w:p w14:paraId="7E24E647" w14:textId="716ACC67"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Compliance with GDPR and other applicable data protection legislations underpins the SSAD. </w:t>
      </w:r>
    </w:p>
    <w:p w14:paraId="293088B3" w14:textId="77777777" w:rsidR="00483649" w:rsidRPr="00483649" w:rsidRDefault="00483649" w:rsidP="00483649">
      <w:pPr>
        <w:rPr>
          <w:rFonts w:asciiTheme="minorHAnsi" w:hAnsiTheme="minorHAnsi" w:cstheme="minorHAnsi"/>
        </w:rPr>
      </w:pPr>
    </w:p>
    <w:p w14:paraId="68A339DC" w14:textId="4AF6CC00"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The mechanism chosen to ultimately implement the SSAD must </w:t>
      </w:r>
      <w:r w:rsidR="002A2B0F">
        <w:rPr>
          <w:rFonts w:asciiTheme="minorHAnsi" w:hAnsiTheme="minorHAnsi" w:cstheme="minorHAnsi"/>
          <w:sz w:val="24"/>
        </w:rPr>
        <w:t>have the ability</w:t>
      </w:r>
      <w:r w:rsidRPr="00AC5373">
        <w:rPr>
          <w:rFonts w:asciiTheme="minorHAnsi" w:hAnsiTheme="minorHAnsi" w:cstheme="minorHAnsi"/>
          <w:sz w:val="24"/>
        </w:rPr>
        <w:t xml:space="preserve"> to adhere to these policy principles and recommendations. </w:t>
      </w:r>
    </w:p>
    <w:p w14:paraId="3220ABA0" w14:textId="77777777" w:rsidR="00483649" w:rsidRPr="00483649" w:rsidRDefault="00483649" w:rsidP="00483649">
      <w:pPr>
        <w:rPr>
          <w:rFonts w:asciiTheme="minorHAnsi" w:hAnsiTheme="minorHAnsi" w:cstheme="minorHAnsi"/>
        </w:rPr>
      </w:pPr>
    </w:p>
    <w:p w14:paraId="58EFA7BA" w14:textId="383DFBA5" w:rsidR="00AC5373" w:rsidRDefault="00AC5373" w:rsidP="00EF7D7E">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Requestors must comply with the requirements outlined in the policy recommendations when submitting disclosure / access requests. </w:t>
      </w:r>
    </w:p>
    <w:p w14:paraId="39579E74" w14:textId="77777777" w:rsidR="00213C20" w:rsidRPr="006B40CD" w:rsidRDefault="00213C20" w:rsidP="006B40CD">
      <w:pPr>
        <w:pStyle w:val="ListParagraph"/>
        <w:rPr>
          <w:rFonts w:asciiTheme="minorHAnsi" w:hAnsiTheme="minorHAnsi" w:cstheme="minorHAnsi"/>
          <w:sz w:val="24"/>
        </w:rPr>
      </w:pPr>
    </w:p>
    <w:p w14:paraId="3CEBB3A5" w14:textId="11FA368D" w:rsidR="00213C20" w:rsidRDefault="00213C20" w:rsidP="00EF7D7E">
      <w:pPr>
        <w:pStyle w:val="ListParagraph"/>
        <w:numPr>
          <w:ilvl w:val="0"/>
          <w:numId w:val="3"/>
        </w:numPr>
        <w:ind w:left="2160" w:hanging="2160"/>
        <w:rPr>
          <w:rFonts w:asciiTheme="minorHAnsi" w:hAnsiTheme="minorHAnsi" w:cstheme="minorHAnsi"/>
          <w:sz w:val="24"/>
        </w:rPr>
      </w:pPr>
      <w:r>
        <w:rPr>
          <w:rFonts w:asciiTheme="minorHAnsi" w:hAnsiTheme="minorHAnsi" w:cstheme="minorHAnsi"/>
          <w:sz w:val="24"/>
        </w:rPr>
        <w:t xml:space="preserve">Requests must be </w:t>
      </w:r>
      <w:r w:rsidR="00087838" w:rsidRPr="006B40CD">
        <w:rPr>
          <w:rFonts w:asciiTheme="minorHAnsi" w:hAnsiTheme="minorHAnsi" w:cstheme="minorHAnsi"/>
          <w:sz w:val="24"/>
        </w:rPr>
        <w:t>justifiably necessary and proportionate</w:t>
      </w:r>
      <w:r w:rsidR="00087838">
        <w:t xml:space="preserve"> </w:t>
      </w:r>
      <w:r>
        <w:rPr>
          <w:rFonts w:asciiTheme="minorHAnsi" w:hAnsiTheme="minorHAnsi" w:cstheme="minorHAnsi"/>
          <w:sz w:val="24"/>
        </w:rPr>
        <w:t xml:space="preserve">to the legitimate interest </w:t>
      </w:r>
      <w:r w:rsidR="00F53C3E">
        <w:rPr>
          <w:rFonts w:asciiTheme="minorHAnsi" w:hAnsiTheme="minorHAnsi" w:cstheme="minorHAnsi"/>
          <w:sz w:val="24"/>
        </w:rPr>
        <w:t>identified</w:t>
      </w:r>
      <w:r>
        <w:rPr>
          <w:rFonts w:asciiTheme="minorHAnsi" w:hAnsiTheme="minorHAnsi" w:cstheme="minorHAnsi"/>
          <w:sz w:val="24"/>
        </w:rPr>
        <w:t xml:space="preserve"> in the request for disclosure</w:t>
      </w:r>
      <w:r w:rsidR="00F53C3E">
        <w:rPr>
          <w:rFonts w:asciiTheme="minorHAnsi" w:hAnsiTheme="minorHAnsi" w:cstheme="minorHAnsi"/>
          <w:sz w:val="24"/>
        </w:rPr>
        <w:t>.</w:t>
      </w:r>
      <w:r>
        <w:rPr>
          <w:rFonts w:asciiTheme="minorHAnsi" w:hAnsiTheme="minorHAnsi" w:cstheme="minorHAnsi"/>
          <w:sz w:val="24"/>
        </w:rPr>
        <w:t xml:space="preserve"> </w:t>
      </w:r>
      <w:r w:rsidR="005E152B" w:rsidRPr="005E152B">
        <w:rPr>
          <w:rFonts w:asciiTheme="minorHAnsi" w:hAnsiTheme="minorHAnsi" w:cstheme="minorHAnsi"/>
          <w:sz w:val="24"/>
        </w:rPr>
        <w:t xml:space="preserve">In addition, the </w:t>
      </w:r>
      <w:r w:rsidR="005E152B">
        <w:rPr>
          <w:rFonts w:asciiTheme="minorHAnsi" w:hAnsiTheme="minorHAnsi" w:cstheme="minorHAnsi"/>
          <w:sz w:val="24"/>
        </w:rPr>
        <w:t xml:space="preserve">non-public </w:t>
      </w:r>
      <w:r w:rsidR="005E152B" w:rsidRPr="005E152B">
        <w:rPr>
          <w:rFonts w:asciiTheme="minorHAnsi" w:hAnsiTheme="minorHAnsi" w:cstheme="minorHAnsi"/>
          <w:sz w:val="24"/>
        </w:rPr>
        <w:t>data</w:t>
      </w:r>
      <w:r w:rsidR="005E152B">
        <w:rPr>
          <w:rFonts w:asciiTheme="minorHAnsi" w:hAnsiTheme="minorHAnsi" w:cstheme="minorHAnsi"/>
          <w:sz w:val="24"/>
        </w:rPr>
        <w:t xml:space="preserve"> elements</w:t>
      </w:r>
      <w:r w:rsidR="005E152B" w:rsidRPr="005E152B">
        <w:rPr>
          <w:rFonts w:asciiTheme="minorHAnsi" w:hAnsiTheme="minorHAnsi" w:cstheme="minorHAnsi"/>
          <w:sz w:val="24"/>
        </w:rPr>
        <w:t xml:space="preserve"> requested should not be readily available through other means</w:t>
      </w:r>
      <w:r w:rsidR="005E152B">
        <w:rPr>
          <w:rFonts w:asciiTheme="minorHAnsi" w:hAnsiTheme="minorHAnsi" w:cstheme="minorHAnsi"/>
          <w:sz w:val="24"/>
        </w:rPr>
        <w:t>.</w:t>
      </w:r>
    </w:p>
    <w:p w14:paraId="06268664" w14:textId="77777777" w:rsidR="00483649" w:rsidRPr="00483649" w:rsidRDefault="00483649" w:rsidP="00483649">
      <w:pPr>
        <w:rPr>
          <w:rFonts w:asciiTheme="minorHAnsi" w:hAnsiTheme="minorHAnsi" w:cstheme="minorHAnsi"/>
        </w:rPr>
      </w:pPr>
    </w:p>
    <w:p w14:paraId="229F7F5F" w14:textId="49173810" w:rsidR="00483649" w:rsidRPr="006C5184" w:rsidRDefault="00AC5373" w:rsidP="006C5184">
      <w:pPr>
        <w:pStyle w:val="ListParagraph"/>
        <w:numPr>
          <w:ilvl w:val="0"/>
          <w:numId w:val="3"/>
        </w:numPr>
        <w:ind w:left="720" w:hanging="720"/>
        <w:rPr>
          <w:rFonts w:asciiTheme="minorHAnsi" w:hAnsiTheme="minorHAnsi" w:cstheme="minorHAnsi"/>
        </w:rPr>
      </w:pPr>
      <w:r w:rsidRPr="00AC5373">
        <w:rPr>
          <w:rFonts w:asciiTheme="minorHAnsi" w:hAnsiTheme="minorHAnsi" w:cstheme="minorHAnsi"/>
          <w:sz w:val="24"/>
        </w:rPr>
        <w:t>Contracted parties must comply with the requirements outlined in</w:t>
      </w:r>
      <w:r w:rsidR="00EF7D7E">
        <w:rPr>
          <w:rFonts w:asciiTheme="minorHAnsi" w:hAnsiTheme="minorHAnsi" w:cstheme="minorHAnsi"/>
          <w:sz w:val="24"/>
        </w:rPr>
        <w:t xml:space="preserve"> </w:t>
      </w:r>
      <w:r w:rsidRPr="00AC5373">
        <w:rPr>
          <w:rFonts w:asciiTheme="minorHAnsi" w:hAnsiTheme="minorHAnsi" w:cstheme="minorHAnsi"/>
          <w:sz w:val="24"/>
        </w:rPr>
        <w:t xml:space="preserve">the </w:t>
      </w:r>
      <w:r w:rsidR="00EF7D7E">
        <w:rPr>
          <w:rFonts w:asciiTheme="minorHAnsi" w:hAnsiTheme="minorHAnsi" w:cstheme="minorHAnsi"/>
          <w:sz w:val="24"/>
        </w:rPr>
        <w:tab/>
      </w:r>
      <w:r w:rsidR="00EF7D7E">
        <w:rPr>
          <w:rFonts w:asciiTheme="minorHAnsi" w:hAnsiTheme="minorHAnsi" w:cstheme="minorHAnsi"/>
          <w:sz w:val="24"/>
        </w:rPr>
        <w:tab/>
      </w:r>
      <w:r w:rsidR="00EF7D7E">
        <w:rPr>
          <w:rFonts w:asciiTheme="minorHAnsi" w:hAnsiTheme="minorHAnsi" w:cstheme="minorHAnsi"/>
          <w:sz w:val="24"/>
        </w:rPr>
        <w:tab/>
      </w:r>
      <w:r w:rsidRPr="00AC5373">
        <w:rPr>
          <w:rFonts w:asciiTheme="minorHAnsi" w:hAnsiTheme="minorHAnsi" w:cstheme="minorHAnsi"/>
          <w:sz w:val="24"/>
        </w:rPr>
        <w:t xml:space="preserve">policy recommendations when receiving disclosure / access requests. </w:t>
      </w:r>
    </w:p>
    <w:p w14:paraId="03C9425E" w14:textId="77777777" w:rsidR="00483649" w:rsidRPr="00483649" w:rsidRDefault="00483649" w:rsidP="00483649">
      <w:pPr>
        <w:rPr>
          <w:rFonts w:asciiTheme="minorHAnsi" w:hAnsiTheme="minorHAnsi" w:cstheme="minorHAnsi"/>
        </w:rPr>
      </w:pPr>
    </w:p>
    <w:p w14:paraId="16060EB4" w14:textId="5354035D" w:rsidR="00AC5373" w:rsidRDefault="00AC5373" w:rsidP="0045074A">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Automated processing of SSAD requests is desirable, but only where it has been established that doing so does not negatively affect the rights of the data subject. </w:t>
      </w:r>
      <w:r w:rsidR="0045074A">
        <w:rPr>
          <w:rFonts w:asciiTheme="minorHAnsi" w:hAnsiTheme="minorHAnsi" w:cstheme="minorHAnsi"/>
          <w:sz w:val="24"/>
        </w:rPr>
        <w:t xml:space="preserve">Automation does not imply automatic disclosure / access. </w:t>
      </w:r>
    </w:p>
    <w:p w14:paraId="2183A207" w14:textId="77777777" w:rsidR="0045074A" w:rsidRPr="0045074A" w:rsidRDefault="0045074A" w:rsidP="0045074A">
      <w:pPr>
        <w:rPr>
          <w:rFonts w:asciiTheme="minorHAnsi" w:hAnsiTheme="minorHAnsi" w:cstheme="minorHAnsi"/>
        </w:rPr>
      </w:pPr>
    </w:p>
    <w:p w14:paraId="2B645823" w14:textId="77777777" w:rsidR="0045074A" w:rsidRDefault="00AC5373" w:rsidP="00483649">
      <w:pPr>
        <w:pStyle w:val="ListParagraph"/>
        <w:numPr>
          <w:ilvl w:val="0"/>
          <w:numId w:val="3"/>
        </w:numPr>
        <w:ind w:left="1170" w:hanging="1170"/>
        <w:rPr>
          <w:rFonts w:asciiTheme="minorHAnsi" w:hAnsiTheme="minorHAnsi" w:cstheme="minorHAnsi"/>
          <w:sz w:val="24"/>
        </w:rPr>
      </w:pPr>
      <w:r w:rsidRPr="00AC5373">
        <w:rPr>
          <w:rFonts w:asciiTheme="minorHAnsi" w:hAnsiTheme="minorHAnsi" w:cstheme="minorHAnsi"/>
          <w:sz w:val="24"/>
        </w:rPr>
        <w:t xml:space="preserve">If user groups are created, being identified as part of a particular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user group does not create an automatic right of disclosure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or access to certain data elements (see also policy principle #6).  </w:t>
      </w:r>
    </w:p>
    <w:p w14:paraId="13A65442" w14:textId="3BC5B959" w:rsidR="00AC5373" w:rsidRPr="0045074A" w:rsidRDefault="00AC5373" w:rsidP="0045074A">
      <w:pPr>
        <w:rPr>
          <w:rFonts w:asciiTheme="minorHAnsi" w:hAnsiTheme="minorHAnsi" w:cstheme="minorHAnsi"/>
        </w:rPr>
      </w:pPr>
      <w:r w:rsidRPr="0045074A">
        <w:rPr>
          <w:rFonts w:asciiTheme="minorHAnsi" w:hAnsiTheme="minorHAnsi" w:cstheme="minorHAnsi"/>
        </w:rPr>
        <w:t xml:space="preserve"> </w:t>
      </w:r>
    </w:p>
    <w:p w14:paraId="363E8170" w14:textId="10BD0EB8" w:rsidR="00AC5373" w:rsidRDefault="00295911" w:rsidP="0045074A">
      <w:pPr>
        <w:pStyle w:val="ListParagraph"/>
        <w:numPr>
          <w:ilvl w:val="0"/>
          <w:numId w:val="3"/>
        </w:numPr>
        <w:ind w:left="720" w:hanging="720"/>
        <w:rPr>
          <w:rFonts w:asciiTheme="minorHAnsi" w:hAnsiTheme="minorHAnsi" w:cstheme="minorHAnsi"/>
        </w:rPr>
      </w:pPr>
      <w:r>
        <w:rPr>
          <w:rStyle w:val="FootnoteReference"/>
          <w:rFonts w:cstheme="minorHAnsi"/>
          <w:sz w:val="24"/>
        </w:rPr>
        <w:footnoteReference w:id="1"/>
      </w:r>
      <w:r w:rsidR="00AC5373" w:rsidRPr="00AC5373">
        <w:rPr>
          <w:rFonts w:asciiTheme="minorHAnsi" w:hAnsiTheme="minorHAnsi" w:cstheme="minorHAnsi"/>
          <w:sz w:val="24"/>
        </w:rPr>
        <w:t xml:space="preserve">Each processing activity in the context of access/disclosure </w:t>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t>requires its own lawful basis</w:t>
      </w:r>
      <w:r w:rsidR="00F53C3E">
        <w:rPr>
          <w:rFonts w:asciiTheme="minorHAnsi" w:hAnsiTheme="minorHAnsi" w:cstheme="minorHAnsi"/>
          <w:sz w:val="24"/>
        </w:rPr>
        <w:t>, as outlined in the GDPR</w:t>
      </w:r>
      <w:r w:rsidR="00AC5373" w:rsidRPr="00AC5373">
        <w:rPr>
          <w:rFonts w:asciiTheme="minorHAnsi" w:hAnsiTheme="minorHAnsi" w:cstheme="minorHAnsi"/>
          <w:sz w:val="24"/>
        </w:rPr>
        <w:t>.</w:t>
      </w:r>
      <w:r w:rsidR="00F53C3E">
        <w:rPr>
          <w:rFonts w:asciiTheme="minorHAnsi" w:hAnsiTheme="minorHAnsi" w:cstheme="minorHAnsi"/>
          <w:sz w:val="24"/>
        </w:rPr>
        <w:t xml:space="preserve"> </w:t>
      </w:r>
      <w:r w:rsidR="00AC5373" w:rsidRPr="0045074A">
        <w:rPr>
          <w:rFonts w:asciiTheme="minorHAnsi" w:hAnsiTheme="minorHAnsi" w:cstheme="minorHAnsi"/>
          <w:sz w:val="24"/>
        </w:rPr>
        <w:t xml:space="preserve">Specifically, a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requestor of registration data must have a lawful basis for both its receipt </w:t>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and any subsequent processing of the data. Separately, the controller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must have a lawful basis for disclosing registration data to the requestor.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The EPDP Team’s work will focus on the lawful basis of the</w:t>
      </w:r>
      <w:r w:rsidR="00B9576A">
        <w:rPr>
          <w:rFonts w:asciiTheme="minorHAnsi" w:hAnsiTheme="minorHAnsi" w:cstheme="minorHAnsi"/>
          <w:sz w:val="24"/>
        </w:rPr>
        <w:t xml:space="preserve"> entity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lastRenderedPageBreak/>
        <w:tab/>
      </w:r>
      <w:r w:rsidR="00F53C3E">
        <w:rPr>
          <w:rFonts w:asciiTheme="minorHAnsi" w:hAnsiTheme="minorHAnsi" w:cstheme="minorHAnsi"/>
          <w:sz w:val="24"/>
        </w:rPr>
        <w:tab/>
      </w:r>
      <w:r w:rsidR="00B9576A">
        <w:rPr>
          <w:rFonts w:asciiTheme="minorHAnsi" w:hAnsiTheme="minorHAnsi" w:cstheme="minorHAnsi"/>
          <w:sz w:val="24"/>
        </w:rPr>
        <w:t>disclosing the data’s</w:t>
      </w:r>
      <w:r w:rsidR="00AC5373" w:rsidRPr="0045074A">
        <w:rPr>
          <w:rFonts w:asciiTheme="minorHAnsi" w:hAnsiTheme="minorHAnsi" w:cstheme="minorHAnsi"/>
          <w:sz w:val="24"/>
        </w:rPr>
        <w:t xml:space="preserve"> disclosure</w:t>
      </w:r>
      <w:r w:rsidR="0045074A">
        <w:rPr>
          <w:rFonts w:asciiTheme="minorHAnsi" w:hAnsiTheme="minorHAnsi" w:cstheme="minorHAnsi"/>
          <w:sz w:val="24"/>
        </w:rPr>
        <w:t>,</w:t>
      </w:r>
      <w:r w:rsidR="00F53C3E">
        <w:rPr>
          <w:rFonts w:asciiTheme="minorHAnsi" w:hAnsiTheme="minorHAnsi" w:cstheme="minorHAnsi"/>
          <w:sz w:val="24"/>
        </w:rPr>
        <w:t xml:space="preserve"> </w:t>
      </w:r>
      <w:r w:rsidR="0045074A">
        <w:rPr>
          <w:rFonts w:asciiTheme="minorHAnsi" w:hAnsiTheme="minorHAnsi" w:cstheme="minorHAnsi"/>
          <w:sz w:val="24"/>
        </w:rPr>
        <w:t xml:space="preserve">although it is not within the EPDP Team’s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 xml:space="preserve">remit nor expertise to conclusively determine which lawful basis may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apply</w:t>
      </w:r>
      <w:r>
        <w:rPr>
          <w:rFonts w:asciiTheme="minorHAnsi" w:hAnsiTheme="minorHAnsi" w:cstheme="minorHAnsi"/>
          <w:sz w:val="24"/>
        </w:rPr>
        <w:t xml:space="preserve"> – this will remain the responsibility of the </w:t>
      </w:r>
      <w:r w:rsidR="00B9576A">
        <w:rPr>
          <w:rFonts w:asciiTheme="minorHAnsi" w:hAnsiTheme="minorHAnsi" w:cstheme="minorHAnsi"/>
          <w:sz w:val="24"/>
        </w:rPr>
        <w:t>entity disclosing the data</w:t>
      </w:r>
      <w:r w:rsidR="00AC5373" w:rsidRPr="0045074A">
        <w:rPr>
          <w:rFonts w:asciiTheme="minorHAnsi" w:hAnsiTheme="minorHAnsi" w:cstheme="minorHAnsi"/>
          <w:sz w:val="24"/>
        </w:rPr>
        <w:t xml:space="preserve">. </w:t>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The requestor will be responsible for identifying its lawful bases; those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determinations are no</w:t>
      </w:r>
      <w:r w:rsidR="0045074A">
        <w:rPr>
          <w:rFonts w:asciiTheme="minorHAnsi" w:hAnsiTheme="minorHAnsi" w:cstheme="minorHAnsi"/>
          <w:sz w:val="24"/>
        </w:rPr>
        <w:t xml:space="preserve">t </w:t>
      </w:r>
      <w:r w:rsidR="00AC5373" w:rsidRPr="0045074A">
        <w:rPr>
          <w:rFonts w:asciiTheme="minorHAnsi" w:hAnsiTheme="minorHAnsi" w:cstheme="minorHAnsi"/>
          <w:sz w:val="24"/>
        </w:rPr>
        <w:t>within the remit of the EPDP Team.</w:t>
      </w:r>
      <w:r w:rsidR="00AC5373" w:rsidRPr="0045074A">
        <w:rPr>
          <w:rFonts w:asciiTheme="minorHAnsi" w:hAnsiTheme="minorHAnsi" w:cstheme="minorHAnsi"/>
        </w:rPr>
        <w:t xml:space="preserve">   </w:t>
      </w:r>
    </w:p>
    <w:p w14:paraId="512D2445" w14:textId="77777777" w:rsidR="0045074A" w:rsidRPr="0045074A" w:rsidRDefault="0045074A" w:rsidP="0045074A">
      <w:pPr>
        <w:rPr>
          <w:rFonts w:asciiTheme="minorHAnsi" w:hAnsiTheme="minorHAnsi" w:cstheme="minorHAnsi"/>
        </w:rPr>
      </w:pPr>
    </w:p>
    <w:p w14:paraId="16F88347" w14:textId="20438088" w:rsidR="00AC5373" w:rsidRDefault="00AC5373" w:rsidP="00483649">
      <w:pPr>
        <w:pStyle w:val="ListParagraph"/>
        <w:numPr>
          <w:ilvl w:val="0"/>
          <w:numId w:val="3"/>
        </w:numPr>
        <w:ind w:left="810" w:hanging="810"/>
        <w:rPr>
          <w:rFonts w:asciiTheme="minorHAnsi" w:hAnsiTheme="minorHAnsi" w:cstheme="minorHAnsi"/>
          <w:sz w:val="24"/>
        </w:rPr>
      </w:pPr>
      <w:r w:rsidRPr="00AC5373">
        <w:rPr>
          <w:rFonts w:asciiTheme="minorHAnsi" w:hAnsiTheme="minorHAnsi" w:cstheme="minorHAnsi"/>
          <w:sz w:val="24"/>
        </w:rPr>
        <w:t xml:space="preserve">The </w:t>
      </w:r>
      <w:r w:rsidR="00B9576A">
        <w:rPr>
          <w:rFonts w:asciiTheme="minorHAnsi" w:hAnsiTheme="minorHAnsi" w:cstheme="minorHAnsi"/>
          <w:sz w:val="24"/>
        </w:rPr>
        <w:t xml:space="preserve">entity disclosing the data </w:t>
      </w:r>
      <w:r w:rsidRPr="00AC5373">
        <w:rPr>
          <w:rFonts w:asciiTheme="minorHAnsi" w:hAnsiTheme="minorHAnsi" w:cstheme="minorHAnsi"/>
          <w:sz w:val="24"/>
        </w:rPr>
        <w:t xml:space="preserve">will remain ultimately responsible for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assessing</w:t>
      </w:r>
      <w:r w:rsidR="0045074A">
        <w:rPr>
          <w:rFonts w:asciiTheme="minorHAnsi" w:hAnsiTheme="minorHAnsi" w:cstheme="minorHAnsi"/>
          <w:sz w:val="24"/>
        </w:rPr>
        <w:t xml:space="preserve"> </w:t>
      </w:r>
      <w:r w:rsidRPr="00AC5373">
        <w:rPr>
          <w:rFonts w:asciiTheme="minorHAnsi" w:hAnsiTheme="minorHAnsi" w:cstheme="minorHAnsi"/>
          <w:sz w:val="24"/>
        </w:rPr>
        <w:t xml:space="preserve">whether any disclosure or non-disclosure is in violation of any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 xml:space="preserve">applicable laws. </w:t>
      </w:r>
    </w:p>
    <w:p w14:paraId="15B6A6D6" w14:textId="77777777" w:rsidR="00FD6370" w:rsidRPr="00FD6370" w:rsidRDefault="00FD6370" w:rsidP="00FD6370">
      <w:pPr>
        <w:pStyle w:val="ListParagraph"/>
        <w:rPr>
          <w:rFonts w:asciiTheme="minorHAnsi" w:hAnsiTheme="minorHAnsi" w:cstheme="minorHAnsi"/>
          <w:sz w:val="24"/>
        </w:rPr>
      </w:pPr>
    </w:p>
    <w:p w14:paraId="39EC0B0A" w14:textId="6080B88D" w:rsidR="00FD6370" w:rsidRDefault="00FD6370" w:rsidP="00FD6370">
      <w:pPr>
        <w:pStyle w:val="ListParagraph"/>
        <w:numPr>
          <w:ilvl w:val="0"/>
          <w:numId w:val="3"/>
        </w:numPr>
        <w:ind w:left="810" w:hanging="810"/>
        <w:rPr>
          <w:rFonts w:asciiTheme="minorHAnsi" w:hAnsiTheme="minorHAnsi" w:cstheme="minorHAnsi"/>
          <w:sz w:val="24"/>
        </w:rPr>
      </w:pPr>
      <w:r w:rsidRPr="00FD6370">
        <w:rPr>
          <w:rFonts w:asciiTheme="minorHAnsi" w:hAnsiTheme="minorHAnsi" w:cstheme="minorHAnsi"/>
          <w:sz w:val="24"/>
        </w:rPr>
        <w:t>Contracted parties are only responsible for disclosing non</w:t>
      </w:r>
      <w:r>
        <w:rPr>
          <w:rFonts w:asciiTheme="minorHAnsi" w:hAnsiTheme="minorHAnsi" w:cstheme="minorHAnsi"/>
          <w:sz w:val="24"/>
        </w:rPr>
        <w:t>-</w:t>
      </w:r>
      <w:r w:rsidRPr="00FD6370">
        <w:rPr>
          <w:rFonts w:asciiTheme="minorHAnsi" w:hAnsiTheme="minorHAnsi" w:cstheme="minorHAnsi"/>
          <w:sz w:val="24"/>
        </w:rPr>
        <w:t xml:space="preserve">public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Pr="00FD6370">
        <w:rPr>
          <w:rFonts w:asciiTheme="minorHAnsi" w:hAnsiTheme="minorHAnsi" w:cstheme="minorHAnsi"/>
          <w:sz w:val="24"/>
        </w:rPr>
        <w:t>registration data for the domain names under their management.</w:t>
      </w:r>
    </w:p>
    <w:p w14:paraId="1B71665C" w14:textId="77777777" w:rsidR="00F53C3E" w:rsidRPr="00F53C3E" w:rsidRDefault="00F53C3E" w:rsidP="00F53C3E">
      <w:pPr>
        <w:pStyle w:val="ListParagraph"/>
        <w:rPr>
          <w:rFonts w:asciiTheme="minorHAnsi" w:hAnsiTheme="minorHAnsi" w:cstheme="minorHAnsi"/>
          <w:sz w:val="24"/>
        </w:rPr>
      </w:pPr>
    </w:p>
    <w:p w14:paraId="4534F395" w14:textId="1D8FC34C" w:rsidR="00F53C3E" w:rsidRPr="00FD6370" w:rsidRDefault="00F53C3E" w:rsidP="00FD6370">
      <w:pPr>
        <w:pStyle w:val="ListParagraph"/>
        <w:numPr>
          <w:ilvl w:val="0"/>
          <w:numId w:val="3"/>
        </w:numPr>
        <w:ind w:left="810" w:hanging="810"/>
        <w:rPr>
          <w:rFonts w:asciiTheme="minorHAnsi" w:hAnsiTheme="minorHAnsi" w:cstheme="minorHAnsi"/>
          <w:sz w:val="24"/>
        </w:rPr>
      </w:pPr>
      <w:r>
        <w:rPr>
          <w:rFonts w:asciiTheme="minorHAnsi" w:hAnsiTheme="minorHAnsi" w:cstheme="minorHAnsi"/>
          <w:sz w:val="24"/>
        </w:rPr>
        <w:t xml:space="preserve">In order to facilitate implementation of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requestors may be categorized</w:t>
      </w:r>
      <w:r w:rsidR="002A2B0F">
        <w:rPr>
          <w:rFonts w:asciiTheme="minorHAnsi" w:hAnsiTheme="minorHAnsi" w:cstheme="minorHAnsi"/>
          <w:sz w:val="24"/>
        </w:rPr>
        <w:t>,</w:t>
      </w:r>
      <w:r>
        <w:rPr>
          <w:rFonts w:asciiTheme="minorHAnsi" w:hAnsiTheme="minorHAnsi" w:cstheme="minorHAnsi"/>
          <w:sz w:val="24"/>
        </w:rPr>
        <w:t xml:space="preserve"> and these categories may be used to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organize certain processes as described in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(e.g. accreditation, authentication). </w:t>
      </w:r>
    </w:p>
    <w:p w14:paraId="56D0E93F" w14:textId="77777777" w:rsidR="00AC5373" w:rsidRPr="00AC5373" w:rsidRDefault="00AC5373" w:rsidP="00AC5373">
      <w:pPr>
        <w:rPr>
          <w:rFonts w:asciiTheme="minorHAnsi" w:hAnsiTheme="minorHAnsi" w:cstheme="minorHAnsi"/>
        </w:rPr>
      </w:pPr>
    </w:p>
    <w:p w14:paraId="27910768" w14:textId="1BE4B2F9" w:rsidR="00AC5373" w:rsidRDefault="00AC5373" w:rsidP="00AC5373">
      <w:pPr>
        <w:rPr>
          <w:rFonts w:asciiTheme="minorHAnsi" w:hAnsiTheme="minorHAnsi" w:cstheme="minorHAnsi"/>
          <w:b/>
          <w:bCs/>
        </w:rPr>
      </w:pPr>
      <w:r w:rsidRPr="00AC5373">
        <w:rPr>
          <w:rFonts w:asciiTheme="minorHAnsi" w:hAnsiTheme="minorHAnsi" w:cstheme="minorHAnsi"/>
          <w:b/>
          <w:bCs/>
        </w:rPr>
        <w:t xml:space="preserve">SSAD </w:t>
      </w:r>
      <w:r w:rsidR="00C07812">
        <w:rPr>
          <w:rFonts w:asciiTheme="minorHAnsi" w:hAnsiTheme="minorHAnsi" w:cstheme="minorHAnsi"/>
          <w:b/>
          <w:bCs/>
        </w:rPr>
        <w:t>BUILDING BLOCKS</w:t>
      </w:r>
    </w:p>
    <w:p w14:paraId="2BE15F2A" w14:textId="000C8D94" w:rsidR="00C07812" w:rsidRDefault="00C07812" w:rsidP="00AC5373">
      <w:pPr>
        <w:rPr>
          <w:rFonts w:asciiTheme="minorHAnsi" w:hAnsiTheme="minorHAnsi" w:cstheme="minorHAnsi"/>
          <w:b/>
          <w:bCs/>
        </w:rPr>
      </w:pPr>
    </w:p>
    <w:p w14:paraId="7CA01D89" w14:textId="35350F6B" w:rsidR="00C07812" w:rsidRDefault="00C07812" w:rsidP="00AC5373">
      <w:pPr>
        <w:rPr>
          <w:rFonts w:asciiTheme="minorHAnsi" w:hAnsiTheme="minorHAnsi" w:cstheme="minorHAnsi"/>
        </w:rPr>
      </w:pPr>
      <w:r>
        <w:rPr>
          <w:rFonts w:asciiTheme="minorHAnsi" w:hAnsiTheme="minorHAnsi" w:cstheme="minorHAnsi"/>
        </w:rPr>
        <w:t xml:space="preserve">In order to fully appreciate the different aspects of </w:t>
      </w:r>
      <w:r w:rsidR="002A2B0F">
        <w:rPr>
          <w:rFonts w:asciiTheme="minorHAnsi" w:hAnsiTheme="minorHAnsi" w:cstheme="minorHAnsi"/>
        </w:rPr>
        <w:t xml:space="preserve">the </w:t>
      </w:r>
      <w:r>
        <w:rPr>
          <w:rFonts w:asciiTheme="minorHAnsi" w:hAnsiTheme="minorHAnsi" w:cstheme="minorHAnsi"/>
        </w:rPr>
        <w:t>SSAD</w:t>
      </w:r>
      <w:r w:rsidR="00A96BE0">
        <w:rPr>
          <w:rFonts w:asciiTheme="minorHAnsi" w:hAnsiTheme="minorHAnsi" w:cstheme="minorHAnsi"/>
        </w:rPr>
        <w:t>, the following graphic</w:t>
      </w:r>
      <w:r w:rsidR="00FD6854">
        <w:rPr>
          <w:rFonts w:asciiTheme="minorHAnsi" w:hAnsiTheme="minorHAnsi" w:cstheme="minorHAnsi"/>
        </w:rPr>
        <w:t>s</w:t>
      </w:r>
      <w:r w:rsidR="00A96BE0">
        <w:rPr>
          <w:rFonts w:asciiTheme="minorHAnsi" w:hAnsiTheme="minorHAnsi" w:cstheme="minorHAnsi"/>
        </w:rPr>
        <w:t xml:space="preserve"> aim to </w:t>
      </w:r>
      <w:r w:rsidR="00460AEB">
        <w:rPr>
          <w:rFonts w:asciiTheme="minorHAnsi" w:hAnsiTheme="minorHAnsi" w:cstheme="minorHAnsi"/>
        </w:rPr>
        <w:t>illustrate</w:t>
      </w:r>
      <w:r w:rsidR="00A96BE0">
        <w:rPr>
          <w:rFonts w:asciiTheme="minorHAnsi" w:hAnsiTheme="minorHAnsi" w:cstheme="minorHAnsi"/>
        </w:rPr>
        <w:t xml:space="preserve"> the different steps as well as </w:t>
      </w:r>
      <w:r w:rsidR="00460AEB">
        <w:rPr>
          <w:rFonts w:asciiTheme="minorHAnsi" w:hAnsiTheme="minorHAnsi" w:cstheme="minorHAnsi"/>
        </w:rPr>
        <w:t xml:space="preserve">related building blocks (which are further detailed below). </w:t>
      </w:r>
      <w:r>
        <w:rPr>
          <w:rFonts w:asciiTheme="minorHAnsi" w:hAnsiTheme="minorHAnsi" w:cstheme="minorHAnsi"/>
        </w:rPr>
        <w:t xml:space="preserve"> </w:t>
      </w:r>
    </w:p>
    <w:p w14:paraId="557759D5" w14:textId="5EBE2083" w:rsidR="00FD6854" w:rsidRDefault="00FD6854" w:rsidP="00AC5373">
      <w:pPr>
        <w:rPr>
          <w:rFonts w:asciiTheme="minorHAnsi" w:hAnsiTheme="minorHAnsi" w:cstheme="minorHAnsi"/>
        </w:rPr>
      </w:pPr>
    </w:p>
    <w:p w14:paraId="3EF21D27" w14:textId="24E4B887" w:rsidR="00FD6854" w:rsidRDefault="00FD6854" w:rsidP="00AC5373">
      <w:pPr>
        <w:rPr>
          <w:rFonts w:asciiTheme="minorHAnsi" w:hAnsiTheme="minorHAnsi" w:cstheme="minorHAnsi"/>
        </w:rPr>
      </w:pPr>
      <w:r w:rsidRPr="00FD6854">
        <w:rPr>
          <w:rFonts w:asciiTheme="minorHAnsi" w:hAnsiTheme="minorHAnsi" w:cstheme="minorHAnsi"/>
        </w:rPr>
        <w:drawing>
          <wp:inline distT="0" distB="0" distL="0" distR="0" wp14:anchorId="7587CB76" wp14:editId="75A74A94">
            <wp:extent cx="5943600" cy="3499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99485"/>
                    </a:xfrm>
                    <a:prstGeom prst="rect">
                      <a:avLst/>
                    </a:prstGeom>
                  </pic:spPr>
                </pic:pic>
              </a:graphicData>
            </a:graphic>
          </wp:inline>
        </w:drawing>
      </w:r>
    </w:p>
    <w:p w14:paraId="51F0F7A0" w14:textId="23DB44D2" w:rsidR="00460AEB" w:rsidRDefault="00460AEB" w:rsidP="00AC5373">
      <w:pPr>
        <w:rPr>
          <w:rFonts w:asciiTheme="minorHAnsi" w:hAnsiTheme="minorHAnsi" w:cstheme="minorHAnsi"/>
        </w:rPr>
      </w:pPr>
    </w:p>
    <w:p w14:paraId="2DEBFE56" w14:textId="2F621C35" w:rsidR="00FD6854" w:rsidRDefault="00FD6854" w:rsidP="00AC5373">
      <w:pPr>
        <w:rPr>
          <w:rFonts w:asciiTheme="minorHAnsi" w:hAnsiTheme="minorHAnsi" w:cstheme="minorHAnsi"/>
        </w:rPr>
      </w:pPr>
      <w:r w:rsidRPr="00FD6854">
        <w:rPr>
          <w:rFonts w:asciiTheme="minorHAnsi" w:hAnsiTheme="minorHAnsi" w:cstheme="minorHAnsi"/>
        </w:rPr>
        <w:lastRenderedPageBreak/>
        <w:drawing>
          <wp:inline distT="0" distB="0" distL="0" distR="0" wp14:anchorId="61E0D958" wp14:editId="73FAB3CC">
            <wp:extent cx="5943600" cy="1601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01470"/>
                    </a:xfrm>
                    <a:prstGeom prst="rect">
                      <a:avLst/>
                    </a:prstGeom>
                  </pic:spPr>
                </pic:pic>
              </a:graphicData>
            </a:graphic>
          </wp:inline>
        </w:drawing>
      </w:r>
    </w:p>
    <w:p w14:paraId="23D8AC59" w14:textId="77777777" w:rsidR="00FD6854" w:rsidRDefault="00FD6854" w:rsidP="00AC5373">
      <w:pPr>
        <w:rPr>
          <w:rFonts w:asciiTheme="minorHAnsi" w:hAnsiTheme="minorHAnsi" w:cstheme="minorHAnsi"/>
        </w:rPr>
      </w:pPr>
    </w:p>
    <w:p w14:paraId="77376B75" w14:textId="73D0945D" w:rsidR="00460AEB" w:rsidRDefault="00FD6854" w:rsidP="00AC5373">
      <w:pPr>
        <w:rPr>
          <w:rFonts w:asciiTheme="minorHAnsi" w:hAnsiTheme="minorHAnsi" w:cstheme="minorHAnsi"/>
        </w:rPr>
      </w:pPr>
      <w:r>
        <w:rPr>
          <w:rFonts w:asciiTheme="minorHAnsi" w:hAnsiTheme="minorHAnsi" w:cstheme="minorHAnsi"/>
        </w:rPr>
        <w:t>(for full screen version, please see Annex to this paper)</w:t>
      </w:r>
    </w:p>
    <w:p w14:paraId="30CB5A67" w14:textId="0457FFAF" w:rsidR="00460AEB" w:rsidRDefault="00460AEB" w:rsidP="00AC5373">
      <w:pPr>
        <w:rPr>
          <w:rFonts w:asciiTheme="minorHAnsi" w:hAnsiTheme="minorHAnsi" w:cstheme="minorHAnsi"/>
        </w:rPr>
      </w:pPr>
    </w:p>
    <w:p w14:paraId="3EF87D05" w14:textId="6612EBDD" w:rsidR="00460AEB" w:rsidRPr="005E152B" w:rsidRDefault="004A50B4" w:rsidP="00AC5373">
      <w:pPr>
        <w:rPr>
          <w:rFonts w:asciiTheme="minorHAnsi" w:hAnsiTheme="minorHAnsi" w:cstheme="minorHAnsi"/>
          <w:b/>
          <w:bCs/>
          <w:u w:val="single"/>
        </w:rPr>
      </w:pPr>
      <w:r w:rsidRPr="005E152B">
        <w:rPr>
          <w:rFonts w:asciiTheme="minorHAnsi" w:hAnsiTheme="minorHAnsi" w:cstheme="minorHAnsi"/>
          <w:b/>
          <w:bCs/>
          <w:u w:val="single"/>
        </w:rPr>
        <w:t>D</w:t>
      </w:r>
      <w:r w:rsidR="00F35AED">
        <w:rPr>
          <w:rFonts w:asciiTheme="minorHAnsi" w:hAnsiTheme="minorHAnsi" w:cstheme="minorHAnsi"/>
          <w:b/>
          <w:bCs/>
          <w:u w:val="single"/>
        </w:rPr>
        <w:t>EMAND SIDE</w:t>
      </w:r>
      <w:r w:rsidRPr="005E152B">
        <w:rPr>
          <w:rFonts w:asciiTheme="minorHAnsi" w:hAnsiTheme="minorHAnsi" w:cstheme="minorHAnsi"/>
          <w:b/>
          <w:bCs/>
          <w:u w:val="single"/>
        </w:rPr>
        <w:t xml:space="preserve">: Requestor </w:t>
      </w:r>
    </w:p>
    <w:p w14:paraId="01D5DB61" w14:textId="77777777" w:rsidR="00AC5373" w:rsidRPr="00AC5373" w:rsidRDefault="00AC5373" w:rsidP="00AC5373">
      <w:pPr>
        <w:rPr>
          <w:rFonts w:asciiTheme="minorHAnsi" w:hAnsiTheme="minorHAnsi" w:cstheme="minorHAnsi"/>
          <w:b/>
          <w:bCs/>
        </w:rPr>
      </w:pPr>
    </w:p>
    <w:p w14:paraId="044DCD5E" w14:textId="60AAF0DE" w:rsidR="00AC5373" w:rsidRPr="0045074A" w:rsidRDefault="00AC5373" w:rsidP="00AC5373">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w:t>
      </w:r>
      <w:r w:rsidRPr="0045074A">
        <w:rPr>
          <w:rFonts w:asciiTheme="minorHAnsi" w:eastAsia="Calibri" w:hAnsiTheme="minorHAnsi" w:cstheme="minorHAnsi"/>
          <w:i/>
          <w:iCs/>
          <w:color w:val="000000"/>
          <w:sz w:val="24"/>
        </w:rPr>
        <w:t>Criteria/content of requests</w:t>
      </w:r>
      <w:r w:rsidR="00295911">
        <w:rPr>
          <w:rStyle w:val="FootnoteReference"/>
          <w:rFonts w:eastAsia="Calibri" w:cstheme="minorHAnsi"/>
          <w:i/>
          <w:iCs/>
          <w:color w:val="000000"/>
          <w:sz w:val="24"/>
        </w:rPr>
        <w:footnoteReference w:id="2"/>
      </w:r>
      <w:r w:rsidRPr="0045074A">
        <w:rPr>
          <w:rFonts w:asciiTheme="minorHAnsi" w:hAnsiTheme="minorHAnsi" w:cstheme="minorHAnsi"/>
          <w:i/>
          <w:iCs/>
          <w:sz w:val="24"/>
        </w:rPr>
        <w:t>)</w:t>
      </w:r>
    </w:p>
    <w:p w14:paraId="37CC3A4F" w14:textId="42260CB8" w:rsidR="00AC5373" w:rsidRPr="00AC5373" w:rsidRDefault="00AC5373" w:rsidP="00AC5373">
      <w:pPr>
        <w:rPr>
          <w:rFonts w:asciiTheme="minorHAnsi" w:hAnsiTheme="minorHAnsi" w:cstheme="minorHAnsi"/>
        </w:rPr>
      </w:pPr>
      <w:commentRangeStart w:id="3"/>
      <w:r w:rsidRPr="00AC5373">
        <w:rPr>
          <w:rFonts w:asciiTheme="minorHAnsi" w:hAnsiTheme="minorHAnsi" w:cstheme="minorHAnsi"/>
        </w:rPr>
        <w:t>The EPDP Team recommends that, consistent with the EPDP Phase 1 recommendations, each SSAD request must include</w:t>
      </w:r>
      <w:r w:rsidR="002A2B0F">
        <w:rPr>
          <w:rFonts w:asciiTheme="minorHAnsi" w:hAnsiTheme="minorHAnsi" w:cstheme="minorHAnsi"/>
        </w:rPr>
        <w:t>,</w:t>
      </w:r>
      <w:r w:rsidRPr="00AC5373">
        <w:rPr>
          <w:rFonts w:asciiTheme="minorHAnsi" w:hAnsiTheme="minorHAnsi" w:cstheme="minorHAnsi"/>
        </w:rPr>
        <w:t xml:space="preserve"> at a minimum</w:t>
      </w:r>
      <w:r w:rsidR="002A2B0F">
        <w:rPr>
          <w:rFonts w:asciiTheme="minorHAnsi" w:hAnsiTheme="minorHAnsi" w:cstheme="minorHAnsi"/>
        </w:rPr>
        <w:t>,</w:t>
      </w:r>
      <w:r w:rsidRPr="00AC5373">
        <w:rPr>
          <w:rFonts w:asciiTheme="minorHAnsi" w:hAnsiTheme="minorHAnsi" w:cstheme="minorHAnsi"/>
        </w:rPr>
        <w:t xml:space="preserve"> the following information</w:t>
      </w:r>
      <w:commentRangeEnd w:id="3"/>
      <w:r w:rsidR="0045074A">
        <w:rPr>
          <w:rStyle w:val="CommentReference"/>
          <w:rFonts w:ascii="Calibri" w:hAnsi="Calibri" w:cstheme="minorBidi"/>
        </w:rPr>
        <w:commentReference w:id="3"/>
      </w:r>
      <w:r w:rsidRPr="00AC5373">
        <w:rPr>
          <w:rFonts w:asciiTheme="minorHAnsi" w:hAnsiTheme="minorHAnsi" w:cstheme="minorHAnsi"/>
        </w:rPr>
        <w:t xml:space="preserve">: </w:t>
      </w:r>
    </w:p>
    <w:p w14:paraId="30E5CB26" w14:textId="77777777" w:rsidR="00AC5373" w:rsidRPr="00AC5373" w:rsidRDefault="00AC5373" w:rsidP="00AC5373">
      <w:pPr>
        <w:rPr>
          <w:rFonts w:asciiTheme="minorHAnsi" w:hAnsiTheme="minorHAnsi" w:cstheme="minorHAnsi"/>
        </w:rPr>
      </w:pPr>
    </w:p>
    <w:p w14:paraId="7AAF2EEB"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Identification of and information about the requestor (including, the nature/type of business entity or individual, Power of Attorney statements, where applicable and relevant); </w:t>
      </w:r>
    </w:p>
    <w:p w14:paraId="2DA7DD77"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Information about the legal rights of the requestor and specific rationale and/or justification for the request, (e.g. What is the basis or reason for the request; Why is it necessary for the requestor to ask for this data?); </w:t>
      </w:r>
    </w:p>
    <w:p w14:paraId="1BE7EDE2"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Affirmation that the request is being made in good faith; </w:t>
      </w:r>
    </w:p>
    <w:p w14:paraId="2B9DADCD" w14:textId="102E6F3C"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A list of data elements requested by the requestor and why this data is limited to the need</w:t>
      </w:r>
      <w:r w:rsidR="00295911">
        <w:rPr>
          <w:rStyle w:val="FootnoteReference"/>
          <w:rFonts w:cstheme="minorHAnsi"/>
          <w:sz w:val="24"/>
        </w:rPr>
        <w:footnoteReference w:id="3"/>
      </w:r>
      <w:r w:rsidRPr="00AC5373">
        <w:rPr>
          <w:rFonts w:asciiTheme="minorHAnsi" w:hAnsiTheme="minorHAnsi" w:cstheme="minorHAnsi"/>
          <w:sz w:val="24"/>
        </w:rPr>
        <w:t xml:space="preserve">; </w:t>
      </w:r>
    </w:p>
    <w:p w14:paraId="5B215BE0"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Agreement to process lawfully any data received in response to the request. </w:t>
      </w:r>
    </w:p>
    <w:p w14:paraId="29CE8861" w14:textId="77777777" w:rsidR="00AC5373" w:rsidRPr="00AC5373" w:rsidRDefault="00AC5373" w:rsidP="00AC5373">
      <w:pPr>
        <w:rPr>
          <w:rFonts w:asciiTheme="minorHAnsi" w:hAnsiTheme="minorHAnsi" w:cstheme="minorHAnsi"/>
        </w:rPr>
      </w:pPr>
    </w:p>
    <w:p w14:paraId="3BC72537" w14:textId="77E2C615" w:rsidR="00AC5373" w:rsidRPr="0045074A" w:rsidRDefault="00AC5373" w:rsidP="005B0B3E">
      <w:pPr>
        <w:pStyle w:val="ListParagraph"/>
        <w:keepNext/>
        <w:numPr>
          <w:ilvl w:val="0"/>
          <w:numId w:val="4"/>
        </w:numPr>
        <w:rPr>
          <w:rFonts w:asciiTheme="minorHAnsi" w:hAnsiTheme="minorHAnsi" w:cstheme="minorHAnsi"/>
          <w:i/>
          <w:iCs/>
          <w:sz w:val="24"/>
        </w:rPr>
      </w:pPr>
      <w:r w:rsidRPr="0045074A">
        <w:rPr>
          <w:rFonts w:asciiTheme="minorHAnsi" w:hAnsiTheme="minorHAnsi" w:cstheme="minorHAnsi"/>
          <w:i/>
          <w:iCs/>
          <w:sz w:val="24"/>
        </w:rPr>
        <w:t>(Purposes</w:t>
      </w:r>
      <w:r w:rsidR="00295911">
        <w:rPr>
          <w:rStyle w:val="FootnoteReference"/>
          <w:rFonts w:cstheme="minorHAnsi"/>
          <w:i/>
          <w:iCs/>
          <w:sz w:val="24"/>
        </w:rPr>
        <w:footnoteReference w:id="4"/>
      </w:r>
      <w:r w:rsidRPr="0045074A">
        <w:rPr>
          <w:rFonts w:asciiTheme="minorHAnsi" w:hAnsiTheme="minorHAnsi" w:cstheme="minorHAnsi"/>
          <w:i/>
          <w:iCs/>
          <w:sz w:val="24"/>
        </w:rPr>
        <w:t>)</w:t>
      </w:r>
    </w:p>
    <w:p w14:paraId="61EB861F" w14:textId="583680E5" w:rsidR="00AC5373" w:rsidRDefault="00AC5373" w:rsidP="005B0B3E">
      <w:pPr>
        <w:keepNext/>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must be</w:t>
      </w:r>
      <w:r w:rsidRPr="00AC5373">
        <w:rPr>
          <w:rFonts w:asciiTheme="minorHAnsi" w:hAnsiTheme="minorHAnsi" w:cstheme="minorHAnsi"/>
        </w:rPr>
        <w:t xml:space="preserve"> able to </w:t>
      </w:r>
      <w:r w:rsidR="00FD6854">
        <w:rPr>
          <w:rFonts w:asciiTheme="minorHAnsi" w:hAnsiTheme="minorHAnsi" w:cstheme="minorHAnsi"/>
        </w:rPr>
        <w:t>identify</w:t>
      </w:r>
      <w:r w:rsidR="00FD6854" w:rsidRPr="00AC5373">
        <w:rPr>
          <w:rFonts w:asciiTheme="minorHAnsi" w:hAnsiTheme="minorHAnsi" w:cstheme="minorHAnsi"/>
        </w:rPr>
        <w:t xml:space="preserve"> </w:t>
      </w:r>
      <w:r w:rsidRPr="00AC5373">
        <w:rPr>
          <w:rFonts w:asciiTheme="minorHAnsi" w:hAnsiTheme="minorHAnsi" w:cstheme="minorHAnsi"/>
        </w:rPr>
        <w:t xml:space="preserve">at a minimum from the following </w:t>
      </w:r>
      <w:r w:rsidR="00FD6854">
        <w:rPr>
          <w:rFonts w:asciiTheme="minorHAnsi" w:hAnsiTheme="minorHAnsi" w:cstheme="minorHAnsi"/>
        </w:rPr>
        <w:t>legitimate interests</w:t>
      </w:r>
      <w:r w:rsidR="00FD6854" w:rsidRPr="00AC5373">
        <w:rPr>
          <w:rFonts w:asciiTheme="minorHAnsi" w:hAnsiTheme="minorHAnsi" w:cstheme="minorHAnsi"/>
        </w:rPr>
        <w:t xml:space="preserve"> </w:t>
      </w:r>
      <w:r w:rsidRPr="00AC5373">
        <w:rPr>
          <w:rFonts w:asciiTheme="minorHAnsi" w:hAnsiTheme="minorHAnsi" w:cstheme="minorHAnsi"/>
        </w:rPr>
        <w:t>to request disclosure / access:</w:t>
      </w:r>
    </w:p>
    <w:p w14:paraId="37A33561" w14:textId="0B43A2BB" w:rsidR="0045074A" w:rsidRDefault="0045074A" w:rsidP="00AC5373">
      <w:pPr>
        <w:rPr>
          <w:rFonts w:asciiTheme="minorHAnsi" w:hAnsiTheme="minorHAnsi" w:cstheme="minorHAnsi"/>
        </w:rPr>
      </w:pPr>
    </w:p>
    <w:p w14:paraId="6E299627" w14:textId="77777777" w:rsidR="0045074A" w:rsidRPr="00AC5373" w:rsidRDefault="0045074A" w:rsidP="007C5954">
      <w:pPr>
        <w:pStyle w:val="ListParagraph"/>
        <w:numPr>
          <w:ilvl w:val="0"/>
          <w:numId w:val="20"/>
        </w:numPr>
        <w:rPr>
          <w:rFonts w:asciiTheme="minorHAnsi" w:hAnsiTheme="minorHAnsi" w:cstheme="minorHAnsi"/>
          <w:sz w:val="24"/>
        </w:rPr>
      </w:pPr>
      <w:commentRangeStart w:id="4"/>
      <w:r w:rsidRPr="00AC5373">
        <w:rPr>
          <w:rFonts w:asciiTheme="minorHAnsi" w:hAnsiTheme="minorHAnsi" w:cstheme="minorHAnsi"/>
          <w:sz w:val="24"/>
        </w:rPr>
        <w:t>Criminal Law enforcement/national or public security</w:t>
      </w:r>
    </w:p>
    <w:p w14:paraId="4C724EBA"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Non-LE investigations and civil claims</w:t>
      </w:r>
    </w:p>
    <w:p w14:paraId="58431973"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21342F7D"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3CC6A744" w14:textId="76551C5E" w:rsidR="0045074A" w:rsidRPr="0045074A"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Registered Name Holder consent or contract</w:t>
      </w:r>
      <w:commentRangeEnd w:id="4"/>
      <w:r w:rsidR="00051664">
        <w:rPr>
          <w:rStyle w:val="CommentReference"/>
        </w:rPr>
        <w:commentReference w:id="4"/>
      </w:r>
    </w:p>
    <w:p w14:paraId="488D1FB1" w14:textId="1A3D4496" w:rsidR="00AC5373" w:rsidRDefault="00AC5373" w:rsidP="00AC5373">
      <w:pPr>
        <w:rPr>
          <w:rFonts w:asciiTheme="minorHAnsi" w:hAnsiTheme="minorHAnsi" w:cstheme="minorHAnsi"/>
        </w:rPr>
      </w:pPr>
    </w:p>
    <w:p w14:paraId="3B7CFE24" w14:textId="599F9182" w:rsidR="00FD6854" w:rsidRDefault="00FD6854" w:rsidP="00AC5373">
      <w:pPr>
        <w:rPr>
          <w:rFonts w:asciiTheme="minorHAnsi" w:hAnsiTheme="minorHAnsi" w:cstheme="minorHAnsi"/>
        </w:rPr>
      </w:pPr>
      <w:commentRangeStart w:id="5"/>
      <w:r>
        <w:rPr>
          <w:rFonts w:asciiTheme="minorHAnsi" w:hAnsiTheme="minorHAnsi" w:cstheme="minorHAnsi"/>
        </w:rPr>
        <w:t>With respect to the ICANN purpose for this disclosure, the EPDP Team recommends that</w:t>
      </w:r>
      <w:commentRangeEnd w:id="5"/>
      <w:r>
        <w:rPr>
          <w:rStyle w:val="CommentReference"/>
          <w:rFonts w:ascii="Calibri" w:hAnsi="Calibri" w:cstheme="minorBidi"/>
        </w:rPr>
        <w:commentReference w:id="5"/>
      </w:r>
      <w:r>
        <w:rPr>
          <w:rFonts w:asciiTheme="minorHAnsi" w:hAnsiTheme="minorHAnsi" w:cstheme="minorHAnsi"/>
        </w:rPr>
        <w:t>: [TBD]</w:t>
      </w:r>
    </w:p>
    <w:p w14:paraId="2529977C" w14:textId="77777777" w:rsidR="00FD6854" w:rsidRPr="00AC5373" w:rsidRDefault="00FD6854" w:rsidP="00AC5373">
      <w:pPr>
        <w:rPr>
          <w:rFonts w:asciiTheme="minorHAnsi" w:hAnsiTheme="minorHAnsi" w:cstheme="minorHAnsi"/>
        </w:rPr>
      </w:pPr>
    </w:p>
    <w:p w14:paraId="6905B066" w14:textId="2B6024DA" w:rsidR="00AC5373" w:rsidRPr="00C664F1" w:rsidRDefault="00AC5373" w:rsidP="00AC5373">
      <w:pPr>
        <w:pStyle w:val="ListParagraph"/>
        <w:numPr>
          <w:ilvl w:val="0"/>
          <w:numId w:val="4"/>
        </w:numPr>
        <w:rPr>
          <w:rFonts w:asciiTheme="minorHAnsi" w:hAnsiTheme="minorHAnsi" w:cstheme="minorHAnsi"/>
          <w:i/>
          <w:iCs/>
          <w:sz w:val="24"/>
        </w:rPr>
      </w:pPr>
      <w:r w:rsidRPr="00C664F1">
        <w:rPr>
          <w:rFonts w:asciiTheme="minorHAnsi" w:hAnsiTheme="minorHAnsi" w:cstheme="minorHAnsi"/>
          <w:i/>
          <w:iCs/>
          <w:sz w:val="24"/>
        </w:rPr>
        <w:t>(User Groups</w:t>
      </w:r>
      <w:r w:rsidR="00295911">
        <w:rPr>
          <w:rStyle w:val="FootnoteReference"/>
          <w:rFonts w:cstheme="minorHAnsi"/>
          <w:i/>
          <w:iCs/>
          <w:sz w:val="24"/>
        </w:rPr>
        <w:footnoteReference w:id="5"/>
      </w:r>
      <w:r w:rsidRPr="00C664F1">
        <w:rPr>
          <w:rFonts w:asciiTheme="minorHAnsi" w:hAnsiTheme="minorHAnsi" w:cstheme="minorHAnsi"/>
          <w:i/>
          <w:iCs/>
          <w:sz w:val="24"/>
        </w:rPr>
        <w:t>)</w:t>
      </w:r>
    </w:p>
    <w:p w14:paraId="392CFF32" w14:textId="3A5FC959" w:rsidR="00AC5373" w:rsidRDefault="00AC5373" w:rsidP="00AC5373">
      <w:pPr>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 xml:space="preserve">must be </w:t>
      </w:r>
      <w:r w:rsidRPr="00AC5373">
        <w:rPr>
          <w:rFonts w:asciiTheme="minorHAnsi" w:hAnsiTheme="minorHAnsi" w:cstheme="minorHAnsi"/>
        </w:rPr>
        <w:t>able to self-identify at a minimum from one of the following user groups:</w:t>
      </w:r>
    </w:p>
    <w:p w14:paraId="053EECE9" w14:textId="77777777" w:rsidR="0045074A" w:rsidRDefault="0045074A" w:rsidP="00AC5373">
      <w:pPr>
        <w:rPr>
          <w:rFonts w:asciiTheme="minorHAnsi" w:hAnsiTheme="minorHAnsi" w:cstheme="minorHAnsi"/>
        </w:rPr>
      </w:pPr>
    </w:p>
    <w:p w14:paraId="5AA92987" w14:textId="77777777" w:rsidR="0045074A" w:rsidRPr="0045074A" w:rsidRDefault="0045074A" w:rsidP="007C5954">
      <w:pPr>
        <w:pStyle w:val="ListParagraph"/>
        <w:numPr>
          <w:ilvl w:val="0"/>
          <w:numId w:val="21"/>
        </w:numPr>
        <w:spacing w:before="40" w:after="40"/>
        <w:rPr>
          <w:rFonts w:eastAsia="Calibri" w:cs="Calibri"/>
          <w:bCs/>
          <w:sz w:val="24"/>
        </w:rPr>
      </w:pPr>
      <w:commentRangeStart w:id="6"/>
      <w:r w:rsidRPr="0045074A">
        <w:rPr>
          <w:rFonts w:eastAsia="Calibri" w:cs="Calibri"/>
          <w:bCs/>
          <w:sz w:val="24"/>
        </w:rPr>
        <w:t>Criminal Law enforcement/national or public security</w:t>
      </w:r>
    </w:p>
    <w:p w14:paraId="25A6BB98" w14:textId="7FC44880"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N</w:t>
      </w:r>
      <w:r w:rsidRPr="0045074A">
        <w:rPr>
          <w:rFonts w:eastAsia="Calibri" w:cs="Calibri"/>
          <w:bCs/>
          <w:sz w:val="24"/>
        </w:rPr>
        <w:t>etwork operator</w:t>
      </w:r>
    </w:p>
    <w:p w14:paraId="62ACD351"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P</w:t>
      </w:r>
      <w:r w:rsidRPr="0045074A">
        <w:rPr>
          <w:rFonts w:eastAsia="Calibri" w:cs="Calibri"/>
          <w:bCs/>
          <w:sz w:val="24"/>
        </w:rPr>
        <w:t xml:space="preserve">rovider of online services </w:t>
      </w:r>
    </w:p>
    <w:p w14:paraId="0E65DCB2"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C</w:t>
      </w:r>
      <w:r w:rsidRPr="0045074A">
        <w:rPr>
          <w:rFonts w:eastAsia="Calibri" w:cs="Calibri"/>
          <w:bCs/>
          <w:sz w:val="24"/>
        </w:rPr>
        <w:t xml:space="preserve">ommercial security service </w:t>
      </w:r>
    </w:p>
    <w:p w14:paraId="1EE66CD0" w14:textId="311AD0A2"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Non-LE</w:t>
      </w:r>
      <w:r w:rsidR="0045074A">
        <w:rPr>
          <w:rFonts w:eastAsia="Calibri" w:cs="Calibri"/>
          <w:bCs/>
          <w:sz w:val="24"/>
        </w:rPr>
        <w:t xml:space="preserve"> </w:t>
      </w:r>
      <w:r w:rsidR="0045074A" w:rsidRPr="0045074A">
        <w:rPr>
          <w:rFonts w:eastAsia="Calibri" w:cs="Calibri"/>
          <w:bCs/>
          <w:sz w:val="24"/>
        </w:rPr>
        <w:t>investigator</w:t>
      </w:r>
    </w:p>
    <w:p w14:paraId="19D72850" w14:textId="197E6C75"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Internet user</w:t>
      </w:r>
      <w:r w:rsidR="0045074A" w:rsidRPr="0045074A">
        <w:rPr>
          <w:rFonts w:eastAsia="Calibri" w:cs="Calibri"/>
          <w:bCs/>
          <w:sz w:val="24"/>
        </w:rPr>
        <w:t xml:space="preserve">  </w:t>
      </w:r>
    </w:p>
    <w:p w14:paraId="221388EA" w14:textId="6F59FCF4"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Consumer protection organization</w:t>
      </w:r>
    </w:p>
    <w:p w14:paraId="0FF2B09B"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Social Media Companies</w:t>
      </w:r>
    </w:p>
    <w:p w14:paraId="7ECDEF87"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Messaging Services</w:t>
      </w:r>
    </w:p>
    <w:p w14:paraId="6A4A04F0" w14:textId="406EDA0E"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Search Engines</w:t>
      </w:r>
    </w:p>
    <w:p w14:paraId="77B00F3B" w14:textId="582C6BB2"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UDRP / URS Provider</w:t>
      </w:r>
    </w:p>
    <w:p w14:paraId="3B2C740A" w14:textId="4375A446"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Copyright owners, exclusive licensees,</w:t>
      </w:r>
      <w:r>
        <w:rPr>
          <w:rFonts w:eastAsia="Calibri" w:cs="Calibri"/>
          <w:bCs/>
          <w:sz w:val="24"/>
        </w:rPr>
        <w:t xml:space="preserve"> </w:t>
      </w:r>
      <w:r w:rsidRPr="001F55EF">
        <w:rPr>
          <w:rFonts w:eastAsia="Calibri" w:cs="Calibri"/>
          <w:bCs/>
          <w:sz w:val="24"/>
        </w:rPr>
        <w:t>their attorneys or agents</w:t>
      </w:r>
    </w:p>
    <w:p w14:paraId="132BFBE8" w14:textId="3F22D017"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Certificate authority</w:t>
      </w:r>
    </w:p>
    <w:p w14:paraId="3595E9FB" w14:textId="5A6194A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Registered name holder (data subject)</w:t>
      </w:r>
    </w:p>
    <w:p w14:paraId="44D79F12" w14:textId="67747F2E"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Company interested in acquiring new domain name(s)</w:t>
      </w:r>
    </w:p>
    <w:p w14:paraId="284A90C1" w14:textId="5F16A166" w:rsidR="001F55EF" w:rsidRP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O</w:t>
      </w:r>
      <w:r w:rsidRPr="001F55EF">
        <w:rPr>
          <w:rFonts w:eastAsia="Calibri" w:cs="Calibri"/>
          <w:bCs/>
          <w:sz w:val="24"/>
        </w:rPr>
        <w:t xml:space="preserve">perational security practitioner </w:t>
      </w:r>
    </w:p>
    <w:p w14:paraId="1C0E5BEF" w14:textId="35538A9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A</w:t>
      </w:r>
      <w:r w:rsidRPr="001F55EF">
        <w:rPr>
          <w:rFonts w:eastAsia="Calibri" w:cs="Calibri"/>
          <w:bCs/>
          <w:sz w:val="24"/>
        </w:rPr>
        <w:t xml:space="preserve">nti-abuse </w:t>
      </w:r>
      <w:r>
        <w:rPr>
          <w:rFonts w:eastAsia="Calibri" w:cs="Calibri"/>
          <w:bCs/>
          <w:sz w:val="24"/>
        </w:rPr>
        <w:t>authority</w:t>
      </w:r>
    </w:p>
    <w:p w14:paraId="60F9595D" w14:textId="1DE3B73B" w:rsidR="001F55EF" w:rsidRP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Digital crime investigator</w:t>
      </w:r>
      <w:commentRangeEnd w:id="6"/>
      <w:r>
        <w:rPr>
          <w:rStyle w:val="CommentReference"/>
        </w:rPr>
        <w:commentReference w:id="6"/>
      </w:r>
    </w:p>
    <w:p w14:paraId="1A33BAD7" w14:textId="77777777" w:rsidR="0045074A" w:rsidRPr="00AC5373" w:rsidRDefault="0045074A" w:rsidP="00AC5373">
      <w:pPr>
        <w:rPr>
          <w:rFonts w:asciiTheme="minorHAnsi" w:hAnsiTheme="minorHAnsi" w:cstheme="minorHAnsi"/>
        </w:rPr>
      </w:pPr>
    </w:p>
    <w:p w14:paraId="0E46E367" w14:textId="59983142" w:rsidR="00AC5373" w:rsidRPr="00AC5373" w:rsidRDefault="00AC5373" w:rsidP="00AC5373">
      <w:pPr>
        <w:rPr>
          <w:rFonts w:asciiTheme="minorHAnsi" w:hAnsiTheme="minorHAnsi" w:cstheme="minorHAnsi"/>
        </w:rPr>
      </w:pPr>
      <w:r w:rsidRPr="00AC5373">
        <w:rPr>
          <w:rFonts w:asciiTheme="minorHAnsi" w:hAnsiTheme="minorHAnsi" w:cstheme="minorHAnsi"/>
        </w:rPr>
        <w:t xml:space="preserve">Self-identifying as a certain user group does not provide any kind of automatic access / </w:t>
      </w:r>
      <w:proofErr w:type="gramStart"/>
      <w:r w:rsidRPr="00AC5373">
        <w:rPr>
          <w:rFonts w:asciiTheme="minorHAnsi" w:hAnsiTheme="minorHAnsi" w:cstheme="minorHAnsi"/>
        </w:rPr>
        <w:t>disclosure, but</w:t>
      </w:r>
      <w:proofErr w:type="gramEnd"/>
      <w:r w:rsidRPr="00AC5373">
        <w:rPr>
          <w:rFonts w:asciiTheme="minorHAnsi" w:hAnsiTheme="minorHAnsi" w:cstheme="minorHAnsi"/>
        </w:rPr>
        <w:t xml:space="preserve"> may facilitate the processing of the SSAD request.</w:t>
      </w:r>
      <w:r w:rsidR="000F4E71">
        <w:rPr>
          <w:rFonts w:asciiTheme="minorHAnsi" w:hAnsiTheme="minorHAnsi" w:cstheme="minorHAnsi"/>
        </w:rPr>
        <w:t xml:space="preserve"> Each request, including those from accredited users, will need to meet the requirements as outlined in these policy principles and recommendations to ensure that it concerns a valid and legitimate request.</w:t>
      </w:r>
    </w:p>
    <w:p w14:paraId="508EAFC6" w14:textId="712ED7B7" w:rsidR="00AC5373" w:rsidRDefault="00AC5373" w:rsidP="00AC5373">
      <w:pPr>
        <w:rPr>
          <w:rFonts w:asciiTheme="minorHAnsi" w:hAnsiTheme="minorHAnsi" w:cstheme="minorHAnsi"/>
        </w:rPr>
      </w:pPr>
    </w:p>
    <w:p w14:paraId="519FD614" w14:textId="77777777" w:rsidR="00F35AED" w:rsidRPr="00AC5373" w:rsidRDefault="00F35AED" w:rsidP="00F35AED">
      <w:pPr>
        <w:rPr>
          <w:rFonts w:asciiTheme="minorHAnsi" w:hAnsiTheme="minorHAnsi" w:cstheme="minorHAnsi"/>
        </w:rPr>
      </w:pPr>
    </w:p>
    <w:p w14:paraId="7BE4B0CD"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rPr>
        <w:t xml:space="preserve"> </w:t>
      </w:r>
      <w:r w:rsidRPr="00C664F1">
        <w:rPr>
          <w:rFonts w:asciiTheme="minorHAnsi" w:hAnsiTheme="minorHAnsi" w:cstheme="minorHAnsi"/>
          <w:i/>
          <w:iCs/>
          <w:sz w:val="24"/>
        </w:rPr>
        <w:t>(Acceptable Use Policy</w:t>
      </w:r>
      <w:r>
        <w:rPr>
          <w:rStyle w:val="FootnoteReference"/>
          <w:rFonts w:cstheme="minorHAnsi"/>
          <w:i/>
          <w:iCs/>
          <w:sz w:val="24"/>
        </w:rPr>
        <w:footnoteReference w:id="6"/>
      </w:r>
      <w:r w:rsidRPr="00C664F1">
        <w:rPr>
          <w:rFonts w:asciiTheme="minorHAnsi" w:hAnsiTheme="minorHAnsi" w:cstheme="minorHAnsi"/>
          <w:i/>
          <w:iCs/>
          <w:sz w:val="24"/>
        </w:rPr>
        <w:t>)</w:t>
      </w:r>
    </w:p>
    <w:p w14:paraId="7099FA00" w14:textId="77777777"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requestor and must be confirmed &amp; enforced by [TBC]:</w:t>
      </w:r>
    </w:p>
    <w:p w14:paraId="5E18CE9B" w14:textId="77777777" w:rsidR="00F35AED" w:rsidRDefault="00F35AED" w:rsidP="00F35AED">
      <w:pPr>
        <w:rPr>
          <w:rFonts w:asciiTheme="minorHAnsi" w:hAnsiTheme="minorHAnsi" w:cstheme="minorHAnsi"/>
        </w:rPr>
      </w:pPr>
    </w:p>
    <w:p w14:paraId="78BAECD8"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request data from the current RDS data set (no data about the domain name registration’s history);</w:t>
      </w:r>
    </w:p>
    <w:p w14:paraId="361D00D2"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provide representations with each unique request for data of its corresponding purpose and legal basis for their processing which will be subject to auditing (no bulk access)</w:t>
      </w:r>
      <w:r>
        <w:rPr>
          <w:rFonts w:ascii="Calibri" w:eastAsia="Calibri" w:hAnsi="Calibri" w:cs="Calibri"/>
        </w:rPr>
        <w:t>;</w:t>
      </w:r>
    </w:p>
    <w:p w14:paraId="11B556ED"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use the data for the purpose requested</w:t>
      </w:r>
      <w:r>
        <w:rPr>
          <w:rFonts w:ascii="Calibri" w:eastAsia="Calibri" w:hAnsi="Calibri" w:cs="Calibri"/>
        </w:rPr>
        <w:t>;</w:t>
      </w:r>
    </w:p>
    <w:p w14:paraId="74D48561" w14:textId="45AE7C79" w:rsidR="00F35AED" w:rsidRDefault="00F35AED" w:rsidP="00F35AED">
      <w:pPr>
        <w:pStyle w:val="ListParagraph"/>
        <w:numPr>
          <w:ilvl w:val="0"/>
          <w:numId w:val="26"/>
        </w:numPr>
        <w:rPr>
          <w:rFonts w:eastAsia="Calibri" w:cs="Calibri"/>
          <w:sz w:val="24"/>
        </w:rPr>
      </w:pPr>
      <w:r w:rsidRPr="004C2B83">
        <w:rPr>
          <w:rFonts w:eastAsia="Calibri" w:cs="Calibri"/>
          <w:sz w:val="24"/>
        </w:rPr>
        <w:lastRenderedPageBreak/>
        <w:t xml:space="preserve">Must handle the data </w:t>
      </w:r>
      <w:r w:rsidR="002A2B0F" w:rsidRPr="004C2B83">
        <w:rPr>
          <w:rFonts w:eastAsia="Calibri" w:cs="Calibri"/>
          <w:sz w:val="24"/>
        </w:rPr>
        <w:t>subject’s</w:t>
      </w:r>
      <w:r w:rsidRPr="004C2B83">
        <w:rPr>
          <w:rFonts w:eastAsia="Calibri" w:cs="Calibri"/>
          <w:sz w:val="24"/>
        </w:rPr>
        <w:t xml:space="preserve"> personal data in compliance with data protection laws such as GDPR</w:t>
      </w:r>
      <w:r>
        <w:rPr>
          <w:rFonts w:eastAsia="Calibri" w:cs="Calibri"/>
          <w:sz w:val="24"/>
        </w:rPr>
        <w:t>;</w:t>
      </w:r>
    </w:p>
    <w:p w14:paraId="180DDECA" w14:textId="77777777" w:rsidR="00F35AED" w:rsidRDefault="00F35AED" w:rsidP="00F35AED">
      <w:pPr>
        <w:pStyle w:val="ListParagraph"/>
        <w:numPr>
          <w:ilvl w:val="0"/>
          <w:numId w:val="26"/>
        </w:numPr>
        <w:rPr>
          <w:rFonts w:eastAsia="Calibri" w:cs="Calibri"/>
          <w:sz w:val="24"/>
        </w:rPr>
      </w:pPr>
      <w:r w:rsidRPr="00F500E9">
        <w:rPr>
          <w:rFonts w:eastAsia="Calibri" w:cs="Calibri"/>
          <w:sz w:val="24"/>
        </w:rPr>
        <w:t xml:space="preserve">Must provide representations about use of requested data which will be subject to </w:t>
      </w:r>
      <w:commentRangeStart w:id="7"/>
      <w:r w:rsidRPr="00F500E9">
        <w:rPr>
          <w:rFonts w:eastAsia="Calibri" w:cs="Calibri"/>
          <w:sz w:val="24"/>
        </w:rPr>
        <w:t>auditing</w:t>
      </w:r>
      <w:commentRangeEnd w:id="7"/>
      <w:r w:rsidRPr="00F500E9">
        <w:rPr>
          <w:rFonts w:eastAsia="Calibri" w:cs="Calibri"/>
          <w:sz w:val="24"/>
        </w:rPr>
        <w:commentReference w:id="7"/>
      </w:r>
      <w:r>
        <w:rPr>
          <w:rFonts w:eastAsia="Calibri" w:cs="Calibri"/>
          <w:sz w:val="24"/>
        </w:rPr>
        <w:t>;</w:t>
      </w:r>
    </w:p>
    <w:p w14:paraId="6728AB4B" w14:textId="77777777" w:rsidR="00F35AED" w:rsidRPr="007C5954" w:rsidRDefault="00F35AED" w:rsidP="00F35AED">
      <w:pPr>
        <w:pStyle w:val="ListParagraph"/>
        <w:numPr>
          <w:ilvl w:val="0"/>
          <w:numId w:val="26"/>
        </w:numPr>
        <w:rPr>
          <w:rFonts w:eastAsia="Calibri" w:cs="Calibri"/>
          <w:sz w:val="24"/>
        </w:rPr>
      </w:pPr>
      <w:r w:rsidRPr="007C5954">
        <w:rPr>
          <w:rFonts w:eastAsia="Calibri" w:cs="Calibri"/>
          <w:sz w:val="24"/>
        </w:rPr>
        <w:t>[Other]</w:t>
      </w:r>
    </w:p>
    <w:p w14:paraId="1E405A21" w14:textId="77777777" w:rsidR="00F35AED" w:rsidRDefault="00F35AED" w:rsidP="00F35AED">
      <w:pPr>
        <w:rPr>
          <w:rFonts w:asciiTheme="minorHAnsi" w:hAnsiTheme="minorHAnsi" w:cstheme="minorHAnsi"/>
        </w:rPr>
      </w:pPr>
    </w:p>
    <w:p w14:paraId="25CE5D76" w14:textId="77777777" w:rsidR="00F35AED" w:rsidRDefault="00F35AED" w:rsidP="00F35AED">
      <w:pPr>
        <w:rPr>
          <w:rFonts w:asciiTheme="minorHAnsi" w:hAnsiTheme="minorHAnsi" w:cstheme="minorHAnsi"/>
        </w:rPr>
      </w:pPr>
      <w:r>
        <w:rPr>
          <w:rFonts w:asciiTheme="minorHAnsi" w:hAnsiTheme="minorHAnsi" w:cstheme="minorHAnsi"/>
        </w:rPr>
        <w:t>[Additional requirements in the case of the following purpose [state purpose] are:</w:t>
      </w:r>
    </w:p>
    <w:p w14:paraId="78E4378E" w14:textId="77777777" w:rsidR="00F35AED" w:rsidRDefault="00F35AED" w:rsidP="00F35AED">
      <w:pPr>
        <w:rPr>
          <w:rFonts w:asciiTheme="minorHAnsi" w:hAnsiTheme="minorHAnsi" w:cstheme="minorHAnsi"/>
        </w:rPr>
      </w:pPr>
      <w:r>
        <w:rPr>
          <w:rFonts w:asciiTheme="minorHAnsi" w:hAnsiTheme="minorHAnsi" w:cstheme="minorHAnsi"/>
        </w:rPr>
        <w:t>TBC based on review of use cases]</w:t>
      </w:r>
    </w:p>
    <w:p w14:paraId="2D167554" w14:textId="65870530" w:rsidR="00F35AED" w:rsidRDefault="00F35AED" w:rsidP="00AC5373">
      <w:pPr>
        <w:rPr>
          <w:rFonts w:asciiTheme="minorHAnsi" w:hAnsiTheme="minorHAnsi" w:cstheme="minorHAnsi"/>
        </w:rPr>
      </w:pPr>
    </w:p>
    <w:p w14:paraId="0C703910"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(Retention and destruction of data)</w:t>
      </w:r>
    </w:p>
    <w:p w14:paraId="4849CE83" w14:textId="77777777" w:rsidR="00F35AED" w:rsidRPr="00D01C98" w:rsidRDefault="00F35AED" w:rsidP="00F35AED">
      <w:pPr>
        <w:rPr>
          <w:rFonts w:asciiTheme="minorHAnsi" w:hAnsiTheme="minorHAnsi" w:cstheme="minorHAnsi"/>
        </w:rPr>
      </w:pPr>
      <w:r w:rsidRPr="00D01C98">
        <w:rPr>
          <w:rFonts w:asciiTheme="minorHAnsi" w:hAnsiTheme="minorHAnsi" w:cstheme="minorHAnsi"/>
        </w:rPr>
        <w:t>The EPDP Team recommends that requestors must</w:t>
      </w:r>
      <w:r>
        <w:rPr>
          <w:rFonts w:asciiTheme="minorHAnsi" w:hAnsiTheme="minorHAnsi" w:cstheme="minorHAnsi"/>
        </w:rPr>
        <w:t xml:space="preserve"> confirm that they will</w:t>
      </w:r>
      <w:r w:rsidRPr="00D01C98">
        <w:rPr>
          <w:rFonts w:asciiTheme="minorHAnsi" w:hAnsiTheme="minorHAnsi" w:cstheme="minorHAnsi"/>
        </w:rPr>
        <w:t xml:space="preserve"> store, protect and dispose of the data in accordance with any applicable requirements in relevant data protection laws such as GDPR. </w:t>
      </w:r>
    </w:p>
    <w:p w14:paraId="1912139C" w14:textId="77777777" w:rsidR="00F35AED" w:rsidRPr="00AC5373" w:rsidRDefault="00F35AED" w:rsidP="00AC5373">
      <w:pPr>
        <w:rPr>
          <w:rFonts w:asciiTheme="minorHAnsi" w:hAnsiTheme="minorHAnsi" w:cstheme="minorHAnsi"/>
        </w:rPr>
      </w:pPr>
    </w:p>
    <w:p w14:paraId="0CFA121B" w14:textId="63D4E222" w:rsidR="00AC5373" w:rsidRPr="00C664F1" w:rsidRDefault="00AC5373" w:rsidP="000F4E71">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t>(</w:t>
      </w:r>
      <w:commentRangeStart w:id="8"/>
      <w:r w:rsidRPr="00C664F1">
        <w:rPr>
          <w:rFonts w:asciiTheme="minorHAnsi" w:eastAsia="Calibri" w:hAnsiTheme="minorHAnsi" w:cstheme="minorHAnsi"/>
          <w:i/>
          <w:iCs/>
          <w:color w:val="000000"/>
          <w:sz w:val="24"/>
        </w:rPr>
        <w:t>Authentication / authorization / accreditation</w:t>
      </w:r>
      <w:commentRangeEnd w:id="8"/>
      <w:r w:rsidR="00295911">
        <w:rPr>
          <w:rStyle w:val="CommentReference"/>
        </w:rPr>
        <w:commentReference w:id="8"/>
      </w:r>
      <w:r w:rsidR="0061045E">
        <w:rPr>
          <w:rStyle w:val="FootnoteReference"/>
          <w:rFonts w:eastAsia="Calibri" w:cstheme="minorHAnsi"/>
          <w:i/>
          <w:iCs/>
          <w:color w:val="000000"/>
          <w:sz w:val="24"/>
        </w:rPr>
        <w:footnoteReference w:id="7"/>
      </w:r>
      <w:r w:rsidRPr="00C664F1">
        <w:rPr>
          <w:rFonts w:asciiTheme="minorHAnsi" w:eastAsia="Calibri" w:hAnsiTheme="minorHAnsi" w:cstheme="minorHAnsi"/>
          <w:i/>
          <w:iCs/>
          <w:color w:val="000000"/>
          <w:sz w:val="24"/>
        </w:rPr>
        <w:t>)</w:t>
      </w:r>
    </w:p>
    <w:p w14:paraId="7CBAB167" w14:textId="10B628E1" w:rsidR="00877E63" w:rsidRDefault="00AC5373" w:rsidP="000F4E71">
      <w:pPr>
        <w:keepNext/>
        <w:rPr>
          <w:rFonts w:asciiTheme="minorHAnsi" w:hAnsiTheme="minorHAnsi" w:cstheme="minorHAnsi"/>
        </w:rPr>
      </w:pPr>
      <w:r w:rsidRPr="00AC5373">
        <w:rPr>
          <w:rFonts w:asciiTheme="minorHAnsi" w:hAnsiTheme="minorHAnsi" w:cstheme="minorHAnsi"/>
        </w:rPr>
        <w:t>The EPDP Team recommends that</w:t>
      </w:r>
      <w:r w:rsidR="00C664F1">
        <w:rPr>
          <w:rFonts w:asciiTheme="minorHAnsi" w:hAnsiTheme="minorHAnsi" w:cstheme="minorHAnsi"/>
        </w:rPr>
        <w:t xml:space="preserve"> user groups </w:t>
      </w:r>
      <w:commentRangeStart w:id="9"/>
      <w:r w:rsidR="00C664F1">
        <w:rPr>
          <w:rFonts w:asciiTheme="minorHAnsi" w:hAnsiTheme="minorHAnsi" w:cstheme="minorHAnsi"/>
        </w:rPr>
        <w:t xml:space="preserve">interested in accreditation </w:t>
      </w:r>
      <w:commentRangeEnd w:id="9"/>
      <w:r w:rsidR="00051664">
        <w:rPr>
          <w:rStyle w:val="CommentReference"/>
          <w:rFonts w:ascii="Calibri" w:hAnsi="Calibri" w:cstheme="minorBidi"/>
        </w:rPr>
        <w:commentReference w:id="9"/>
      </w:r>
      <w:r w:rsidR="00C664F1">
        <w:rPr>
          <w:rFonts w:asciiTheme="minorHAnsi" w:hAnsiTheme="minorHAnsi" w:cstheme="minorHAnsi"/>
        </w:rPr>
        <w:t xml:space="preserve">should self-organize and </w:t>
      </w:r>
      <w:r w:rsidR="00877E63">
        <w:rPr>
          <w:rFonts w:asciiTheme="minorHAnsi" w:hAnsiTheme="minorHAnsi" w:cstheme="minorHAnsi"/>
        </w:rPr>
        <w:t xml:space="preserve">develop a proposed accreditation mechanism that is shared with the </w:t>
      </w:r>
      <w:commentRangeStart w:id="10"/>
      <w:r w:rsidR="00877E63">
        <w:rPr>
          <w:rFonts w:asciiTheme="minorHAnsi" w:hAnsiTheme="minorHAnsi" w:cstheme="minorHAnsi"/>
        </w:rPr>
        <w:t>European Data Protection Board for review</w:t>
      </w:r>
      <w:commentRangeEnd w:id="10"/>
      <w:r w:rsidR="007D5980">
        <w:rPr>
          <w:rStyle w:val="CommentReference"/>
          <w:rFonts w:ascii="Calibri" w:hAnsi="Calibri" w:cstheme="minorBidi"/>
        </w:rPr>
        <w:commentReference w:id="10"/>
      </w:r>
      <w:r w:rsidR="00877E63">
        <w:rPr>
          <w:rFonts w:asciiTheme="minorHAnsi" w:hAnsiTheme="minorHAnsi" w:cstheme="minorHAnsi"/>
        </w:rPr>
        <w:t>. Any such accreditation mechanism is expected to adhere to the following principles:</w:t>
      </w:r>
    </w:p>
    <w:p w14:paraId="374B0CD7" w14:textId="55386A6C" w:rsidR="004C2B83" w:rsidRDefault="004C2B83" w:rsidP="00AC5373">
      <w:pPr>
        <w:rPr>
          <w:rFonts w:asciiTheme="minorHAnsi" w:hAnsiTheme="minorHAnsi" w:cstheme="minorHAnsi"/>
        </w:rPr>
      </w:pPr>
    </w:p>
    <w:p w14:paraId="705794A9" w14:textId="2FAD44FE" w:rsidR="004C2B83" w:rsidRDefault="004C2B83" w:rsidP="007C5954">
      <w:pPr>
        <w:pStyle w:val="ListParagraph"/>
        <w:numPr>
          <w:ilvl w:val="0"/>
          <w:numId w:val="22"/>
        </w:numPr>
        <w:rPr>
          <w:rFonts w:asciiTheme="minorHAnsi" w:hAnsiTheme="minorHAnsi" w:cstheme="minorHAnsi"/>
          <w:sz w:val="24"/>
        </w:rPr>
      </w:pPr>
      <w:r w:rsidRPr="004C2B83">
        <w:rPr>
          <w:rFonts w:asciiTheme="minorHAnsi" w:hAnsiTheme="minorHAnsi" w:cstheme="minorHAnsi"/>
          <w:sz w:val="24"/>
        </w:rPr>
        <w:t>Must provide for a mechanism for de-accreditation in case of abuse of access / disclosure of non-public registration data;</w:t>
      </w:r>
    </w:p>
    <w:p w14:paraId="7B18B9C5" w14:textId="77777777" w:rsidR="00433BAE" w:rsidRPr="00433BAE" w:rsidRDefault="00433BAE"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Accreditation may not result in any kind of automatic access / disclosure, but it is expected to facilitate review of requests and automation, where applicable;</w:t>
      </w:r>
    </w:p>
    <w:p w14:paraId="70953ABF" w14:textId="1E6ED1CC" w:rsidR="00AC5373" w:rsidRPr="00433BAE" w:rsidRDefault="00AC5373"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w:t>
      </w:r>
      <w:r w:rsidR="00433BAE" w:rsidRPr="00433BAE">
        <w:rPr>
          <w:rFonts w:asciiTheme="minorHAnsi" w:hAnsiTheme="minorHAnsi" w:cstheme="minorHAnsi"/>
          <w:sz w:val="24"/>
        </w:rPr>
        <w:t>Other]</w:t>
      </w:r>
    </w:p>
    <w:p w14:paraId="27FBA048" w14:textId="0013B787" w:rsidR="00AC5373" w:rsidRDefault="00AC5373" w:rsidP="00AC5373">
      <w:pPr>
        <w:rPr>
          <w:rFonts w:asciiTheme="minorHAnsi" w:hAnsiTheme="minorHAnsi" w:cstheme="minorHAnsi"/>
        </w:rPr>
      </w:pPr>
    </w:p>
    <w:p w14:paraId="58AB2B4B" w14:textId="7666222D" w:rsidR="00F500E9" w:rsidRDefault="00F500E9" w:rsidP="00AC5373">
      <w:pPr>
        <w:rPr>
          <w:rFonts w:asciiTheme="minorHAnsi" w:hAnsiTheme="minorHAnsi" w:cstheme="minorHAnsi"/>
        </w:rPr>
      </w:pPr>
      <w:r>
        <w:rPr>
          <w:rFonts w:asciiTheme="minorHAnsi" w:hAnsiTheme="minorHAnsi" w:cstheme="minorHAnsi"/>
        </w:rPr>
        <w:t>Those wanting to be accredited must:</w:t>
      </w:r>
    </w:p>
    <w:p w14:paraId="40A39E69" w14:textId="77777777" w:rsidR="00F500E9" w:rsidRPr="00836BC0" w:rsidRDefault="00F500E9" w:rsidP="00F500E9">
      <w:pPr>
        <w:rPr>
          <w:rFonts w:ascii="-webkit-standard" w:hAnsi="-webkit-standard"/>
          <w:b/>
          <w:bCs/>
          <w:color w:val="000000"/>
        </w:rPr>
      </w:pPr>
    </w:p>
    <w:p w14:paraId="60010160"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only use the data for the legitimate and lawful purpose described above;</w:t>
      </w:r>
    </w:p>
    <w:p w14:paraId="219EBAE9" w14:textId="3E3AED8F" w:rsidR="00F500E9" w:rsidRPr="00F500E9" w:rsidRDefault="00051664" w:rsidP="007C5954">
      <w:pPr>
        <w:pStyle w:val="ListParagraph"/>
        <w:numPr>
          <w:ilvl w:val="0"/>
          <w:numId w:val="24"/>
        </w:numPr>
        <w:rPr>
          <w:rFonts w:asciiTheme="minorHAnsi" w:hAnsiTheme="minorHAnsi" w:cstheme="minorHAnsi"/>
          <w:sz w:val="24"/>
        </w:rPr>
      </w:pPr>
      <w:r>
        <w:rPr>
          <w:rFonts w:asciiTheme="minorHAnsi" w:hAnsiTheme="minorHAnsi" w:cstheme="minorHAnsi"/>
          <w:sz w:val="24"/>
        </w:rPr>
        <w:t>If applicable, o</w:t>
      </w:r>
      <w:r w:rsidRPr="00F500E9">
        <w:rPr>
          <w:rFonts w:asciiTheme="minorHAnsi" w:hAnsiTheme="minorHAnsi" w:cstheme="minorHAnsi"/>
          <w:sz w:val="24"/>
        </w:rPr>
        <w:t xml:space="preserve">nly </w:t>
      </w:r>
      <w:r w:rsidR="00F500E9" w:rsidRPr="00F500E9">
        <w:rPr>
          <w:rFonts w:asciiTheme="minorHAnsi" w:hAnsiTheme="minorHAnsi" w:cstheme="minorHAnsi"/>
          <w:sz w:val="24"/>
        </w:rPr>
        <w:t>issue disclosure requests with respect to the trademark(s) where ownership is evidenced;</w:t>
      </w:r>
    </w:p>
    <w:p w14:paraId="617539DC"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w:t>
      </w:r>
    </w:p>
    <w:p w14:paraId="6939961E"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the terms of service, in which the lawful use of data described;</w:t>
      </w:r>
    </w:p>
    <w:p w14:paraId="6140FE00"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prevent abuse of data received; </w:t>
      </w:r>
    </w:p>
    <w:p w14:paraId="155D1E91"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be subject to de-accreditation if they are found to abuse use of data;</w:t>
      </w:r>
    </w:p>
    <w:p w14:paraId="306A6EFA"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maintain a register of all requests also including the respective rightsholders name (subject to audits).</w:t>
      </w:r>
    </w:p>
    <w:p w14:paraId="7E303F8A" w14:textId="77777777"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05948D0D" w14:textId="5FAD64DB" w:rsidR="00B9576A" w:rsidRPr="00AC5373" w:rsidRDefault="00F500E9" w:rsidP="00AC5373">
      <w:pPr>
        <w:rPr>
          <w:rFonts w:asciiTheme="minorHAnsi" w:hAnsiTheme="minorHAnsi" w:cstheme="minorHAnsi"/>
        </w:rPr>
      </w:pPr>
      <w:r w:rsidRPr="00F500E9">
        <w:rPr>
          <w:rFonts w:asciiTheme="minorHAnsi" w:hAnsiTheme="minorHAnsi" w:cstheme="minorHAnsi"/>
        </w:rPr>
        <w:t xml:space="preserve">Failure to abide by safeguards would affect accreditation, including the possibility of </w:t>
      </w:r>
      <w:commentRangeStart w:id="11"/>
      <w:r w:rsidRPr="00F500E9">
        <w:rPr>
          <w:rFonts w:asciiTheme="minorHAnsi" w:hAnsiTheme="minorHAnsi" w:cstheme="minorHAnsi"/>
        </w:rPr>
        <w:t>revocation</w:t>
      </w:r>
      <w:commentRangeEnd w:id="11"/>
      <w:r w:rsidR="00051664">
        <w:rPr>
          <w:rStyle w:val="CommentReference"/>
          <w:rFonts w:ascii="Calibri" w:hAnsi="Calibri" w:cstheme="minorBidi"/>
        </w:rPr>
        <w:commentReference w:id="11"/>
      </w:r>
      <w:r w:rsidRPr="00F500E9">
        <w:rPr>
          <w:rFonts w:asciiTheme="minorHAnsi" w:hAnsiTheme="minorHAnsi" w:cstheme="minorHAnsi"/>
        </w:rPr>
        <w:t>.</w:t>
      </w:r>
    </w:p>
    <w:p w14:paraId="77FD0155" w14:textId="77777777" w:rsidR="00AC5373" w:rsidRPr="00AC5373" w:rsidRDefault="00AC5373" w:rsidP="00AC5373">
      <w:pPr>
        <w:rPr>
          <w:rFonts w:asciiTheme="minorHAnsi" w:hAnsiTheme="minorHAnsi" w:cstheme="minorHAnsi"/>
        </w:rPr>
      </w:pPr>
    </w:p>
    <w:p w14:paraId="311B7D75" w14:textId="10D1DB5A" w:rsid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w:t>
      </w:r>
      <w:r>
        <w:rPr>
          <w:rFonts w:asciiTheme="minorHAnsi" w:hAnsiTheme="minorHAnsi" w:cstheme="minorHAnsi"/>
          <w:b/>
          <w:bCs/>
          <w:u w:val="single"/>
        </w:rPr>
        <w:t xml:space="preserve">UPPLY SIDE </w:t>
      </w:r>
      <w:r w:rsidRPr="00F35AED">
        <w:rPr>
          <w:rFonts w:asciiTheme="minorHAnsi" w:hAnsiTheme="minorHAnsi" w:cstheme="minorHAnsi"/>
          <w:b/>
          <w:bCs/>
          <w:u w:val="single"/>
        </w:rPr>
        <w:t xml:space="preserve">– Entity Disclosing </w:t>
      </w:r>
      <w:proofErr w:type="gramStart"/>
      <w:r w:rsidRPr="00F35AED">
        <w:rPr>
          <w:rFonts w:asciiTheme="minorHAnsi" w:hAnsiTheme="minorHAnsi" w:cstheme="minorHAnsi"/>
          <w:b/>
          <w:bCs/>
          <w:u w:val="single"/>
        </w:rPr>
        <w:t>The</w:t>
      </w:r>
      <w:proofErr w:type="gramEnd"/>
      <w:r w:rsidRPr="00F35AED">
        <w:rPr>
          <w:rFonts w:asciiTheme="minorHAnsi" w:hAnsiTheme="minorHAnsi" w:cstheme="minorHAnsi"/>
          <w:b/>
          <w:bCs/>
          <w:u w:val="single"/>
        </w:rPr>
        <w:t xml:space="preserve"> Data</w:t>
      </w:r>
    </w:p>
    <w:p w14:paraId="57391618" w14:textId="07D3FAC5" w:rsidR="00F35AED" w:rsidRDefault="00F35AED" w:rsidP="00AC5373">
      <w:pPr>
        <w:rPr>
          <w:rFonts w:asciiTheme="minorHAnsi" w:hAnsiTheme="minorHAnsi" w:cstheme="minorHAnsi"/>
          <w:b/>
          <w:bCs/>
          <w:u w:val="single"/>
        </w:rPr>
      </w:pPr>
    </w:p>
    <w:p w14:paraId="6A481109" w14:textId="0457047D" w:rsidR="00213C20" w:rsidRPr="00F53C3E" w:rsidRDefault="00213C20" w:rsidP="00AC5373">
      <w:pPr>
        <w:rPr>
          <w:rFonts w:asciiTheme="minorHAnsi" w:hAnsiTheme="minorHAnsi" w:cstheme="minorHAnsi"/>
          <w:u w:val="single"/>
        </w:rPr>
      </w:pPr>
      <w:r w:rsidRPr="00213C20">
        <w:rPr>
          <w:rFonts w:asciiTheme="minorHAnsi" w:hAnsiTheme="minorHAnsi" w:cstheme="minorHAnsi"/>
          <w:u w:val="single"/>
        </w:rPr>
        <w:t>(Open questions:</w:t>
      </w:r>
    </w:p>
    <w:p w14:paraId="1953F40C" w14:textId="17F97D53" w:rsidR="00213C20" w:rsidRPr="001A6545" w:rsidRDefault="00213C20" w:rsidP="00213C20">
      <w:pPr>
        <w:pStyle w:val="ListParagraph"/>
        <w:numPr>
          <w:ilvl w:val="0"/>
          <w:numId w:val="30"/>
        </w:numPr>
        <w:rPr>
          <w:rFonts w:asciiTheme="minorHAnsi" w:hAnsiTheme="minorHAnsi" w:cstheme="minorHAnsi"/>
          <w:sz w:val="24"/>
          <w:highlight w:val="yellow"/>
        </w:rPr>
      </w:pPr>
      <w:r w:rsidRPr="001A6545">
        <w:rPr>
          <w:rFonts w:asciiTheme="minorHAnsi" w:hAnsiTheme="minorHAnsi" w:cstheme="minorHAnsi"/>
          <w:sz w:val="24"/>
          <w:highlight w:val="yellow"/>
        </w:rPr>
        <w:t>Who will be the entity (or entities) disclosing the data?</w:t>
      </w:r>
    </w:p>
    <w:p w14:paraId="59499D1C" w14:textId="486ED1BC" w:rsidR="00213C20" w:rsidRPr="001A6545" w:rsidRDefault="00213C20" w:rsidP="00213C20">
      <w:pPr>
        <w:pStyle w:val="ListParagraph"/>
        <w:numPr>
          <w:ilvl w:val="0"/>
          <w:numId w:val="30"/>
        </w:numPr>
        <w:rPr>
          <w:rFonts w:asciiTheme="minorHAnsi" w:hAnsiTheme="minorHAnsi" w:cstheme="minorHAnsi"/>
          <w:sz w:val="24"/>
          <w:highlight w:val="yellow"/>
        </w:rPr>
      </w:pPr>
      <w:r w:rsidRPr="001A6545">
        <w:rPr>
          <w:rFonts w:asciiTheme="minorHAnsi" w:hAnsiTheme="minorHAnsi" w:cstheme="minorHAnsi"/>
          <w:sz w:val="24"/>
          <w:highlight w:val="yellow"/>
        </w:rPr>
        <w:t>Will there be a single access point or multiple?</w:t>
      </w:r>
    </w:p>
    <w:p w14:paraId="5E71039E" w14:textId="70DBB865" w:rsidR="00213C20" w:rsidRPr="001A6545" w:rsidRDefault="00213C20" w:rsidP="005E152B">
      <w:pPr>
        <w:pStyle w:val="ListParagraph"/>
        <w:numPr>
          <w:ilvl w:val="0"/>
          <w:numId w:val="30"/>
        </w:numPr>
        <w:rPr>
          <w:rFonts w:asciiTheme="minorHAnsi" w:hAnsiTheme="minorHAnsi" w:cstheme="minorHAnsi"/>
          <w:sz w:val="24"/>
          <w:highlight w:val="yellow"/>
        </w:rPr>
      </w:pPr>
      <w:r w:rsidRPr="001A6545">
        <w:rPr>
          <w:rFonts w:asciiTheme="minorHAnsi" w:hAnsiTheme="minorHAnsi" w:cstheme="minorHAnsi"/>
          <w:sz w:val="24"/>
          <w:highlight w:val="yellow"/>
        </w:rPr>
        <w:t>If/how can liability be reduced / shared between contracted parties, entity disclosing the data (if different from contracted parties) and requestor?)</w:t>
      </w:r>
    </w:p>
    <w:p w14:paraId="62C26EC3" w14:textId="77777777" w:rsidR="00213C20" w:rsidRDefault="00213C20" w:rsidP="00AC5373">
      <w:pPr>
        <w:rPr>
          <w:rFonts w:asciiTheme="minorHAnsi" w:hAnsiTheme="minorHAnsi" w:cstheme="minorHAnsi"/>
          <w:b/>
          <w:bCs/>
          <w:u w:val="single"/>
        </w:rPr>
      </w:pPr>
    </w:p>
    <w:p w14:paraId="574CAD7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(Response requirements / expectations, including timeline/SLAs)</w:t>
      </w:r>
    </w:p>
    <w:p w14:paraId="33A85CDE"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Consistent with the EPDP Phase 1 recommendations, the EPDP Team recommends that</w:t>
      </w:r>
    </w:p>
    <w:p w14:paraId="5CFF7CED"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[TBC]</w:t>
      </w:r>
    </w:p>
    <w:p w14:paraId="5068667D" w14:textId="77777777" w:rsidR="00F35AED" w:rsidRPr="00AC5373" w:rsidRDefault="00F35AED" w:rsidP="00F35AED">
      <w:pPr>
        <w:rPr>
          <w:rFonts w:asciiTheme="minorHAnsi" w:hAnsiTheme="minorHAnsi" w:cstheme="minorHAnsi"/>
        </w:rPr>
      </w:pPr>
    </w:p>
    <w:p w14:paraId="5030B3CF" w14:textId="2C078449" w:rsidR="00F35AED" w:rsidRDefault="00F35AED" w:rsidP="00F35AED">
      <w:pPr>
        <w:rPr>
          <w:rFonts w:asciiTheme="minorHAnsi" w:hAnsiTheme="minorHAnsi" w:cstheme="minorHAnsi"/>
        </w:rPr>
      </w:pPr>
      <w:r w:rsidRPr="00AC5373">
        <w:rPr>
          <w:rFonts w:asciiTheme="minorHAnsi" w:hAnsiTheme="minorHAnsi" w:cstheme="minorHAnsi"/>
        </w:rPr>
        <w:t xml:space="preserve">The EPDP Team recommends that if </w:t>
      </w:r>
      <w:r>
        <w:rPr>
          <w:rFonts w:asciiTheme="minorHAnsi" w:hAnsiTheme="minorHAnsi" w:cstheme="minorHAnsi"/>
        </w:rPr>
        <w:t>the entity disclosing the data</w:t>
      </w:r>
      <w:r w:rsidRPr="00AC5373">
        <w:rPr>
          <w:rFonts w:asciiTheme="minorHAnsi" w:hAnsiTheme="minorHAnsi" w:cstheme="minorHAnsi"/>
        </w:rPr>
        <w:t xml:space="preserve"> determines that disclosure would be in violation of applicable laws AND result in inconsistency with these policy recommendations, the </w:t>
      </w:r>
      <w:r>
        <w:rPr>
          <w:rFonts w:asciiTheme="minorHAnsi" w:hAnsiTheme="minorHAnsi" w:cstheme="minorHAnsi"/>
        </w:rPr>
        <w:t xml:space="preserve">entity disclosing the data </w:t>
      </w:r>
      <w:r w:rsidRPr="00AC5373">
        <w:rPr>
          <w:rFonts w:asciiTheme="minorHAnsi" w:hAnsiTheme="minorHAnsi" w:cstheme="minorHAnsi"/>
        </w:rPr>
        <w:t>must document the rationale and communicate this information to the requestor and ICANN Compliance</w:t>
      </w:r>
      <w:r w:rsidR="00BA50EE">
        <w:rPr>
          <w:rFonts w:asciiTheme="minorHAnsi" w:hAnsiTheme="minorHAnsi" w:cstheme="minorHAnsi"/>
        </w:rPr>
        <w:t xml:space="preserve"> (if requested)</w:t>
      </w:r>
      <w:r w:rsidRPr="00AC5373">
        <w:rPr>
          <w:rFonts w:asciiTheme="minorHAnsi" w:hAnsiTheme="minorHAnsi" w:cstheme="minorHAnsi"/>
        </w:rPr>
        <w:t>.</w:t>
      </w:r>
    </w:p>
    <w:p w14:paraId="776EE356" w14:textId="77777777" w:rsidR="00F35AED" w:rsidRDefault="00F35AED" w:rsidP="00F35AED">
      <w:pPr>
        <w:rPr>
          <w:rFonts w:asciiTheme="minorHAnsi" w:hAnsiTheme="minorHAnsi" w:cstheme="minorHAnsi"/>
        </w:rPr>
      </w:pPr>
    </w:p>
    <w:p w14:paraId="741463F5" w14:textId="77777777" w:rsidR="00F35AED" w:rsidRPr="00AC5373" w:rsidRDefault="00F35AED" w:rsidP="00F35AED">
      <w:pPr>
        <w:rPr>
          <w:rFonts w:asciiTheme="minorHAnsi" w:hAnsiTheme="minorHAnsi" w:cstheme="minorHAnsi"/>
        </w:rPr>
      </w:pPr>
      <w:r>
        <w:rPr>
          <w:rFonts w:asciiTheme="minorHAnsi" w:hAnsiTheme="minorHAnsi" w:cstheme="minorHAnsi"/>
        </w:rPr>
        <w:t xml:space="preserve">If a requestor is of the view that the entity disclosing the data’s response is not consistent with these policy recommendations or applicable data protection legislation, a complaint should be filed with ICANN Compliance or the relevant data protection authority. </w:t>
      </w:r>
      <w:r w:rsidRPr="00AC5373">
        <w:rPr>
          <w:rFonts w:asciiTheme="minorHAnsi" w:hAnsiTheme="minorHAnsi" w:cstheme="minorHAnsi"/>
        </w:rPr>
        <w:t xml:space="preserve">    </w:t>
      </w:r>
    </w:p>
    <w:p w14:paraId="6E37372D" w14:textId="72A48189" w:rsidR="00F35AED" w:rsidRDefault="00F35AED" w:rsidP="00AC5373">
      <w:pPr>
        <w:rPr>
          <w:rFonts w:asciiTheme="minorHAnsi" w:hAnsiTheme="minorHAnsi" w:cstheme="minorHAnsi"/>
          <w:b/>
          <w:bCs/>
          <w:u w:val="single"/>
        </w:rPr>
      </w:pPr>
    </w:p>
    <w:p w14:paraId="222D201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(Acceptable Use Policy</w:t>
      </w:r>
      <w:r>
        <w:rPr>
          <w:rStyle w:val="FootnoteReference"/>
          <w:rFonts w:cstheme="minorHAnsi"/>
          <w:i/>
          <w:iCs/>
          <w:sz w:val="24"/>
        </w:rPr>
        <w:footnoteReference w:id="8"/>
      </w:r>
      <w:r w:rsidRPr="00C664F1">
        <w:rPr>
          <w:rFonts w:asciiTheme="minorHAnsi" w:hAnsiTheme="minorHAnsi" w:cstheme="minorHAnsi"/>
          <w:i/>
          <w:iCs/>
          <w:sz w:val="24"/>
        </w:rPr>
        <w:t>)</w:t>
      </w:r>
    </w:p>
    <w:p w14:paraId="383584AD" w14:textId="77777777"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entity disclosing the data and must be confirmed &amp; enforced by [TBC]:</w:t>
      </w:r>
    </w:p>
    <w:p w14:paraId="782FA4A8" w14:textId="77777777" w:rsidR="00F35AED" w:rsidRDefault="00F35AED" w:rsidP="00F35AED">
      <w:pPr>
        <w:rPr>
          <w:rFonts w:asciiTheme="minorHAnsi" w:hAnsiTheme="minorHAnsi" w:cstheme="minorHAnsi"/>
        </w:rPr>
      </w:pPr>
    </w:p>
    <w:p w14:paraId="56CCA9A1"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only supply the necessary data requested by the requestor;</w:t>
      </w:r>
    </w:p>
    <w:p w14:paraId="04947536"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return current data in response to a request;</w:t>
      </w:r>
    </w:p>
    <w:p w14:paraId="4E61456C"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process data in compliance with data protection laws such as GDPR</w:t>
      </w:r>
      <w:r>
        <w:rPr>
          <w:rFonts w:ascii="Calibri" w:eastAsia="Calibri" w:hAnsi="Calibri" w:cs="Calibri"/>
        </w:rPr>
        <w:t>;</w:t>
      </w:r>
    </w:p>
    <w:p w14:paraId="04B131E8" w14:textId="77777777" w:rsidR="00F35AED" w:rsidRDefault="00F35AED" w:rsidP="00F35AED">
      <w:pPr>
        <w:numPr>
          <w:ilvl w:val="0"/>
          <w:numId w:val="25"/>
        </w:numPr>
        <w:rPr>
          <w:rFonts w:ascii="Calibri" w:eastAsia="Calibri" w:hAnsi="Calibri" w:cs="Calibri"/>
        </w:rPr>
      </w:pPr>
      <w:commentRangeStart w:id="12"/>
      <w:r w:rsidRPr="004C2B83">
        <w:rPr>
          <w:rFonts w:ascii="Calibri" w:eastAsia="Calibri" w:hAnsi="Calibri" w:cs="Calibri"/>
        </w:rPr>
        <w:t>Must log requests</w:t>
      </w:r>
      <w:commentRangeEnd w:id="12"/>
      <w:r w:rsidR="00FE3DCF">
        <w:rPr>
          <w:rStyle w:val="CommentReference"/>
          <w:rFonts w:ascii="Calibri" w:hAnsi="Calibri" w:cstheme="minorBidi"/>
        </w:rPr>
        <w:commentReference w:id="12"/>
      </w:r>
      <w:r>
        <w:rPr>
          <w:rFonts w:ascii="Calibri" w:eastAsia="Calibri" w:hAnsi="Calibri" w:cs="Calibri"/>
        </w:rPr>
        <w:t>;</w:t>
      </w:r>
    </w:p>
    <w:p w14:paraId="1CD43373" w14:textId="6BADB54D" w:rsidR="00F35AED" w:rsidRPr="004C2B83" w:rsidRDefault="00F35AED" w:rsidP="00F35AED">
      <w:pPr>
        <w:numPr>
          <w:ilvl w:val="0"/>
          <w:numId w:val="25"/>
        </w:numPr>
        <w:rPr>
          <w:rFonts w:ascii="Calibri" w:eastAsia="Calibri" w:hAnsi="Calibri" w:cs="Calibri"/>
        </w:rPr>
      </w:pPr>
      <w:r>
        <w:rPr>
          <w:rFonts w:ascii="Calibri" w:eastAsia="Calibri" w:hAnsi="Calibri" w:cs="Calibri"/>
        </w:rPr>
        <w:t>Where applicable, m</w:t>
      </w:r>
      <w:r w:rsidRPr="004C2B83">
        <w:rPr>
          <w:rFonts w:ascii="Calibri" w:eastAsia="Calibri" w:hAnsi="Calibri" w:cs="Calibri"/>
        </w:rPr>
        <w:t xml:space="preserve">ust define and perform </w:t>
      </w:r>
      <w:r w:rsidR="00BA50EE" w:rsidRPr="004C2B83">
        <w:rPr>
          <w:rFonts w:ascii="Calibri" w:eastAsia="Calibri" w:hAnsi="Calibri" w:cs="Calibri"/>
        </w:rPr>
        <w:t xml:space="preserve">a balancing test </w:t>
      </w:r>
      <w:r w:rsidRPr="004C2B83">
        <w:rPr>
          <w:rFonts w:ascii="Calibri" w:eastAsia="Calibri" w:hAnsi="Calibri" w:cs="Calibri"/>
        </w:rPr>
        <w:t xml:space="preserve">before </w:t>
      </w:r>
      <w:r w:rsidR="00BA50EE">
        <w:rPr>
          <w:rFonts w:ascii="Calibri" w:eastAsia="Calibri" w:hAnsi="Calibri" w:cs="Calibri"/>
        </w:rPr>
        <w:t>processing the data</w:t>
      </w:r>
      <w:r w:rsidRPr="004C2B83">
        <w:rPr>
          <w:rFonts w:ascii="Calibri" w:eastAsia="Calibri" w:hAnsi="Calibri" w:cs="Calibri"/>
        </w:rPr>
        <w:t xml:space="preserve">. </w:t>
      </w:r>
      <w:commentRangeStart w:id="13"/>
      <w:r w:rsidRPr="004C2B83">
        <w:rPr>
          <w:rFonts w:ascii="Calibri" w:eastAsia="Calibri" w:hAnsi="Calibri" w:cs="Calibri"/>
        </w:rPr>
        <w:t>The data subject should be able to challenge –with proper substantiation- the balancing test with rights to object and to erasure</w:t>
      </w:r>
      <w:commentRangeEnd w:id="13"/>
      <w:r w:rsidR="00DE7868">
        <w:rPr>
          <w:rStyle w:val="CommentReference"/>
          <w:rFonts w:ascii="Calibri" w:hAnsi="Calibri" w:cstheme="minorBidi"/>
        </w:rPr>
        <w:commentReference w:id="13"/>
      </w:r>
      <w:r>
        <w:rPr>
          <w:rFonts w:ascii="Calibri" w:eastAsia="Calibri" w:hAnsi="Calibri" w:cs="Calibri"/>
        </w:rPr>
        <w:t>;</w:t>
      </w:r>
      <w:r w:rsidRPr="004C2B83">
        <w:rPr>
          <w:rFonts w:ascii="Calibri" w:eastAsia="Calibri" w:hAnsi="Calibri" w:cs="Calibri"/>
        </w:rPr>
        <w:t xml:space="preserve"> </w:t>
      </w:r>
    </w:p>
    <w:p w14:paraId="13C69607" w14:textId="77777777" w:rsidR="00F35AED" w:rsidRDefault="00F35AED" w:rsidP="00F35AED">
      <w:pPr>
        <w:numPr>
          <w:ilvl w:val="0"/>
          <w:numId w:val="25"/>
        </w:numPr>
        <w:rPr>
          <w:rFonts w:ascii="Calibri" w:eastAsia="Calibri" w:hAnsi="Calibri" w:cs="Calibri"/>
        </w:rPr>
      </w:pPr>
      <w:r w:rsidRPr="004C2B83">
        <w:rPr>
          <w:rFonts w:ascii="Calibri" w:eastAsia="Calibri" w:hAnsi="Calibri" w:cs="Calibri"/>
        </w:rPr>
        <w:t>Must disclose to the Registered Name Holder (data subject), on reasonable request, confirmation of the processing of personal data relating to them, per relevant data protection laws such as GDPR</w:t>
      </w:r>
      <w:r>
        <w:rPr>
          <w:rFonts w:ascii="Calibri" w:eastAsia="Calibri" w:hAnsi="Calibri" w:cs="Calibri"/>
        </w:rPr>
        <w:t>;</w:t>
      </w:r>
    </w:p>
    <w:p w14:paraId="2C0A4CB2" w14:textId="75ECE919" w:rsidR="00F35AED" w:rsidRPr="005E152B" w:rsidRDefault="00F35AED" w:rsidP="005E152B">
      <w:pPr>
        <w:numPr>
          <w:ilvl w:val="0"/>
          <w:numId w:val="25"/>
        </w:numPr>
        <w:rPr>
          <w:rFonts w:ascii="Calibri" w:eastAsia="Calibri" w:hAnsi="Calibri" w:cs="Calibri"/>
        </w:rPr>
      </w:pPr>
      <w:r w:rsidRPr="004C2B83">
        <w:rPr>
          <w:rFonts w:ascii="Calibri" w:eastAsia="Calibri" w:hAnsi="Calibri" w:cs="Calibri"/>
        </w:rPr>
        <w:t>Any system designed for disclosing of</w:t>
      </w:r>
      <w:r>
        <w:rPr>
          <w:rFonts w:ascii="Calibri" w:eastAsia="Calibri" w:hAnsi="Calibri" w:cs="Calibri"/>
        </w:rPr>
        <w:t xml:space="preserve"> non-public registration data</w:t>
      </w:r>
      <w:r w:rsidRPr="004C2B83">
        <w:rPr>
          <w:rFonts w:ascii="Calibri" w:eastAsia="Calibri" w:hAnsi="Calibri" w:cs="Calibri"/>
        </w:rPr>
        <w:t xml:space="preserve"> </w:t>
      </w:r>
      <w:r>
        <w:rPr>
          <w:rFonts w:ascii="Calibri" w:eastAsia="Calibri" w:hAnsi="Calibri" w:cs="Calibri"/>
        </w:rPr>
        <w:t>to Law Enforcement Authorities</w:t>
      </w:r>
      <w:r w:rsidRPr="004C2B83">
        <w:rPr>
          <w:rFonts w:ascii="Calibri" w:eastAsia="Calibri" w:hAnsi="Calibri" w:cs="Calibri"/>
        </w:rPr>
        <w:t xml:space="preserve"> must include a mechanism for</w:t>
      </w:r>
      <w:r>
        <w:rPr>
          <w:rFonts w:ascii="Calibri" w:eastAsia="Calibri" w:hAnsi="Calibri" w:cs="Calibri"/>
        </w:rPr>
        <w:t xml:space="preserve"> </w:t>
      </w:r>
      <w:r w:rsidRPr="004C2B83">
        <w:rPr>
          <w:rFonts w:ascii="Calibri" w:eastAsia="Calibri" w:hAnsi="Calibri" w:cs="Calibri"/>
        </w:rPr>
        <w:t>implementing the need for confidentiality for ongoing investigations.</w:t>
      </w:r>
    </w:p>
    <w:p w14:paraId="49F64F74" w14:textId="450F4544" w:rsidR="00F35AED" w:rsidRDefault="00F35AED" w:rsidP="00AC5373">
      <w:pPr>
        <w:rPr>
          <w:rFonts w:asciiTheme="minorHAnsi" w:hAnsiTheme="minorHAnsi" w:cstheme="minorHAnsi"/>
          <w:b/>
          <w:bCs/>
        </w:rPr>
      </w:pPr>
    </w:p>
    <w:p w14:paraId="69AC111C"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091951E4" w14:textId="77777777" w:rsidR="00F35AED" w:rsidRDefault="00F35AED" w:rsidP="00F35AED">
      <w:pPr>
        <w:rPr>
          <w:rFonts w:asciiTheme="minorHAnsi" w:hAnsiTheme="minorHAnsi" w:cstheme="minorHAnsi"/>
        </w:rPr>
      </w:pPr>
      <w:r w:rsidRPr="00AC5373">
        <w:rPr>
          <w:rFonts w:asciiTheme="minorHAnsi" w:hAnsiTheme="minorHAnsi" w:cstheme="minorHAnsi"/>
        </w:rPr>
        <w:t>The EPDP Team recommends that</w:t>
      </w:r>
      <w:r>
        <w:rPr>
          <w:rFonts w:asciiTheme="minorHAnsi" w:hAnsiTheme="minorHAnsi" w:cstheme="minorHAnsi"/>
        </w:rPr>
        <w:t xml:space="preserve"> the entity disclosing the data:</w:t>
      </w:r>
    </w:p>
    <w:p w14:paraId="2B674ED4" w14:textId="77777777" w:rsidR="00F35AED" w:rsidRPr="00F500E9" w:rsidRDefault="00F35AED" w:rsidP="00F35AED">
      <w:pPr>
        <w:pStyle w:val="ListParagraph"/>
        <w:numPr>
          <w:ilvl w:val="0"/>
          <w:numId w:val="27"/>
        </w:numPr>
        <w:rPr>
          <w:rFonts w:eastAsia="Calibri" w:cs="Calibri"/>
          <w:sz w:val="24"/>
        </w:rPr>
      </w:pPr>
      <w:r w:rsidRPr="00F500E9">
        <w:rPr>
          <w:rFonts w:eastAsia="Calibri" w:cs="Calibri"/>
          <w:sz w:val="24"/>
        </w:rPr>
        <w:lastRenderedPageBreak/>
        <w:t xml:space="preserve">May take measures to limit the number of requests that are submitted by the same requestor if it is clear that the requests are not legitimate and </w:t>
      </w:r>
      <w:commentRangeStart w:id="14"/>
      <w:r w:rsidRPr="00F500E9">
        <w:rPr>
          <w:rFonts w:eastAsia="Calibri" w:cs="Calibri"/>
          <w:sz w:val="24"/>
        </w:rPr>
        <w:t>of an abusive nature</w:t>
      </w:r>
      <w:commentRangeEnd w:id="14"/>
      <w:r w:rsidRPr="00F500E9">
        <w:rPr>
          <w:rFonts w:eastAsia="Calibri" w:cs="Calibri"/>
          <w:sz w:val="24"/>
        </w:rPr>
        <w:commentReference w:id="14"/>
      </w:r>
      <w:r w:rsidRPr="00F500E9">
        <w:rPr>
          <w:rFonts w:eastAsia="Calibri" w:cs="Calibri"/>
          <w:sz w:val="24"/>
        </w:rPr>
        <w:t>;</w:t>
      </w:r>
    </w:p>
    <w:p w14:paraId="3547DAEE" w14:textId="77777777" w:rsidR="00F35AED" w:rsidRDefault="00F35AED" w:rsidP="00F35AED">
      <w:pPr>
        <w:pStyle w:val="ListParagraph"/>
        <w:numPr>
          <w:ilvl w:val="0"/>
          <w:numId w:val="27"/>
        </w:numPr>
        <w:rPr>
          <w:rFonts w:eastAsia="Calibri" w:cs="Calibri"/>
          <w:sz w:val="24"/>
        </w:rPr>
      </w:pPr>
      <w:commentRangeStart w:id="15"/>
      <w:r w:rsidRPr="00F500E9">
        <w:rPr>
          <w:rFonts w:eastAsia="Calibri" w:cs="Calibri"/>
          <w:sz w:val="24"/>
        </w:rPr>
        <w:t>Must monitor the system and take appropriate action, such as revoking or limiting access, to protect against abuse or misuse of the system, such as unjustified, high-volume automated queries</w:t>
      </w:r>
      <w:commentRangeEnd w:id="15"/>
      <w:r w:rsidRPr="00F500E9">
        <w:rPr>
          <w:rFonts w:eastAsia="Calibri" w:cs="Calibri"/>
          <w:sz w:val="24"/>
        </w:rPr>
        <w:commentReference w:id="15"/>
      </w:r>
      <w:r>
        <w:rPr>
          <w:rFonts w:eastAsia="Calibri" w:cs="Calibri"/>
          <w:sz w:val="24"/>
        </w:rPr>
        <w:t>;</w:t>
      </w:r>
    </w:p>
    <w:p w14:paraId="20A6B3FB" w14:textId="77777777" w:rsidR="00F35AED" w:rsidRPr="007C5954" w:rsidRDefault="00F35AED" w:rsidP="00F35AED">
      <w:pPr>
        <w:pStyle w:val="ListParagraph"/>
        <w:numPr>
          <w:ilvl w:val="0"/>
          <w:numId w:val="27"/>
        </w:numPr>
        <w:rPr>
          <w:rFonts w:eastAsia="Calibri" w:cs="Calibri"/>
          <w:sz w:val="24"/>
        </w:rPr>
      </w:pPr>
      <w:r>
        <w:rPr>
          <w:rFonts w:eastAsia="Calibri" w:cs="Calibri"/>
          <w:sz w:val="24"/>
        </w:rPr>
        <w:t>[Other]</w:t>
      </w:r>
    </w:p>
    <w:p w14:paraId="70A79FD8" w14:textId="19D40D27" w:rsidR="00F35AED" w:rsidRDefault="00F35AED" w:rsidP="00AC5373">
      <w:pPr>
        <w:rPr>
          <w:rFonts w:asciiTheme="minorHAnsi" w:hAnsiTheme="minorHAnsi" w:cstheme="minorHAnsi"/>
          <w:b/>
          <w:bCs/>
        </w:rPr>
      </w:pPr>
    </w:p>
    <w:p w14:paraId="7709574C" w14:textId="568E179E" w:rsidR="006C5184" w:rsidRDefault="006C5184" w:rsidP="00AC5373">
      <w:pPr>
        <w:rPr>
          <w:rFonts w:asciiTheme="minorHAnsi" w:hAnsiTheme="minorHAnsi" w:cstheme="minorHAnsi"/>
        </w:rPr>
      </w:pPr>
      <w:r w:rsidRPr="006C5184">
        <w:rPr>
          <w:rFonts w:asciiTheme="minorHAnsi" w:hAnsiTheme="minorHAnsi" w:cstheme="minorHAnsi"/>
        </w:rPr>
        <w:t xml:space="preserve">A response to an SSAD request must not include more non-public data elements than have been requested by the requestor. The response must include the public data elements related to the domain name registration. </w:t>
      </w:r>
    </w:p>
    <w:p w14:paraId="1881571E" w14:textId="34F7D6AB" w:rsidR="006C5184" w:rsidRDefault="006C5184" w:rsidP="00AC5373">
      <w:pPr>
        <w:rPr>
          <w:rFonts w:asciiTheme="minorHAnsi" w:hAnsiTheme="minorHAnsi" w:cstheme="minorHAnsi"/>
        </w:rPr>
      </w:pPr>
    </w:p>
    <w:p w14:paraId="63BFF7B0" w14:textId="784A426B" w:rsidR="006C5184" w:rsidRPr="006C5184" w:rsidRDefault="006C5184" w:rsidP="006C5184">
      <w:pPr>
        <w:rPr>
          <w:rFonts w:asciiTheme="minorHAnsi" w:hAnsiTheme="minorHAnsi" w:cstheme="minorHAnsi"/>
        </w:rPr>
      </w:pPr>
      <w:r w:rsidRPr="006C5184">
        <w:rPr>
          <w:rFonts w:asciiTheme="minorHAnsi" w:hAnsiTheme="minorHAnsi" w:cstheme="minorHAnsi"/>
        </w:rPr>
        <w:t>An SSAD request meeting the requirements as outlined in the</w:t>
      </w:r>
      <w:r>
        <w:rPr>
          <w:rFonts w:asciiTheme="minorHAnsi" w:hAnsiTheme="minorHAnsi" w:cstheme="minorHAnsi"/>
        </w:rPr>
        <w:t>se</w:t>
      </w:r>
      <w:r w:rsidRPr="006C5184">
        <w:rPr>
          <w:rFonts w:asciiTheme="minorHAnsi" w:hAnsiTheme="minorHAnsi" w:cstheme="minorHAnsi"/>
        </w:rPr>
        <w:t xml:space="preserve"> policy recommendations must be received for each domain name registration for which non-public registration is requested to be disclosed. Each such request should be examined on its own merits.</w:t>
      </w:r>
    </w:p>
    <w:p w14:paraId="56614246" w14:textId="77777777" w:rsidR="006C5184" w:rsidRDefault="006C5184" w:rsidP="00AC5373">
      <w:pPr>
        <w:rPr>
          <w:rFonts w:asciiTheme="minorHAnsi" w:hAnsiTheme="minorHAnsi" w:cstheme="minorHAnsi"/>
          <w:b/>
          <w:bCs/>
        </w:rPr>
      </w:pPr>
    </w:p>
    <w:p w14:paraId="5040AC70" w14:textId="77777777" w:rsidR="00F35AED" w:rsidRPr="00C664F1" w:rsidRDefault="00F35AED" w:rsidP="00F35AED">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t>(</w:t>
      </w:r>
      <w:commentRangeStart w:id="16"/>
      <w:r w:rsidRPr="00C664F1">
        <w:rPr>
          <w:rFonts w:asciiTheme="minorHAnsi" w:eastAsia="Calibri" w:hAnsiTheme="minorHAnsi" w:cstheme="minorHAnsi"/>
          <w:i/>
          <w:iCs/>
          <w:color w:val="000000"/>
          <w:sz w:val="24"/>
        </w:rPr>
        <w:t>Authentication / authorization / accreditation</w:t>
      </w:r>
      <w:commentRangeEnd w:id="16"/>
      <w:r>
        <w:rPr>
          <w:rStyle w:val="CommentReference"/>
        </w:rPr>
        <w:commentReference w:id="16"/>
      </w:r>
      <w:r>
        <w:rPr>
          <w:rStyle w:val="FootnoteReference"/>
          <w:rFonts w:eastAsia="Calibri" w:cstheme="minorHAnsi"/>
          <w:i/>
          <w:iCs/>
          <w:color w:val="000000"/>
          <w:sz w:val="24"/>
        </w:rPr>
        <w:footnoteReference w:id="9"/>
      </w:r>
      <w:r w:rsidRPr="00C664F1">
        <w:rPr>
          <w:rFonts w:asciiTheme="minorHAnsi" w:eastAsia="Calibri" w:hAnsiTheme="minorHAnsi" w:cstheme="minorHAnsi"/>
          <w:i/>
          <w:iCs/>
          <w:color w:val="000000"/>
          <w:sz w:val="24"/>
        </w:rPr>
        <w:t>)</w:t>
      </w:r>
    </w:p>
    <w:p w14:paraId="2CF10C8E" w14:textId="695F7A23" w:rsidR="00DF4A29" w:rsidRDefault="00F35AED" w:rsidP="00DF4A29">
      <w:pPr>
        <w:rPr>
          <w:rFonts w:asciiTheme="minorHAnsi" w:hAnsiTheme="minorHAnsi" w:cstheme="minorHAnsi"/>
        </w:rPr>
      </w:pPr>
      <w:r w:rsidRPr="00AC5373">
        <w:rPr>
          <w:rFonts w:asciiTheme="minorHAnsi" w:hAnsiTheme="minorHAnsi" w:cstheme="minorHAnsi"/>
        </w:rPr>
        <w:t>The EPDP Team recommends</w:t>
      </w:r>
      <w:r w:rsidR="00DF4A29">
        <w:rPr>
          <w:rFonts w:asciiTheme="minorHAnsi" w:hAnsiTheme="minorHAnsi" w:cstheme="minorHAnsi"/>
        </w:rPr>
        <w:t xml:space="preserve"> that the entity disclosing the data must: </w:t>
      </w:r>
    </w:p>
    <w:p w14:paraId="367B73C3" w14:textId="77777777" w:rsidR="00DF4A29" w:rsidRPr="002C7F7F" w:rsidRDefault="00DF4A29" w:rsidP="00DF4A29">
      <w:pPr>
        <w:pStyle w:val="ListParagraph"/>
        <w:numPr>
          <w:ilvl w:val="0"/>
          <w:numId w:val="23"/>
        </w:numPr>
        <w:rPr>
          <w:rFonts w:asciiTheme="minorHAnsi" w:hAnsiTheme="minorHAnsi" w:cstheme="minorHAnsi"/>
          <w:sz w:val="24"/>
        </w:rPr>
      </w:pPr>
      <w:r w:rsidRPr="002C7F7F">
        <w:rPr>
          <w:rFonts w:asciiTheme="minorHAnsi" w:hAnsiTheme="minorHAnsi" w:cstheme="minorHAnsi"/>
          <w:sz w:val="24"/>
        </w:rPr>
        <w:t>Provide the ability for confirmed accreditors to confirm accredited requestors in SSAD</w:t>
      </w:r>
      <w:r>
        <w:rPr>
          <w:rFonts w:asciiTheme="minorHAnsi" w:hAnsiTheme="minorHAnsi" w:cstheme="minorHAnsi"/>
        </w:rPr>
        <w:t>;</w:t>
      </w:r>
    </w:p>
    <w:p w14:paraId="3914C0F4" w14:textId="77777777"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P</w:t>
      </w:r>
      <w:r w:rsidRPr="002C7F7F">
        <w:rPr>
          <w:rFonts w:asciiTheme="minorHAnsi" w:hAnsiTheme="minorHAnsi" w:cstheme="minorHAnsi"/>
          <w:sz w:val="24"/>
        </w:rPr>
        <w:t xml:space="preserve">rovide for a mechanism to report abuse by </w:t>
      </w:r>
      <w:r>
        <w:rPr>
          <w:rFonts w:asciiTheme="minorHAnsi" w:hAnsiTheme="minorHAnsi" w:cstheme="minorHAnsi"/>
          <w:sz w:val="24"/>
        </w:rPr>
        <w:t xml:space="preserve">an </w:t>
      </w:r>
      <w:r w:rsidRPr="002C7F7F">
        <w:rPr>
          <w:rFonts w:asciiTheme="minorHAnsi" w:hAnsiTheme="minorHAnsi" w:cstheme="minorHAnsi"/>
          <w:sz w:val="24"/>
        </w:rPr>
        <w:t>accredited user</w:t>
      </w:r>
      <w:r>
        <w:rPr>
          <w:rFonts w:asciiTheme="minorHAnsi" w:hAnsiTheme="minorHAnsi" w:cstheme="minorHAnsi"/>
          <w:sz w:val="24"/>
        </w:rPr>
        <w:t xml:space="preserve"> which is relayed to the </w:t>
      </w:r>
      <w:commentRangeStart w:id="17"/>
      <w:r>
        <w:rPr>
          <w:rFonts w:asciiTheme="minorHAnsi" w:hAnsiTheme="minorHAnsi" w:cstheme="minorHAnsi"/>
          <w:sz w:val="24"/>
        </w:rPr>
        <w:t xml:space="preserve">accreditation authority </w:t>
      </w:r>
      <w:commentRangeEnd w:id="17"/>
      <w:r w:rsidR="00051664">
        <w:rPr>
          <w:rStyle w:val="CommentReference"/>
        </w:rPr>
        <w:commentReference w:id="17"/>
      </w:r>
      <w:r>
        <w:rPr>
          <w:rFonts w:asciiTheme="minorHAnsi" w:hAnsiTheme="minorHAnsi" w:cstheme="minorHAnsi"/>
          <w:sz w:val="24"/>
        </w:rPr>
        <w:t>for handling;</w:t>
      </w:r>
    </w:p>
    <w:p w14:paraId="6C3B248F" w14:textId="165DC049"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 xml:space="preserve">Confirm the </w:t>
      </w:r>
      <w:r w:rsidR="00051664">
        <w:rPr>
          <w:rFonts w:asciiTheme="minorHAnsi" w:hAnsiTheme="minorHAnsi" w:cstheme="minorHAnsi"/>
          <w:sz w:val="24"/>
        </w:rPr>
        <w:t>validity</w:t>
      </w:r>
      <w:r>
        <w:rPr>
          <w:rFonts w:asciiTheme="minorHAnsi" w:hAnsiTheme="minorHAnsi" w:cstheme="minorHAnsi"/>
          <w:sz w:val="24"/>
        </w:rPr>
        <w:t xml:space="preserve"> of each request;</w:t>
      </w:r>
    </w:p>
    <w:p w14:paraId="33F66C93" w14:textId="77777777" w:rsidR="00DF4A29" w:rsidRPr="002C7F7F"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[Other]</w:t>
      </w:r>
      <w:r w:rsidRPr="002C7F7F">
        <w:rPr>
          <w:rFonts w:asciiTheme="minorHAnsi" w:hAnsiTheme="minorHAnsi" w:cstheme="minorHAnsi"/>
          <w:sz w:val="24"/>
        </w:rPr>
        <w:t xml:space="preserve">  </w:t>
      </w:r>
    </w:p>
    <w:p w14:paraId="3E4DF870" w14:textId="77777777" w:rsidR="00F35AED" w:rsidRDefault="00F35AED" w:rsidP="00AC5373">
      <w:pPr>
        <w:rPr>
          <w:rFonts w:asciiTheme="minorHAnsi" w:hAnsiTheme="minorHAnsi" w:cstheme="minorHAnsi"/>
          <w:b/>
          <w:bCs/>
        </w:rPr>
      </w:pPr>
    </w:p>
    <w:p w14:paraId="4FF42A58" w14:textId="7688AC88" w:rsidR="00F35AED" w:rsidRP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System for Standardized Access / Disclosure (SSAD)</w:t>
      </w:r>
    </w:p>
    <w:p w14:paraId="744FC4BB" w14:textId="333B265B" w:rsidR="00F35AED" w:rsidRDefault="00F35AED" w:rsidP="00AC5373">
      <w:pPr>
        <w:rPr>
          <w:rFonts w:asciiTheme="minorHAnsi" w:hAnsiTheme="minorHAnsi" w:cstheme="minorHAnsi"/>
          <w:b/>
          <w:bCs/>
        </w:rPr>
      </w:pPr>
    </w:p>
    <w:p w14:paraId="1FC3B618" w14:textId="77777777" w:rsidR="00F35AED" w:rsidRPr="0045074A" w:rsidRDefault="00F35AED" w:rsidP="00F35AED">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(Receipt of acknowledgement)</w:t>
      </w:r>
    </w:p>
    <w:p w14:paraId="322D6ACC" w14:textId="77777777" w:rsidR="00F35AED" w:rsidRPr="00AC5373" w:rsidRDefault="00F35AED" w:rsidP="00F35AED">
      <w:pPr>
        <w:pStyle w:val="Default"/>
        <w:rPr>
          <w:rFonts w:asciiTheme="minorHAnsi" w:hAnsiTheme="minorHAnsi" w:cstheme="minorHAnsi"/>
        </w:rPr>
      </w:pPr>
      <w:commentRangeStart w:id="18"/>
      <w:r w:rsidRPr="00AC5373">
        <w:rPr>
          <w:rFonts w:asciiTheme="minorHAnsi" w:hAnsiTheme="minorHAnsi" w:cstheme="minorHAnsi"/>
        </w:rPr>
        <w:t xml:space="preserve">The EPDP Team recommends that, consistent with the EPDP Phase 1 recommendations, the response time for acknowledging receipt of a SSAD request should be without undue delay, but not more than two (2) business days from receipt, unless shown circumstances does not make this possible. </w:t>
      </w:r>
      <w:commentRangeEnd w:id="18"/>
      <w:r w:rsidR="006C5184">
        <w:rPr>
          <w:rStyle w:val="CommentReference"/>
          <w:rFonts w:eastAsia="Times New Roman" w:cstheme="minorBidi"/>
          <w:color w:val="auto"/>
        </w:rPr>
        <w:commentReference w:id="18"/>
      </w:r>
    </w:p>
    <w:p w14:paraId="1366D0CE" w14:textId="77777777" w:rsidR="00F35AED" w:rsidRPr="00AC5373" w:rsidRDefault="00F35AED" w:rsidP="00F35AED">
      <w:pPr>
        <w:pStyle w:val="Default"/>
        <w:rPr>
          <w:rFonts w:asciiTheme="minorHAnsi" w:hAnsiTheme="minorHAnsi" w:cstheme="minorHAnsi"/>
        </w:rPr>
      </w:pPr>
    </w:p>
    <w:p w14:paraId="6A652741" w14:textId="537175C9" w:rsidR="00F35AED" w:rsidRPr="00AC5373" w:rsidRDefault="00F35AED" w:rsidP="00F35AED">
      <w:pPr>
        <w:pStyle w:val="Default"/>
        <w:rPr>
          <w:rFonts w:asciiTheme="minorHAnsi" w:hAnsiTheme="minorHAnsi" w:cstheme="minorHAnsi"/>
        </w:rPr>
      </w:pPr>
      <w:r w:rsidRPr="00AC5373">
        <w:rPr>
          <w:rFonts w:asciiTheme="minorHAnsi" w:hAnsiTheme="minorHAnsi" w:cstheme="minorHAnsi"/>
        </w:rPr>
        <w:t>The response should also include information about the subsequent steps as well as</w:t>
      </w:r>
      <w:r w:rsidR="00A634E8">
        <w:rPr>
          <w:rFonts w:asciiTheme="minorHAnsi" w:hAnsiTheme="minorHAnsi" w:cstheme="minorHAnsi"/>
        </w:rPr>
        <w:t xml:space="preserve"> the</w:t>
      </w:r>
      <w:r w:rsidRPr="00AC5373">
        <w:rPr>
          <w:rFonts w:asciiTheme="minorHAnsi" w:hAnsiTheme="minorHAnsi" w:cstheme="minorHAnsi"/>
        </w:rPr>
        <w:t xml:space="preserve"> timeline consistent with the recommendations outlined below. </w:t>
      </w:r>
    </w:p>
    <w:p w14:paraId="13CD294F" w14:textId="0B9ACB54" w:rsidR="00F35AED" w:rsidRDefault="00F35AED" w:rsidP="00AC5373">
      <w:pPr>
        <w:rPr>
          <w:rFonts w:asciiTheme="minorHAnsi" w:hAnsiTheme="minorHAnsi" w:cstheme="minorHAnsi"/>
          <w:b/>
          <w:bCs/>
        </w:rPr>
      </w:pPr>
    </w:p>
    <w:p w14:paraId="2998D13F"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4541AE07" w14:textId="77777777" w:rsidR="00F35AED" w:rsidRPr="00B9576A" w:rsidRDefault="00F35AED" w:rsidP="00F35AED">
      <w:pPr>
        <w:rPr>
          <w:rFonts w:asciiTheme="minorHAnsi" w:hAnsiTheme="minorHAnsi" w:cstheme="minorHAnsi"/>
        </w:rPr>
      </w:pPr>
      <w:r w:rsidRPr="00B9576A">
        <w:rPr>
          <w:rFonts w:asciiTheme="minorHAnsi" w:hAnsiTheme="minorHAnsi" w:cstheme="minorHAnsi"/>
        </w:rPr>
        <w:t>The EPDP Team recommends the SSAD, in whatever form it eventually takes, MUST:</w:t>
      </w:r>
    </w:p>
    <w:p w14:paraId="03BE1950" w14:textId="474786F0" w:rsidR="00F35AED" w:rsidRPr="007C5954" w:rsidRDefault="00F35AED" w:rsidP="00F35AED">
      <w:pPr>
        <w:pStyle w:val="ListParagraph"/>
        <w:numPr>
          <w:ilvl w:val="0"/>
          <w:numId w:val="28"/>
        </w:numPr>
        <w:rPr>
          <w:rFonts w:eastAsia="Calibri" w:cs="Calibri"/>
          <w:sz w:val="24"/>
        </w:rPr>
      </w:pPr>
      <w:r w:rsidRPr="00F500E9">
        <w:rPr>
          <w:rFonts w:eastAsia="Calibri" w:cs="Calibri"/>
          <w:sz w:val="24"/>
        </w:rPr>
        <w:t>Unless otherwise required or permitted, not allow bulk access</w:t>
      </w:r>
      <w:r w:rsidR="00A634E8">
        <w:rPr>
          <w:rFonts w:eastAsia="Calibri" w:cs="Calibri"/>
          <w:sz w:val="24"/>
        </w:rPr>
        <w:t>,</w:t>
      </w:r>
      <w:r w:rsidRPr="00F500E9">
        <w:rPr>
          <w:rFonts w:eastAsia="Calibri"/>
          <w:sz w:val="24"/>
          <w:vertAlign w:val="superscript"/>
        </w:rPr>
        <w:footnoteReference w:id="10"/>
      </w:r>
      <w:r w:rsidRPr="00F500E9">
        <w:rPr>
          <w:rFonts w:eastAsia="Calibri" w:cs="Calibri"/>
          <w:sz w:val="24"/>
        </w:rPr>
        <w:t xml:space="preserve"> wildcard requests, </w:t>
      </w:r>
      <w:r w:rsidRPr="007C5954">
        <w:rPr>
          <w:rFonts w:eastAsia="Calibri" w:cs="Calibri"/>
          <w:sz w:val="24"/>
        </w:rPr>
        <w:t>reverse lookups, nor boolean search capabilities.</w:t>
      </w:r>
    </w:p>
    <w:p w14:paraId="2EDDD294" w14:textId="77777777" w:rsidR="00F35AED" w:rsidRPr="007C5954"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only return current data (no data about the domain name registration’s history);</w:t>
      </w:r>
    </w:p>
    <w:p w14:paraId="0EE43A4E"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receive a specific request for every individual domain name (no bulk access</w:t>
      </w:r>
      <w:r w:rsidRPr="007C5954">
        <w:rPr>
          <w:rStyle w:val="FootnoteReference"/>
          <w:rFonts w:eastAsiaTheme="majorEastAsia" w:cs="Calibri"/>
          <w:color w:val="000000"/>
        </w:rPr>
        <w:footnoteReference w:id="11"/>
      </w:r>
      <w:r w:rsidRPr="007C5954">
        <w:rPr>
          <w:rFonts w:ascii="Calibri" w:hAnsi="Calibri" w:cs="Calibri"/>
          <w:color w:val="000000"/>
        </w:rPr>
        <w:t>);</w:t>
      </w:r>
    </w:p>
    <w:p w14:paraId="649D8133"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B9576A">
        <w:rPr>
          <w:rFonts w:ascii="Calibri" w:hAnsi="Calibri" w:cs="Calibri"/>
          <w:color w:val="000000"/>
        </w:rPr>
        <w:lastRenderedPageBreak/>
        <w:t>Must direct requests at the entity that is determined through this policy process to be responsible for the disclosure of the requested data.</w:t>
      </w:r>
    </w:p>
    <w:p w14:paraId="09726A95" w14:textId="77777777" w:rsidR="00F35AED" w:rsidRDefault="00F35AED" w:rsidP="00F35AED">
      <w:pPr>
        <w:ind w:left="360"/>
        <w:rPr>
          <w:rFonts w:asciiTheme="minorHAnsi" w:hAnsiTheme="minorHAnsi" w:cstheme="minorHAnsi"/>
        </w:rPr>
      </w:pPr>
    </w:p>
    <w:p w14:paraId="056F7C92" w14:textId="6C240932" w:rsidR="00F35AED" w:rsidRDefault="00F35AED" w:rsidP="00F35AED">
      <w:pPr>
        <w:rPr>
          <w:rFonts w:asciiTheme="minorHAnsi" w:hAnsiTheme="minorHAnsi" w:cstheme="minorHAnsi"/>
        </w:rPr>
      </w:pPr>
      <w:r w:rsidRPr="00B9576A">
        <w:rPr>
          <w:rFonts w:asciiTheme="minorHAnsi" w:hAnsiTheme="minorHAnsi" w:cstheme="minorHAnsi"/>
        </w:rPr>
        <w:t>Requests must only refer to current registration data (historical registration data will not be made available via this mechanism).</w:t>
      </w:r>
    </w:p>
    <w:p w14:paraId="3D81BB93" w14:textId="77777777" w:rsidR="00A634E8" w:rsidRDefault="00A634E8" w:rsidP="00F35AED">
      <w:pPr>
        <w:rPr>
          <w:rFonts w:asciiTheme="minorHAnsi" w:hAnsiTheme="minorHAnsi" w:cstheme="minorHAnsi"/>
        </w:rPr>
      </w:pPr>
    </w:p>
    <w:p w14:paraId="0EC2CFB8"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(Terms of use / disclosure agreements / privacy policies)</w:t>
      </w:r>
    </w:p>
    <w:p w14:paraId="62A789CD"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The EPDP Team recommends that [TBC]</w:t>
      </w:r>
    </w:p>
    <w:p w14:paraId="505E7402" w14:textId="77777777" w:rsidR="00F35AED" w:rsidRPr="00AC5373" w:rsidRDefault="00F35AED" w:rsidP="00F35AED">
      <w:pPr>
        <w:rPr>
          <w:rFonts w:asciiTheme="minorHAnsi" w:hAnsiTheme="minorHAnsi" w:cstheme="minorHAnsi"/>
        </w:rPr>
      </w:pPr>
    </w:p>
    <w:p w14:paraId="52955834" w14:textId="77777777" w:rsidR="00F35AED" w:rsidRPr="00C664F1" w:rsidRDefault="00F35AED" w:rsidP="00F35AED">
      <w:pPr>
        <w:rPr>
          <w:rFonts w:asciiTheme="minorHAnsi" w:hAnsiTheme="minorHAnsi" w:cstheme="minorHAnsi"/>
        </w:rPr>
      </w:pPr>
    </w:p>
    <w:p w14:paraId="466596CF"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(Financial sustainability)</w:t>
      </w:r>
    </w:p>
    <w:p w14:paraId="42576DD3" w14:textId="77777777" w:rsidR="00F35AED" w:rsidRPr="00AC5373" w:rsidRDefault="00F35AED" w:rsidP="00F35AED">
      <w:pPr>
        <w:rPr>
          <w:rFonts w:asciiTheme="minorHAnsi" w:hAnsiTheme="minorHAnsi" w:cstheme="minorHAnsi"/>
        </w:rPr>
      </w:pPr>
      <w:r>
        <w:rPr>
          <w:rFonts w:asciiTheme="minorHAnsi" w:hAnsiTheme="minorHAnsi" w:cstheme="minorHAnsi"/>
        </w:rPr>
        <w:t>The EPDP Team recommends that [TBC]</w:t>
      </w:r>
    </w:p>
    <w:p w14:paraId="62CE90E0" w14:textId="77777777" w:rsidR="00F35AED" w:rsidRDefault="00F35AED" w:rsidP="00AC5373">
      <w:pPr>
        <w:rPr>
          <w:rFonts w:asciiTheme="minorHAnsi" w:hAnsiTheme="minorHAnsi" w:cstheme="minorHAnsi"/>
          <w:b/>
          <w:bCs/>
        </w:rPr>
      </w:pPr>
    </w:p>
    <w:p w14:paraId="40290C85" w14:textId="06A8C654" w:rsidR="00AC5373" w:rsidRPr="00AC5373" w:rsidRDefault="00AC5373" w:rsidP="00AC5373">
      <w:pPr>
        <w:rPr>
          <w:rFonts w:asciiTheme="minorHAnsi" w:hAnsiTheme="minorHAnsi" w:cstheme="minorHAnsi"/>
          <w:b/>
          <w:bCs/>
        </w:rPr>
      </w:pPr>
      <w:r w:rsidRPr="00AC5373">
        <w:rPr>
          <w:rFonts w:asciiTheme="minorHAnsi" w:hAnsiTheme="minorHAnsi" w:cstheme="minorHAnsi"/>
          <w:b/>
          <w:bCs/>
        </w:rPr>
        <w:t>SSAD I</w:t>
      </w:r>
      <w:r w:rsidR="00C664F1">
        <w:rPr>
          <w:rFonts w:asciiTheme="minorHAnsi" w:hAnsiTheme="minorHAnsi" w:cstheme="minorHAnsi"/>
          <w:b/>
          <w:bCs/>
        </w:rPr>
        <w:t xml:space="preserve">MPLEMENTATION GUIDANCE </w:t>
      </w:r>
    </w:p>
    <w:p w14:paraId="01D220DD" w14:textId="77777777" w:rsidR="00AC5373" w:rsidRPr="00AC5373" w:rsidRDefault="00AC5373" w:rsidP="00AC5373">
      <w:pPr>
        <w:rPr>
          <w:rFonts w:asciiTheme="minorHAnsi" w:hAnsiTheme="minorHAnsi" w:cstheme="minorHAnsi"/>
        </w:rPr>
      </w:pPr>
    </w:p>
    <w:p w14:paraId="754369E4" w14:textId="77777777" w:rsidR="00AC5373" w:rsidRPr="00AC5373" w:rsidRDefault="00AC5373" w:rsidP="00AC5373">
      <w:pPr>
        <w:pStyle w:val="ListParagraph"/>
        <w:numPr>
          <w:ilvl w:val="0"/>
          <w:numId w:val="6"/>
        </w:numPr>
        <w:ind w:left="0" w:firstLine="2880"/>
        <w:rPr>
          <w:rFonts w:asciiTheme="minorHAnsi" w:hAnsiTheme="minorHAnsi" w:cstheme="minorHAnsi"/>
          <w:sz w:val="24"/>
        </w:rPr>
      </w:pPr>
    </w:p>
    <w:p w14:paraId="5303C868" w14:textId="0FE2281C" w:rsidR="00FD6370" w:rsidRPr="00FD6370" w:rsidRDefault="00AC5373" w:rsidP="00FD6370">
      <w:pPr>
        <w:rPr>
          <w:rFonts w:asciiTheme="minorHAnsi" w:hAnsiTheme="minorHAnsi" w:cstheme="minorHAnsi"/>
        </w:rPr>
      </w:pPr>
      <w:r w:rsidRPr="00AC5373">
        <w:rPr>
          <w:rFonts w:asciiTheme="minorHAnsi" w:hAnsiTheme="minorHAnsi" w:cstheme="minorHAnsi"/>
        </w:rPr>
        <w:t xml:space="preserve">The EPDP Team recommends that, consistent with the preliminary recommendation that an SSAD must be received for each domain name registration for which non-public registration is requested to be disclosed, it must be possible for requestors to submit multiple requests at the same time, for example, by entering multiple domain name registrations in the same request form if the same request information applies. </w:t>
      </w:r>
    </w:p>
    <w:p w14:paraId="39B9927A" w14:textId="77777777" w:rsidR="00FD6370" w:rsidRDefault="00FD6370" w:rsidP="00FD6370">
      <w:pPr>
        <w:rPr>
          <w:rFonts w:asciiTheme="minorHAnsi" w:hAnsiTheme="minorHAnsi" w:cstheme="minorHAnsi"/>
        </w:rPr>
      </w:pPr>
    </w:p>
    <w:p w14:paraId="3FE5371C" w14:textId="77777777" w:rsidR="00FD6370" w:rsidRPr="00FD6370" w:rsidRDefault="00FD6370" w:rsidP="00FD6370">
      <w:pPr>
        <w:pStyle w:val="ListParagraph"/>
        <w:numPr>
          <w:ilvl w:val="0"/>
          <w:numId w:val="6"/>
        </w:numPr>
        <w:ind w:left="0" w:firstLine="2970"/>
        <w:rPr>
          <w:rFonts w:asciiTheme="minorHAnsi" w:hAnsiTheme="minorHAnsi" w:cstheme="minorHAnsi"/>
        </w:rPr>
      </w:pPr>
    </w:p>
    <w:p w14:paraId="67824A96" w14:textId="0259EB04" w:rsidR="00AC5373" w:rsidRPr="00B9576A" w:rsidRDefault="00FD6370" w:rsidP="00B9576A">
      <w:pPr>
        <w:rPr>
          <w:rFonts w:asciiTheme="minorHAnsi" w:hAnsiTheme="minorHAnsi" w:cstheme="minorHAnsi"/>
        </w:rPr>
      </w:pPr>
      <w:r w:rsidRPr="00FD6370">
        <w:rPr>
          <w:rFonts w:asciiTheme="minorHAnsi" w:hAnsiTheme="minorHAnsi" w:cstheme="minorHAnsi"/>
        </w:rPr>
        <w:t>SSAD must also return the publicly</w:t>
      </w:r>
      <w:r w:rsidR="00A634E8">
        <w:rPr>
          <w:rFonts w:asciiTheme="minorHAnsi" w:hAnsiTheme="minorHAnsi" w:cstheme="minorHAnsi"/>
        </w:rPr>
        <w:t>-</w:t>
      </w:r>
      <w:r w:rsidRPr="00FD6370">
        <w:rPr>
          <w:rFonts w:asciiTheme="minorHAnsi" w:hAnsiTheme="minorHAnsi" w:cstheme="minorHAnsi"/>
        </w:rPr>
        <w:t xml:space="preserve">available registration data associated with the domain name registration for which </w:t>
      </w:r>
      <w:proofErr w:type="gramStart"/>
      <w:r w:rsidRPr="00FD6370">
        <w:rPr>
          <w:rFonts w:asciiTheme="minorHAnsi" w:hAnsiTheme="minorHAnsi" w:cstheme="minorHAnsi"/>
        </w:rPr>
        <w:t>a</w:t>
      </w:r>
      <w:proofErr w:type="gramEnd"/>
      <w:r w:rsidRPr="00FD6370">
        <w:rPr>
          <w:rFonts w:asciiTheme="minorHAnsi" w:hAnsiTheme="minorHAnsi" w:cstheme="minorHAnsi"/>
        </w:rPr>
        <w:t xml:space="preserve"> access</w:t>
      </w:r>
      <w:r w:rsidR="00BC5971">
        <w:rPr>
          <w:rFonts w:asciiTheme="minorHAnsi" w:hAnsiTheme="minorHAnsi" w:cstheme="minorHAnsi"/>
        </w:rPr>
        <w:t>/disclosure</w:t>
      </w:r>
      <w:r w:rsidRPr="00FD6370">
        <w:rPr>
          <w:rFonts w:asciiTheme="minorHAnsi" w:hAnsiTheme="minorHAnsi" w:cstheme="minorHAnsi"/>
        </w:rPr>
        <w:t xml:space="preserve"> request has been made. </w:t>
      </w:r>
    </w:p>
    <w:p w14:paraId="03EFD8E6" w14:textId="23608F40"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4A645DB8" w14:textId="77777777" w:rsidR="00F500E9" w:rsidRPr="00F500E9" w:rsidRDefault="00F500E9" w:rsidP="00F500E9">
      <w:pPr>
        <w:pStyle w:val="NormalWeb"/>
        <w:spacing w:before="0" w:beforeAutospacing="0" w:after="0" w:afterAutospacing="0"/>
        <w:textAlignment w:val="baseline"/>
        <w:rPr>
          <w:rFonts w:ascii="Calibri" w:hAnsi="Calibri" w:cs="Calibri"/>
          <w:b/>
          <w:bCs/>
          <w:color w:val="000000"/>
          <w:sz w:val="22"/>
          <w:szCs w:val="22"/>
        </w:rPr>
      </w:pPr>
    </w:p>
    <w:p w14:paraId="18F13268" w14:textId="77777777" w:rsidR="000B7A30" w:rsidRPr="00AC5373" w:rsidRDefault="000B7A30">
      <w:pPr>
        <w:rPr>
          <w:rFonts w:asciiTheme="minorHAnsi" w:hAnsiTheme="minorHAnsi" w:cstheme="minorHAnsi"/>
        </w:rPr>
      </w:pPr>
    </w:p>
    <w:sectPr w:rsidR="000B7A30" w:rsidRPr="00AC5373" w:rsidSect="007F1FED">
      <w:footerReference w:type="even"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arika Konings" w:date="2019-08-21T16:53:00Z" w:initials="MK">
    <w:p w14:paraId="20D78414" w14:textId="75C60769" w:rsidR="006C5184" w:rsidRDefault="006C5184">
      <w:pPr>
        <w:pStyle w:val="CommentText"/>
      </w:pPr>
      <w:r>
        <w:rPr>
          <w:rStyle w:val="CommentReference"/>
        </w:rPr>
        <w:annotationRef/>
      </w:r>
      <w:r w:rsidRPr="006C5184">
        <w:rPr>
          <w:highlight w:val="yellow"/>
        </w:rPr>
        <w:t>Following review by EPDP Team, further determination to be made as to whether some or all should remain as ‘policy principles’ or need to be translated into policy recommendations</w:t>
      </w:r>
      <w:r>
        <w:rPr>
          <w:highlight w:val="yellow"/>
        </w:rPr>
        <w:t>, accompanying notes</w:t>
      </w:r>
      <w:r w:rsidRPr="006C5184">
        <w:rPr>
          <w:highlight w:val="yellow"/>
        </w:rPr>
        <w:t xml:space="preserve"> (or are not needed for the purpose of the Initial Report)</w:t>
      </w:r>
      <w:r>
        <w:t xml:space="preserve"> </w:t>
      </w:r>
    </w:p>
  </w:comment>
  <w:comment w:id="3" w:author="Marika Konings" w:date="2019-08-12T19:44:00Z" w:initials="MK">
    <w:p w14:paraId="2363249B" w14:textId="514716D0" w:rsidR="0045074A" w:rsidRDefault="0045074A">
      <w:pPr>
        <w:pStyle w:val="CommentText"/>
      </w:pPr>
      <w:r>
        <w:rPr>
          <w:rStyle w:val="CommentReference"/>
        </w:rPr>
        <w:annotationRef/>
      </w:r>
      <w:r w:rsidRPr="006C5184">
        <w:rPr>
          <w:highlight w:val="yellow"/>
        </w:rPr>
        <w:t>Note, this has not been specifically discussed but is based on the EPDP Team’s recommendations developed in phase 1 of its work. Will need to be cross-checked with implementation of phase 1 recommendations.</w:t>
      </w:r>
      <w:r>
        <w:t xml:space="preserve"> </w:t>
      </w:r>
    </w:p>
  </w:comment>
  <w:comment w:id="4" w:author="Marika Konings" w:date="2019-08-21T17:04:00Z" w:initials="MK">
    <w:p w14:paraId="2F4B67DA" w14:textId="06C06CE2" w:rsidR="00051664" w:rsidRDefault="00051664">
      <w:pPr>
        <w:pStyle w:val="CommentText"/>
      </w:pPr>
      <w:r>
        <w:rPr>
          <w:rStyle w:val="CommentReference"/>
        </w:rPr>
        <w:annotationRef/>
      </w:r>
      <w:r w:rsidRPr="00051664">
        <w:rPr>
          <w:highlight w:val="yellow"/>
        </w:rPr>
        <w:t>Based on EPDP Team’s categorization of use cases – will need to be reviewed. For example, for e, if RNH has provided consent there may not be a need to go through SSD?</w:t>
      </w:r>
    </w:p>
  </w:comment>
  <w:comment w:id="5" w:author="Marika Konings" w:date="2019-08-22T11:42:00Z" w:initials="MK">
    <w:p w14:paraId="599E1745" w14:textId="563F7469" w:rsidR="00FD6854" w:rsidRPr="00FD6854" w:rsidRDefault="00FD6854" w:rsidP="00FD6854">
      <w:pPr>
        <w:pStyle w:val="NormalWeb"/>
        <w:rPr>
          <w:rFonts w:ascii="Calibri" w:hAnsi="Calibri" w:cs="Calibri"/>
        </w:rPr>
      </w:pPr>
      <w:r>
        <w:rPr>
          <w:rStyle w:val="CommentReference"/>
        </w:rPr>
        <w:annotationRef/>
      </w:r>
      <w:r w:rsidRPr="00FD6854">
        <w:rPr>
          <w:rFonts w:ascii="Calibri" w:hAnsi="Calibri" w:cs="Calibri"/>
          <w:highlight w:val="yellow"/>
        </w:rPr>
        <w:t>EPDP Team noted that rec 1, purpose 2 was a placeholder and should be further reviewed in the context of phase 2 deliberations. Also consider the European Commission on this topic, in its 17 April 2019 letter submitted during the public comment period and the clarifying letter sent to ICANN org on 3 May 2019.</w:t>
      </w:r>
      <w:r w:rsidRPr="00FD6854">
        <w:rPr>
          <w:rFonts w:ascii="Calibri" w:hAnsi="Calibri" w:cs="Calibri"/>
        </w:rPr>
        <w:t xml:space="preserve"> </w:t>
      </w:r>
    </w:p>
  </w:comment>
  <w:comment w:id="6" w:author="Marika Konings" w:date="2019-08-12T19:58:00Z" w:initials="MK">
    <w:p w14:paraId="43F90B87" w14:textId="27E7203D" w:rsidR="001F55EF" w:rsidRDefault="001F55EF">
      <w:pPr>
        <w:pStyle w:val="CommentText"/>
      </w:pPr>
      <w:r>
        <w:rPr>
          <w:rStyle w:val="CommentReference"/>
        </w:rPr>
        <w:annotationRef/>
      </w:r>
      <w:r w:rsidR="00051664" w:rsidRPr="00051664">
        <w:rPr>
          <w:highlight w:val="yellow"/>
        </w:rPr>
        <w:t xml:space="preserve">Based on users identified in use cases. </w:t>
      </w:r>
      <w:r w:rsidRPr="00051664">
        <w:rPr>
          <w:highlight w:val="yellow"/>
        </w:rPr>
        <w:t>This list will require further review and consolidation</w:t>
      </w:r>
      <w:r w:rsidR="00051664" w:rsidRPr="00051664">
        <w:rPr>
          <w:highlight w:val="yellow"/>
        </w:rPr>
        <w:t xml:space="preserve"> by EPDP Team</w:t>
      </w:r>
      <w:r>
        <w:t xml:space="preserve">. </w:t>
      </w:r>
    </w:p>
  </w:comment>
  <w:comment w:id="7" w:author="Marika Konings" w:date="2019-06-27T11:37:00Z" w:initials="MK">
    <w:p w14:paraId="66342B8F" w14:textId="6475D39E" w:rsidR="00F35AED" w:rsidRDefault="00F35AED" w:rsidP="00F35AED">
      <w:pPr>
        <w:pStyle w:val="CommentText"/>
      </w:pPr>
      <w:r>
        <w:rPr>
          <w:rStyle w:val="CommentReference"/>
          <w:rFonts w:eastAsiaTheme="majorEastAsia"/>
        </w:rPr>
        <w:annotationRef/>
      </w:r>
      <w:r w:rsidR="00DE7868">
        <w:t xml:space="preserve">From use case template: </w:t>
      </w:r>
      <w:r>
        <w:t xml:space="preserve">EPDP Team to further define / clarify who and how auditing is expected to be carried out. </w:t>
      </w:r>
    </w:p>
  </w:comment>
  <w:comment w:id="8" w:author="Marika Konings" w:date="2019-08-12T21:23:00Z" w:initials="MK">
    <w:p w14:paraId="14EF662E" w14:textId="741CB29A" w:rsidR="00295911" w:rsidRPr="00BC5971" w:rsidRDefault="00295911" w:rsidP="00BC5971">
      <w:pPr>
        <w:rPr>
          <w:rFonts w:ascii="Calibri" w:hAnsi="Calibri" w:cs="Calibri"/>
          <w:sz w:val="20"/>
          <w:szCs w:val="20"/>
        </w:rPr>
      </w:pPr>
      <w:r>
        <w:rPr>
          <w:rStyle w:val="CommentReference"/>
        </w:rPr>
        <w:annotationRef/>
      </w:r>
      <w:r w:rsidRPr="00BC5971">
        <w:rPr>
          <w:rFonts w:ascii="Calibri" w:hAnsi="Calibri" w:cs="Calibri"/>
          <w:sz w:val="20"/>
          <w:szCs w:val="20"/>
          <w:highlight w:val="yellow"/>
        </w:rPr>
        <w:t xml:space="preserve">Also need to address charter question a7) </w:t>
      </w:r>
      <w:r w:rsidRPr="00BC5971">
        <w:rPr>
          <w:rFonts w:ascii="Calibri" w:eastAsiaTheme="minorHAnsi" w:hAnsi="Calibri" w:cs="Calibri"/>
          <w:sz w:val="20"/>
          <w:szCs w:val="20"/>
          <w:highlight w:val="yellow"/>
        </w:rPr>
        <w:t xml:space="preserve">How can RDAP, that is technically capable, allow Registries/Registrars to accept accreditation tokens and purpose for the query? Once accreditation models are developed by the appropriate accreditors and approved by the relevant legal authorities, how can we ensure that RDAP is </w:t>
      </w:r>
      <w:proofErr w:type="gramStart"/>
      <w:r w:rsidRPr="00BC5971">
        <w:rPr>
          <w:rFonts w:ascii="Calibri" w:eastAsiaTheme="minorHAnsi" w:hAnsi="Calibri" w:cs="Calibri"/>
          <w:sz w:val="20"/>
          <w:szCs w:val="20"/>
          <w:highlight w:val="yellow"/>
        </w:rPr>
        <w:t>technically  capable</w:t>
      </w:r>
      <w:proofErr w:type="gramEnd"/>
      <w:r w:rsidRPr="00BC5971">
        <w:rPr>
          <w:rFonts w:ascii="Calibri" w:eastAsiaTheme="minorHAnsi" w:hAnsi="Calibri" w:cs="Calibri"/>
          <w:sz w:val="20"/>
          <w:szCs w:val="20"/>
          <w:highlight w:val="yellow"/>
        </w:rPr>
        <w:t xml:space="preserve"> and is ready to accept, log and respond to the accredited requestor’s token? </w:t>
      </w:r>
      <w:r w:rsidR="00BC5971" w:rsidRPr="00BC5971">
        <w:rPr>
          <w:rFonts w:asciiTheme="minorHAnsi" w:eastAsiaTheme="minorHAnsi" w:hAnsiTheme="minorHAnsi" w:cstheme="minorHAnsi"/>
          <w:sz w:val="20"/>
          <w:szCs w:val="20"/>
          <w:highlight w:val="yellow"/>
        </w:rPr>
        <w:t xml:space="preserve">EPDP Team to consider reviewing </w:t>
      </w:r>
      <w:r w:rsidR="00BC5971" w:rsidRPr="00BC5971">
        <w:rPr>
          <w:rFonts w:asciiTheme="minorHAnsi" w:hAnsiTheme="minorHAnsi" w:cstheme="minorHAnsi"/>
          <w:color w:val="000000"/>
          <w:sz w:val="20"/>
          <w:szCs w:val="20"/>
          <w:highlight w:val="yellow"/>
        </w:rPr>
        <w:t>Sections 5 and 6 in</w:t>
      </w:r>
      <w:r w:rsidR="00BC5971" w:rsidRPr="00BC5971">
        <w:rPr>
          <w:rStyle w:val="apple-converted-space"/>
          <w:rFonts w:asciiTheme="minorHAnsi" w:eastAsiaTheme="majorEastAsia" w:hAnsiTheme="minorHAnsi" w:cstheme="minorHAnsi"/>
          <w:color w:val="000000"/>
          <w:sz w:val="20"/>
          <w:szCs w:val="20"/>
          <w:highlight w:val="yellow"/>
        </w:rPr>
        <w:t> </w:t>
      </w:r>
      <w:hyperlink r:id="rId1" w:history="1">
        <w:r w:rsidR="00BC5971" w:rsidRPr="00BC5971">
          <w:rPr>
            <w:rStyle w:val="Hyperlink"/>
            <w:rFonts w:asciiTheme="minorHAnsi" w:eastAsiaTheme="majorEastAsia" w:hAnsiTheme="minorHAnsi" w:cstheme="minorHAnsi"/>
            <w:color w:val="954F72"/>
            <w:sz w:val="20"/>
            <w:szCs w:val="20"/>
            <w:highlight w:val="yellow"/>
          </w:rPr>
          <w:t>TSG01</w:t>
        </w:r>
      </w:hyperlink>
      <w:r w:rsidR="00BC5971" w:rsidRPr="00BC5971">
        <w:rPr>
          <w:rFonts w:asciiTheme="minorHAnsi" w:hAnsiTheme="minorHAnsi" w:cstheme="minorHAnsi"/>
          <w:color w:val="000000"/>
          <w:sz w:val="20"/>
          <w:szCs w:val="20"/>
          <w:highlight w:val="yellow"/>
        </w:rPr>
        <w:t>, which discusses technical requirements for credentials in RDAP.</w:t>
      </w:r>
    </w:p>
  </w:comment>
  <w:comment w:id="9" w:author="Marika Konings" w:date="2019-08-21T17:09:00Z" w:initials="MK">
    <w:p w14:paraId="08D9C596" w14:textId="4652E311" w:rsidR="00051664" w:rsidRDefault="00051664">
      <w:pPr>
        <w:pStyle w:val="CommentText"/>
      </w:pPr>
      <w:r>
        <w:rPr>
          <w:rStyle w:val="CommentReference"/>
        </w:rPr>
        <w:annotationRef/>
      </w:r>
      <w:r w:rsidRPr="00051664">
        <w:rPr>
          <w:highlight w:val="yellow"/>
        </w:rPr>
        <w:t>Further details would need to be provided about what the benefits of accreditation are.</w:t>
      </w:r>
      <w:r>
        <w:t xml:space="preserve"> </w:t>
      </w:r>
    </w:p>
  </w:comment>
  <w:comment w:id="10" w:author="Marika Konings" w:date="2019-08-12T20:45:00Z" w:initials="MK">
    <w:p w14:paraId="63E84C4D" w14:textId="341F15D7" w:rsidR="007D5980" w:rsidRDefault="007D5980">
      <w:pPr>
        <w:pStyle w:val="CommentText"/>
      </w:pPr>
      <w:r>
        <w:rPr>
          <w:rStyle w:val="CommentReference"/>
        </w:rPr>
        <w:annotationRef/>
      </w:r>
      <w:r w:rsidRPr="00051664">
        <w:rPr>
          <w:highlight w:val="yellow"/>
        </w:rPr>
        <w:t>Need to confirm what happens after this review – is it ICANN Org who then modifies the implementation of the policy to add the accreditation mechanism and related requirements?</w:t>
      </w:r>
    </w:p>
  </w:comment>
  <w:comment w:id="11" w:author="Marika Konings" w:date="2019-08-21T17:11:00Z" w:initials="MK">
    <w:p w14:paraId="74DDE4E1" w14:textId="282C8B5E" w:rsidR="00051664" w:rsidRDefault="00051664">
      <w:pPr>
        <w:pStyle w:val="CommentText"/>
      </w:pPr>
      <w:r>
        <w:rPr>
          <w:rStyle w:val="CommentReference"/>
        </w:rPr>
        <w:annotationRef/>
      </w:r>
      <w:r w:rsidRPr="00051664">
        <w:rPr>
          <w:highlight w:val="yellow"/>
        </w:rPr>
        <w:t>Need further details on what revocation would mean in practice e.g. no further access to SSAD?</w:t>
      </w:r>
    </w:p>
  </w:comment>
  <w:comment w:id="12" w:author="Marika Konings" w:date="2019-08-21T17:15:00Z" w:initials="MK">
    <w:p w14:paraId="7C945EA4" w14:textId="084ABE6E" w:rsidR="00FE3DCF" w:rsidRDefault="00FE3DCF" w:rsidP="00FE3DCF">
      <w:r>
        <w:rPr>
          <w:rStyle w:val="CommentReference"/>
        </w:rPr>
        <w:annotationRef/>
      </w:r>
      <w:r w:rsidRPr="00DE7868">
        <w:rPr>
          <w:rFonts w:ascii="Calibri" w:hAnsi="Calibri" w:cs="Calibri"/>
          <w:color w:val="000000"/>
          <w:highlight w:val="yellow"/>
        </w:rPr>
        <w:t>Must all requests be logged? What information must be logged? Who would be able to access the logs? EPDP Team may want to consider the guidance the European Data Protection Board provided on this issue in its 5 July 2018 letter. (“The EDPB considers that, unless there is an explicit prohibition in national law, appropriate logging mechanisms should be in place to log any access to nonpublic personal data processed in the context of WHOIS. In this context, such logging is considered required as part of the security obligation of controllers (article 32), as well as the obligation and in order to be able to demonstrate compliance with the GDPR (accountability) (article 5(2</w:t>
      </w:r>
      <w:proofErr w:type="gramStart"/>
      <w:r w:rsidRPr="00DE7868">
        <w:rPr>
          <w:rFonts w:ascii="Calibri" w:hAnsi="Calibri" w:cs="Calibri"/>
          <w:color w:val="000000"/>
          <w:highlight w:val="yellow"/>
        </w:rPr>
        <w:t>))…</w:t>
      </w:r>
      <w:proofErr w:type="gramEnd"/>
      <w:r w:rsidRPr="00DE7868">
        <w:rPr>
          <w:rFonts w:ascii="Calibri" w:hAnsi="Calibri" w:cs="Calibri"/>
          <w:color w:val="000000"/>
          <w:highlight w:val="yellow"/>
        </w:rPr>
        <w:t xml:space="preserve"> It is up to ICANN and other controllers participating in the WHOIS system to ensure that logging information is not disclosed to unauthorized entities, in particular with a view of not jeopardizing legitimate law enforcement activities.”)</w:t>
      </w:r>
    </w:p>
  </w:comment>
  <w:comment w:id="13" w:author="Marika Konings" w:date="2019-08-21T17:17:00Z" w:initials="MK">
    <w:p w14:paraId="7A0DCBD4" w14:textId="097B8892" w:rsidR="00DE7868" w:rsidRDefault="00DE7868">
      <w:pPr>
        <w:pStyle w:val="CommentText"/>
      </w:pPr>
      <w:r>
        <w:rPr>
          <w:rStyle w:val="CommentReference"/>
        </w:rPr>
        <w:annotationRef/>
      </w:r>
      <w:r w:rsidRPr="00DE7868">
        <w:rPr>
          <w:highlight w:val="yellow"/>
        </w:rPr>
        <w:t>Does this imply that the data subject is informed every time a balancing test is carried out</w:t>
      </w:r>
      <w:r>
        <w:rPr>
          <w:highlight w:val="yellow"/>
        </w:rPr>
        <w:t xml:space="preserve"> with respect to his/her data</w:t>
      </w:r>
      <w:r w:rsidRPr="00DE7868">
        <w:rPr>
          <w:highlight w:val="yellow"/>
        </w:rPr>
        <w:t>?</w:t>
      </w:r>
    </w:p>
  </w:comment>
  <w:comment w:id="14" w:author="Marika Konings" w:date="2019-06-27T11:44:00Z" w:initials="MK">
    <w:p w14:paraId="36535DA8" w14:textId="284837B3" w:rsidR="00F35AED" w:rsidRDefault="00F35AED" w:rsidP="00F35AED">
      <w:pPr>
        <w:pStyle w:val="CommentText"/>
      </w:pPr>
      <w:r>
        <w:rPr>
          <w:rStyle w:val="CommentReference"/>
          <w:rFonts w:eastAsiaTheme="majorEastAsia"/>
        </w:rPr>
        <w:annotationRef/>
      </w:r>
      <w:r w:rsidR="00DE7868">
        <w:t xml:space="preserve">From use case template: </w:t>
      </w:r>
      <w:r>
        <w:t>Consider including specific examples of what is considered abusive to ensure that no legitimate and/or authenticated requestors are blocked.</w:t>
      </w:r>
    </w:p>
  </w:comment>
  <w:comment w:id="15" w:author="Marika Konings" w:date="2019-06-27T11:53:00Z" w:initials="MK">
    <w:p w14:paraId="373CB5B9" w14:textId="0176A649" w:rsidR="00F35AED" w:rsidRDefault="00F35AED" w:rsidP="00F35AED">
      <w:pPr>
        <w:pStyle w:val="CommentText"/>
      </w:pPr>
      <w:r>
        <w:rPr>
          <w:rStyle w:val="CommentReference"/>
          <w:rFonts w:eastAsiaTheme="majorEastAsia"/>
        </w:rPr>
        <w:annotationRef/>
      </w:r>
      <w:r w:rsidR="00DE7868">
        <w:t xml:space="preserve">From use case template: </w:t>
      </w:r>
      <w:r>
        <w:t>To be reworded (Marc A. and Brian to work on suggested alternative language)</w:t>
      </w:r>
    </w:p>
  </w:comment>
  <w:comment w:id="16" w:author="Marika Konings" w:date="2019-08-12T21:23:00Z" w:initials="MK">
    <w:p w14:paraId="745FE86C" w14:textId="77777777" w:rsidR="00F35AED" w:rsidRPr="00295911" w:rsidRDefault="00F35AED" w:rsidP="00F35AED">
      <w:pPr>
        <w:pStyle w:val="Default"/>
        <w:rPr>
          <w:rFonts w:eastAsiaTheme="minorHAnsi"/>
          <w:sz w:val="22"/>
          <w:szCs w:val="22"/>
        </w:rPr>
      </w:pPr>
      <w:r>
        <w:rPr>
          <w:rStyle w:val="CommentReference"/>
        </w:rPr>
        <w:annotationRef/>
      </w:r>
      <w:r w:rsidRPr="00DE7868">
        <w:rPr>
          <w:highlight w:val="yellow"/>
        </w:rPr>
        <w:t xml:space="preserve">Also needs to address charter question a7) </w:t>
      </w:r>
      <w:r w:rsidRPr="00DE7868">
        <w:rPr>
          <w:rFonts w:eastAsiaTheme="minorHAnsi"/>
          <w:sz w:val="22"/>
          <w:szCs w:val="22"/>
          <w:highlight w:val="yellow"/>
        </w:rPr>
        <w:t>How can RDAP, that is technically capable, allow Registries/Registrars to accept accreditation tokens and purpose for the query? Once accreditation models are developed by the appropriate accreditors and approved by the relevant legal authorities, how can we ensure that RDAP is technically  capable and is ready to accept, log and respond to the accredited requestor’s token?</w:t>
      </w:r>
      <w:r>
        <w:rPr>
          <w:rFonts w:eastAsiaTheme="minorHAnsi"/>
          <w:sz w:val="22"/>
          <w:szCs w:val="22"/>
        </w:rPr>
        <w:t xml:space="preserve"> </w:t>
      </w:r>
    </w:p>
  </w:comment>
  <w:comment w:id="17" w:author="Marika Konings" w:date="2019-08-21T17:13:00Z" w:initials="MK">
    <w:p w14:paraId="260CFCC5" w14:textId="271107DA" w:rsidR="00051664" w:rsidRDefault="00051664">
      <w:pPr>
        <w:pStyle w:val="CommentText"/>
      </w:pPr>
      <w:r>
        <w:rPr>
          <w:rStyle w:val="CommentReference"/>
        </w:rPr>
        <w:annotationRef/>
      </w:r>
      <w:r w:rsidRPr="00051664">
        <w:rPr>
          <w:highlight w:val="yellow"/>
        </w:rPr>
        <w:t>Needs a definition / description</w:t>
      </w:r>
    </w:p>
  </w:comment>
  <w:comment w:id="18" w:author="Marika Konings" w:date="2019-08-21T17:04:00Z" w:initials="MK">
    <w:p w14:paraId="0115C4EF" w14:textId="0CEFF052" w:rsidR="006C5184" w:rsidRDefault="006C5184">
      <w:pPr>
        <w:pStyle w:val="CommentText"/>
      </w:pPr>
      <w:r>
        <w:rPr>
          <w:rStyle w:val="CommentReference"/>
        </w:rPr>
        <w:annotationRef/>
      </w:r>
      <w:r w:rsidRPr="006C5184">
        <w:rPr>
          <w:highlight w:val="yellow"/>
        </w:rPr>
        <w:t>Note, this has not been specifically discussed but is based on the EPDP Team’s recommendations developed in phase 1 of its work. Will need to be cross-checked with implementation of phase 1 recommendations.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D78414" w15:done="0"/>
  <w15:commentEx w15:paraId="2363249B" w15:done="0"/>
  <w15:commentEx w15:paraId="2F4B67DA" w15:done="0"/>
  <w15:commentEx w15:paraId="599E1745" w15:done="0"/>
  <w15:commentEx w15:paraId="43F90B87" w15:done="0"/>
  <w15:commentEx w15:paraId="66342B8F" w15:done="0"/>
  <w15:commentEx w15:paraId="14EF662E" w15:done="0"/>
  <w15:commentEx w15:paraId="08D9C596" w15:done="0"/>
  <w15:commentEx w15:paraId="63E84C4D" w15:done="0"/>
  <w15:commentEx w15:paraId="74DDE4E1" w15:done="0"/>
  <w15:commentEx w15:paraId="7C945EA4" w15:done="0"/>
  <w15:commentEx w15:paraId="7A0DCBD4" w15:done="0"/>
  <w15:commentEx w15:paraId="36535DA8" w15:done="0"/>
  <w15:commentEx w15:paraId="373CB5B9" w15:done="0"/>
  <w15:commentEx w15:paraId="745FE86C" w15:done="0"/>
  <w15:commentEx w15:paraId="260CFCC5" w15:done="0"/>
  <w15:commentEx w15:paraId="0115C4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D78414" w16cid:durableId="2107F5A0"/>
  <w16cid:commentId w16cid:paraId="2363249B" w16cid:durableId="20FC4038"/>
  <w16cid:commentId w16cid:paraId="2F4B67DA" w16cid:durableId="2107F82F"/>
  <w16cid:commentId w16cid:paraId="599E1745" w16cid:durableId="2108FE3E"/>
  <w16cid:commentId w16cid:paraId="43F90B87" w16cid:durableId="20FC4372"/>
  <w16cid:commentId w16cid:paraId="66342B8F" w16cid:durableId="210532E5"/>
  <w16cid:commentId w16cid:paraId="14EF662E" w16cid:durableId="20FC574A"/>
  <w16cid:commentId w16cid:paraId="08D9C596" w16cid:durableId="2107F947"/>
  <w16cid:commentId w16cid:paraId="63E84C4D" w16cid:durableId="20FC4E6A"/>
  <w16cid:commentId w16cid:paraId="74DDE4E1" w16cid:durableId="2107F9C0"/>
  <w16cid:commentId w16cid:paraId="7C945EA4" w16cid:durableId="2107FAC7"/>
  <w16cid:commentId w16cid:paraId="7A0DCBD4" w16cid:durableId="2107FB2F"/>
  <w16cid:commentId w16cid:paraId="36535DA8" w16cid:durableId="21053454"/>
  <w16cid:commentId w16cid:paraId="373CB5B9" w16cid:durableId="21053453"/>
  <w16cid:commentId w16cid:paraId="745FE86C" w16cid:durableId="210534C1"/>
  <w16cid:commentId w16cid:paraId="260CFCC5" w16cid:durableId="2107FA32"/>
  <w16cid:commentId w16cid:paraId="0115C4EF" w16cid:durableId="2107F8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A127C" w14:textId="77777777" w:rsidR="0079495D" w:rsidRDefault="0079495D" w:rsidP="00AC5373">
      <w:r>
        <w:separator/>
      </w:r>
    </w:p>
  </w:endnote>
  <w:endnote w:type="continuationSeparator" w:id="0">
    <w:p w14:paraId="60894CA4" w14:textId="77777777" w:rsidR="0079495D" w:rsidRDefault="0079495D" w:rsidP="00AC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101591"/>
      <w:docPartObj>
        <w:docPartGallery w:val="Page Numbers (Bottom of Page)"/>
        <w:docPartUnique/>
      </w:docPartObj>
    </w:sdtPr>
    <w:sdtEndPr>
      <w:rPr>
        <w:rStyle w:val="PageNumber"/>
      </w:rPr>
    </w:sdtEndPr>
    <w:sdtContent>
      <w:p w14:paraId="2F7BDAF3" w14:textId="27F1E915" w:rsidR="002C7F7F" w:rsidRDefault="002C7F7F" w:rsidP="001C08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2E22E" w14:textId="77777777" w:rsidR="002C7F7F" w:rsidRDefault="002C7F7F" w:rsidP="002C7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3437261"/>
      <w:docPartObj>
        <w:docPartGallery w:val="Page Numbers (Bottom of Page)"/>
        <w:docPartUnique/>
      </w:docPartObj>
    </w:sdtPr>
    <w:sdtEndPr>
      <w:rPr>
        <w:rStyle w:val="PageNumber"/>
        <w:rFonts w:ascii="Calibri" w:hAnsi="Calibri" w:cs="Calibri"/>
        <w:sz w:val="18"/>
        <w:szCs w:val="18"/>
      </w:rPr>
    </w:sdtEndPr>
    <w:sdtContent>
      <w:p w14:paraId="34621183" w14:textId="6CEACEF9" w:rsidR="002C7F7F" w:rsidRPr="002C7F7F" w:rsidRDefault="002C7F7F" w:rsidP="001C08D4">
        <w:pPr>
          <w:pStyle w:val="Footer"/>
          <w:framePr w:wrap="none" w:vAnchor="text" w:hAnchor="margin" w:xAlign="right" w:y="1"/>
          <w:rPr>
            <w:rStyle w:val="PageNumber"/>
            <w:rFonts w:ascii="Calibri" w:hAnsi="Calibri" w:cs="Calibri"/>
            <w:sz w:val="18"/>
            <w:szCs w:val="18"/>
          </w:rPr>
        </w:pPr>
        <w:r w:rsidRPr="002C7F7F">
          <w:rPr>
            <w:rStyle w:val="PageNumber"/>
            <w:rFonts w:ascii="Calibri" w:hAnsi="Calibri" w:cs="Calibri"/>
            <w:sz w:val="18"/>
            <w:szCs w:val="18"/>
          </w:rPr>
          <w:fldChar w:fldCharType="begin"/>
        </w:r>
        <w:r w:rsidRPr="002C7F7F">
          <w:rPr>
            <w:rStyle w:val="PageNumber"/>
            <w:rFonts w:ascii="Calibri" w:hAnsi="Calibri" w:cs="Calibri"/>
            <w:sz w:val="18"/>
            <w:szCs w:val="18"/>
          </w:rPr>
          <w:instrText xml:space="preserve"> PAGE </w:instrText>
        </w:r>
        <w:r w:rsidRPr="002C7F7F">
          <w:rPr>
            <w:rStyle w:val="PageNumber"/>
            <w:rFonts w:ascii="Calibri" w:hAnsi="Calibri" w:cs="Calibri"/>
            <w:sz w:val="18"/>
            <w:szCs w:val="18"/>
          </w:rPr>
          <w:fldChar w:fldCharType="separate"/>
        </w:r>
        <w:r w:rsidRPr="002C7F7F">
          <w:rPr>
            <w:rStyle w:val="PageNumber"/>
            <w:rFonts w:ascii="Calibri" w:hAnsi="Calibri" w:cs="Calibri"/>
            <w:noProof/>
            <w:sz w:val="18"/>
            <w:szCs w:val="18"/>
          </w:rPr>
          <w:t>1</w:t>
        </w:r>
        <w:r w:rsidRPr="002C7F7F">
          <w:rPr>
            <w:rStyle w:val="PageNumber"/>
            <w:rFonts w:ascii="Calibri" w:hAnsi="Calibri" w:cs="Calibri"/>
            <w:sz w:val="18"/>
            <w:szCs w:val="18"/>
          </w:rPr>
          <w:fldChar w:fldCharType="end"/>
        </w:r>
      </w:p>
    </w:sdtContent>
  </w:sdt>
  <w:p w14:paraId="2EB6C2F6" w14:textId="77777777" w:rsidR="002C7F7F" w:rsidRPr="002C7F7F" w:rsidRDefault="002C7F7F" w:rsidP="002C7F7F">
    <w:pPr>
      <w:pStyle w:val="Footer"/>
      <w:ind w:right="360"/>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8651D" w14:textId="77777777" w:rsidR="0079495D" w:rsidRDefault="0079495D" w:rsidP="00AC5373">
      <w:r>
        <w:separator/>
      </w:r>
    </w:p>
  </w:footnote>
  <w:footnote w:type="continuationSeparator" w:id="0">
    <w:p w14:paraId="0D18908A" w14:textId="77777777" w:rsidR="0079495D" w:rsidRDefault="0079495D" w:rsidP="00AC5373">
      <w:r>
        <w:continuationSeparator/>
      </w:r>
    </w:p>
  </w:footnote>
  <w:footnote w:id="1">
    <w:p w14:paraId="4263F2C4" w14:textId="76CA11E5" w:rsidR="00295911" w:rsidRPr="00295911" w:rsidRDefault="00295911">
      <w:pPr>
        <w:pStyle w:val="FootnoteText"/>
        <w:rPr>
          <w:lang w:val="en-US"/>
        </w:rPr>
      </w:pPr>
      <w:r>
        <w:rPr>
          <w:rStyle w:val="FootnoteReference"/>
        </w:rPr>
        <w:footnoteRef/>
      </w:r>
      <w:r>
        <w:t xml:space="preserve"> </w:t>
      </w:r>
      <w:r>
        <w:rPr>
          <w:lang w:val="en-US"/>
        </w:rPr>
        <w:t>Charter question a2</w:t>
      </w:r>
    </w:p>
  </w:footnote>
  <w:footnote w:id="2">
    <w:p w14:paraId="18E75F20" w14:textId="266F8719" w:rsidR="00295911" w:rsidRPr="00295911" w:rsidRDefault="00295911">
      <w:pPr>
        <w:pStyle w:val="FootnoteText"/>
        <w:rPr>
          <w:lang w:val="en-US"/>
        </w:rPr>
      </w:pPr>
      <w:r>
        <w:rPr>
          <w:rStyle w:val="FootnoteReference"/>
        </w:rPr>
        <w:footnoteRef/>
      </w:r>
      <w:r>
        <w:t xml:space="preserve"> </w:t>
      </w:r>
      <w:r>
        <w:rPr>
          <w:lang w:val="en-US"/>
        </w:rPr>
        <w:t>Charter question a3</w:t>
      </w:r>
    </w:p>
  </w:footnote>
  <w:footnote w:id="3">
    <w:p w14:paraId="606DFC8E" w14:textId="2D68D187" w:rsidR="00295911" w:rsidRPr="00295911" w:rsidRDefault="00295911">
      <w:pPr>
        <w:pStyle w:val="FootnoteText"/>
        <w:rPr>
          <w:lang w:val="en-US"/>
        </w:rPr>
      </w:pPr>
      <w:r>
        <w:rPr>
          <w:rStyle w:val="FootnoteReference"/>
        </w:rPr>
        <w:footnoteRef/>
      </w:r>
      <w:r>
        <w:t xml:space="preserve"> </w:t>
      </w:r>
      <w:r>
        <w:rPr>
          <w:lang w:val="en-US"/>
        </w:rPr>
        <w:t>Charter question a5 and a6</w:t>
      </w:r>
    </w:p>
  </w:footnote>
  <w:footnote w:id="4">
    <w:p w14:paraId="51D60478" w14:textId="4B60F744" w:rsidR="00295911" w:rsidRPr="00295911" w:rsidRDefault="00295911">
      <w:pPr>
        <w:pStyle w:val="FootnoteText"/>
        <w:rPr>
          <w:lang w:val="en-US"/>
        </w:rPr>
      </w:pPr>
      <w:r>
        <w:rPr>
          <w:rStyle w:val="FootnoteReference"/>
        </w:rPr>
        <w:footnoteRef/>
      </w:r>
      <w:r>
        <w:t xml:space="preserve"> </w:t>
      </w:r>
      <w:r>
        <w:rPr>
          <w:lang w:val="en-US"/>
        </w:rPr>
        <w:t>Charter question a1</w:t>
      </w:r>
    </w:p>
  </w:footnote>
  <w:footnote w:id="5">
    <w:p w14:paraId="22727CCA" w14:textId="4B16E20C" w:rsidR="00295911" w:rsidRPr="00295911" w:rsidRDefault="00295911">
      <w:pPr>
        <w:pStyle w:val="FootnoteText"/>
        <w:rPr>
          <w:lang w:val="en-US"/>
        </w:rPr>
      </w:pPr>
      <w:r>
        <w:rPr>
          <w:rStyle w:val="FootnoteReference"/>
        </w:rPr>
        <w:footnoteRef/>
      </w:r>
      <w:r>
        <w:t xml:space="preserve"> </w:t>
      </w:r>
      <w:r>
        <w:rPr>
          <w:lang w:val="en-US"/>
        </w:rPr>
        <w:t>Charter question a4</w:t>
      </w:r>
    </w:p>
  </w:footnote>
  <w:footnote w:id="6">
    <w:p w14:paraId="7A77F938" w14:textId="77777777" w:rsidR="00F35AED" w:rsidRPr="0061045E" w:rsidRDefault="00F35AED" w:rsidP="00F35AED">
      <w:pPr>
        <w:pStyle w:val="FootnoteText"/>
        <w:rPr>
          <w:lang w:val="en-US"/>
        </w:rPr>
      </w:pPr>
      <w:r>
        <w:rPr>
          <w:rStyle w:val="FootnoteReference"/>
        </w:rPr>
        <w:footnoteRef/>
      </w:r>
      <w:r>
        <w:t xml:space="preserve"> </w:t>
      </w:r>
      <w:r>
        <w:rPr>
          <w:lang w:val="en-US"/>
        </w:rPr>
        <w:t>Charter questions c1-7</w:t>
      </w:r>
    </w:p>
  </w:footnote>
  <w:footnote w:id="7">
    <w:p w14:paraId="78F43074" w14:textId="50733C91" w:rsidR="0061045E" w:rsidRPr="0061045E" w:rsidRDefault="0061045E">
      <w:pPr>
        <w:pStyle w:val="FootnoteText"/>
        <w:rPr>
          <w:lang w:val="en-US"/>
        </w:rPr>
      </w:pPr>
      <w:r>
        <w:rPr>
          <w:rStyle w:val="FootnoteReference"/>
        </w:rPr>
        <w:footnoteRef/>
      </w:r>
      <w:r>
        <w:t xml:space="preserve"> </w:t>
      </w:r>
      <w:r>
        <w:rPr>
          <w:lang w:val="en-US"/>
        </w:rPr>
        <w:t>Charter questions b1, b2 and b3</w:t>
      </w:r>
    </w:p>
  </w:footnote>
  <w:footnote w:id="8">
    <w:p w14:paraId="0613C48E" w14:textId="77777777" w:rsidR="00F35AED" w:rsidRPr="0061045E" w:rsidRDefault="00F35AED" w:rsidP="00F35AED">
      <w:pPr>
        <w:pStyle w:val="FootnoteText"/>
        <w:rPr>
          <w:lang w:val="en-US"/>
        </w:rPr>
      </w:pPr>
      <w:r>
        <w:rPr>
          <w:rStyle w:val="FootnoteReference"/>
        </w:rPr>
        <w:footnoteRef/>
      </w:r>
      <w:r>
        <w:t xml:space="preserve"> </w:t>
      </w:r>
      <w:r>
        <w:rPr>
          <w:lang w:val="en-US"/>
        </w:rPr>
        <w:t>Charter questions c1-7</w:t>
      </w:r>
    </w:p>
  </w:footnote>
  <w:footnote w:id="9">
    <w:p w14:paraId="1E64721F" w14:textId="77777777" w:rsidR="00F35AED" w:rsidRPr="0061045E" w:rsidRDefault="00F35AED" w:rsidP="00F35AED">
      <w:pPr>
        <w:pStyle w:val="FootnoteText"/>
        <w:rPr>
          <w:lang w:val="en-US"/>
        </w:rPr>
      </w:pPr>
      <w:r>
        <w:rPr>
          <w:rStyle w:val="FootnoteReference"/>
        </w:rPr>
        <w:footnoteRef/>
      </w:r>
      <w:r>
        <w:t xml:space="preserve"> </w:t>
      </w:r>
      <w:r>
        <w:rPr>
          <w:lang w:val="en-US"/>
        </w:rPr>
        <w:t>Charter questions b1, b2 and b3</w:t>
      </w:r>
    </w:p>
  </w:footnote>
  <w:footnote w:id="10">
    <w:sdt>
      <w:sdtPr>
        <w:rPr>
          <w:sz w:val="18"/>
          <w:szCs w:val="18"/>
        </w:rPr>
        <w:tag w:val="goog_rdk_152"/>
        <w:id w:val="192737436"/>
      </w:sdtPr>
      <w:sdtEndPr/>
      <w:sdtContent>
        <w:p w14:paraId="7B84B3C7" w14:textId="77777777" w:rsidR="00F35AED" w:rsidRPr="00FD6370" w:rsidRDefault="00F35AED" w:rsidP="00F35AED">
          <w:pPr>
            <w:rPr>
              <w:rFonts w:ascii="Calibri" w:eastAsia="Calibri" w:hAnsi="Calibri" w:cs="Calibri"/>
              <w:sz w:val="18"/>
              <w:szCs w:val="18"/>
            </w:rPr>
          </w:pPr>
          <w:r w:rsidRPr="00FD6370">
            <w:rPr>
              <w:rStyle w:val="FootnoteReference"/>
              <w:rFonts w:eastAsiaTheme="majorEastAsia"/>
              <w:sz w:val="18"/>
              <w:szCs w:val="18"/>
            </w:rPr>
            <w:footnoteRef/>
          </w:r>
          <w:r w:rsidRPr="00FD6370">
            <w:rPr>
              <w:rFonts w:ascii="Calibri" w:eastAsia="Calibri" w:hAnsi="Calibri" w:cs="Calibri"/>
              <w:sz w:val="18"/>
              <w:szCs w:val="18"/>
            </w:rPr>
            <w:t xml:space="preserve"> As described in section 3.3.6 of the Registrar Accreditation Agreement</w:t>
          </w:r>
        </w:p>
      </w:sdtContent>
    </w:sdt>
  </w:footnote>
  <w:footnote w:id="11">
    <w:p w14:paraId="2CF1CD82" w14:textId="77777777" w:rsidR="00F35AED" w:rsidRPr="00791C55" w:rsidRDefault="00F35AED" w:rsidP="00F35AED">
      <w:pPr>
        <w:pStyle w:val="FootnoteText"/>
        <w:rPr>
          <w:sz w:val="18"/>
          <w:szCs w:val="18"/>
          <w:lang w:val="en-US"/>
        </w:rPr>
      </w:pPr>
      <w:r w:rsidRPr="00FD6370">
        <w:rPr>
          <w:rStyle w:val="FootnoteReference"/>
          <w:sz w:val="18"/>
          <w:szCs w:val="18"/>
        </w:rPr>
        <w:footnoteRef/>
      </w:r>
      <w:r w:rsidRPr="00FD6370">
        <w:rPr>
          <w:sz w:val="18"/>
          <w:szCs w:val="18"/>
        </w:rPr>
        <w:t xml:space="preserve"> </w:t>
      </w:r>
      <w:r w:rsidRPr="00FD6370">
        <w:rPr>
          <w:sz w:val="18"/>
          <w:szCs w:val="18"/>
          <w:lang w:val="en-US"/>
        </w:rPr>
        <w:t>As defined in section 3.3.6 of the Registrar Accreditation Agreement.</w:t>
      </w:r>
      <w:r>
        <w:rPr>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FAA"/>
    <w:multiLevelType w:val="hybridMultilevel"/>
    <w:tmpl w:val="530C46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2004C"/>
    <w:multiLevelType w:val="multilevel"/>
    <w:tmpl w:val="CA522DEA"/>
    <w:lvl w:ilvl="0">
      <w:start w:val="1"/>
      <w:numFmt w:val="lowerLetter"/>
      <w:lvlText w:val="Preliminary Recommendation %1)"/>
      <w:lvlJc w:val="left"/>
      <w:pPr>
        <w:ind w:left="360" w:hanging="360"/>
      </w:pPr>
      <w:rPr>
        <w:rFonts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280B12"/>
    <w:multiLevelType w:val="multilevel"/>
    <w:tmpl w:val="C7D4B0D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E618C4"/>
    <w:multiLevelType w:val="multilevel"/>
    <w:tmpl w:val="7898D07C"/>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4"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 w15:restartNumberingAfterBreak="0">
    <w:nsid w:val="1DA02C68"/>
    <w:multiLevelType w:val="hybridMultilevel"/>
    <w:tmpl w:val="5816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E64EA"/>
    <w:multiLevelType w:val="hybridMultilevel"/>
    <w:tmpl w:val="534E2BA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243F0"/>
    <w:multiLevelType w:val="multilevel"/>
    <w:tmpl w:val="7D524426"/>
    <w:lvl w:ilvl="0">
      <w:start w:val="1"/>
      <w:numFmt w:val="decimal"/>
      <w:lvlText w:val="%1."/>
      <w:lvlJc w:val="left"/>
      <w:pPr>
        <w:ind w:left="72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58D50E6"/>
    <w:multiLevelType w:val="multilevel"/>
    <w:tmpl w:val="8FC030BA"/>
    <w:lvl w:ilvl="0">
      <w:start w:val="1"/>
      <w:numFmt w:val="bullet"/>
      <w:lvlText w:val=""/>
      <w:lvlJc w:val="left"/>
      <w:pPr>
        <w:ind w:left="720" w:hanging="360"/>
      </w:pPr>
      <w:rPr>
        <w:rFonts w:ascii="Symbol" w:hAnsi="Symbo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EB68BA"/>
    <w:multiLevelType w:val="hybridMultilevel"/>
    <w:tmpl w:val="7E2CC054"/>
    <w:lvl w:ilvl="0" w:tplc="FE64FE0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D0BE8"/>
    <w:multiLevelType w:val="multilevel"/>
    <w:tmpl w:val="4F5C090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782242A"/>
    <w:multiLevelType w:val="multilevel"/>
    <w:tmpl w:val="479CB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F03871"/>
    <w:multiLevelType w:val="hybridMultilevel"/>
    <w:tmpl w:val="2FE4B14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5028C"/>
    <w:multiLevelType w:val="hybridMultilevel"/>
    <w:tmpl w:val="ECDA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6624E"/>
    <w:multiLevelType w:val="hybridMultilevel"/>
    <w:tmpl w:val="346428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735607"/>
    <w:multiLevelType w:val="hybridMultilevel"/>
    <w:tmpl w:val="33C21C7C"/>
    <w:lvl w:ilvl="0" w:tplc="22487C5E">
      <w:start w:val="1"/>
      <w:numFmt w:val="lowerRoman"/>
      <w:lvlText w:val="Implementation Guidance #%1."/>
      <w:lvlJc w:val="right"/>
      <w:pPr>
        <w:ind w:left="3240" w:hanging="360"/>
      </w:pPr>
      <w:rPr>
        <w:rFonts w:hint="default"/>
        <w:b/>
        <w:bCs/>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4D922DDD"/>
    <w:multiLevelType w:val="hybridMultilevel"/>
    <w:tmpl w:val="7738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06821"/>
    <w:multiLevelType w:val="multilevel"/>
    <w:tmpl w:val="13A02CC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8E4C18"/>
    <w:multiLevelType w:val="hybridMultilevel"/>
    <w:tmpl w:val="5930E77A"/>
    <w:lvl w:ilvl="0" w:tplc="B15EFCE8">
      <w:start w:val="1"/>
      <w:numFmt w:val="decimal"/>
      <w:lvlText w:val="Policy Principle #%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9B742F"/>
    <w:multiLevelType w:val="hybridMultilevel"/>
    <w:tmpl w:val="DC2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D847B4"/>
    <w:multiLevelType w:val="hybridMultilevel"/>
    <w:tmpl w:val="14A2E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344E7F"/>
    <w:multiLevelType w:val="hybridMultilevel"/>
    <w:tmpl w:val="46C0B5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0029B"/>
    <w:multiLevelType w:val="hybridMultilevel"/>
    <w:tmpl w:val="CFDE14A0"/>
    <w:lvl w:ilvl="0" w:tplc="04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60926DF"/>
    <w:multiLevelType w:val="hybridMultilevel"/>
    <w:tmpl w:val="02605402"/>
    <w:lvl w:ilvl="0" w:tplc="47201640">
      <w:start w:val="1"/>
      <w:numFmt w:val="lowerLetter"/>
      <w:lvlText w:val="Building Block %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EE719E"/>
    <w:multiLevelType w:val="hybridMultilevel"/>
    <w:tmpl w:val="2EC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52BF8"/>
    <w:multiLevelType w:val="hybridMultilevel"/>
    <w:tmpl w:val="146C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012DE"/>
    <w:multiLevelType w:val="multilevel"/>
    <w:tmpl w:val="E32A4DA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A90163"/>
    <w:multiLevelType w:val="multilevel"/>
    <w:tmpl w:val="BF884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8A470EB"/>
    <w:multiLevelType w:val="hybridMultilevel"/>
    <w:tmpl w:val="8E1A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87080"/>
    <w:multiLevelType w:val="multilevel"/>
    <w:tmpl w:val="4D4E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8"/>
  </w:num>
  <w:num w:numId="4">
    <w:abstractNumId w:val="23"/>
  </w:num>
  <w:num w:numId="5">
    <w:abstractNumId w:val="5"/>
  </w:num>
  <w:num w:numId="6">
    <w:abstractNumId w:val="15"/>
  </w:num>
  <w:num w:numId="7">
    <w:abstractNumId w:val="25"/>
  </w:num>
  <w:num w:numId="8">
    <w:abstractNumId w:val="16"/>
  </w:num>
  <w:num w:numId="9">
    <w:abstractNumId w:val="11"/>
  </w:num>
  <w:num w:numId="10">
    <w:abstractNumId w:val="29"/>
  </w:num>
  <w:num w:numId="11">
    <w:abstractNumId w:val="22"/>
  </w:num>
  <w:num w:numId="12">
    <w:abstractNumId w:val="24"/>
  </w:num>
  <w:num w:numId="13">
    <w:abstractNumId w:val="28"/>
  </w:num>
  <w:num w:numId="14">
    <w:abstractNumId w:val="7"/>
  </w:num>
  <w:num w:numId="15">
    <w:abstractNumId w:val="27"/>
  </w:num>
  <w:num w:numId="16">
    <w:abstractNumId w:val="10"/>
  </w:num>
  <w:num w:numId="17">
    <w:abstractNumId w:val="19"/>
  </w:num>
  <w:num w:numId="18">
    <w:abstractNumId w:val="8"/>
  </w:num>
  <w:num w:numId="19">
    <w:abstractNumId w:val="20"/>
  </w:num>
  <w:num w:numId="20">
    <w:abstractNumId w:val="0"/>
  </w:num>
  <w:num w:numId="21">
    <w:abstractNumId w:val="14"/>
  </w:num>
  <w:num w:numId="22">
    <w:abstractNumId w:val="21"/>
  </w:num>
  <w:num w:numId="23">
    <w:abstractNumId w:val="6"/>
  </w:num>
  <w:num w:numId="24">
    <w:abstractNumId w:val="12"/>
  </w:num>
  <w:num w:numId="25">
    <w:abstractNumId w:val="26"/>
  </w:num>
  <w:num w:numId="26">
    <w:abstractNumId w:val="2"/>
  </w:num>
  <w:num w:numId="27">
    <w:abstractNumId w:val="17"/>
  </w:num>
  <w:num w:numId="28">
    <w:abstractNumId w:val="9"/>
  </w:num>
  <w:num w:numId="29">
    <w:abstractNumId w:val="1"/>
  </w:num>
  <w:num w:numId="3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ka Konings">
    <w15:presenceInfo w15:providerId="AD" w15:userId="S::marika.konings@icann.org::392389b4-d8b7-4837-8e82-9d31ff84a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73"/>
    <w:rsid w:val="00051664"/>
    <w:rsid w:val="00087838"/>
    <w:rsid w:val="00092A95"/>
    <w:rsid w:val="000B7A30"/>
    <w:rsid w:val="000C09C6"/>
    <w:rsid w:val="000E4EC9"/>
    <w:rsid w:val="000E731F"/>
    <w:rsid w:val="000F4E71"/>
    <w:rsid w:val="00126A0F"/>
    <w:rsid w:val="00150FFF"/>
    <w:rsid w:val="001717C8"/>
    <w:rsid w:val="001A6545"/>
    <w:rsid w:val="001C2C00"/>
    <w:rsid w:val="001F2AA0"/>
    <w:rsid w:val="001F55EF"/>
    <w:rsid w:val="00213C20"/>
    <w:rsid w:val="00246C3B"/>
    <w:rsid w:val="00295911"/>
    <w:rsid w:val="002A2B0F"/>
    <w:rsid w:val="002C7F7F"/>
    <w:rsid w:val="00385D74"/>
    <w:rsid w:val="003F1668"/>
    <w:rsid w:val="00433BAE"/>
    <w:rsid w:val="0045074A"/>
    <w:rsid w:val="00460AEB"/>
    <w:rsid w:val="00483649"/>
    <w:rsid w:val="00485B59"/>
    <w:rsid w:val="004A50B4"/>
    <w:rsid w:val="004C2B83"/>
    <w:rsid w:val="00506887"/>
    <w:rsid w:val="0058517C"/>
    <w:rsid w:val="00585AD1"/>
    <w:rsid w:val="005B0B3E"/>
    <w:rsid w:val="005E152B"/>
    <w:rsid w:val="005E720C"/>
    <w:rsid w:val="005F102F"/>
    <w:rsid w:val="0061045E"/>
    <w:rsid w:val="006B40CD"/>
    <w:rsid w:val="006C5184"/>
    <w:rsid w:val="006E21FB"/>
    <w:rsid w:val="0079495D"/>
    <w:rsid w:val="007C5954"/>
    <w:rsid w:val="007D5980"/>
    <w:rsid w:val="007F1FED"/>
    <w:rsid w:val="00802BE1"/>
    <w:rsid w:val="00803CFD"/>
    <w:rsid w:val="008363A6"/>
    <w:rsid w:val="00877E63"/>
    <w:rsid w:val="008E6C43"/>
    <w:rsid w:val="0091744A"/>
    <w:rsid w:val="00977ED9"/>
    <w:rsid w:val="00A634E8"/>
    <w:rsid w:val="00A96BE0"/>
    <w:rsid w:val="00AC5373"/>
    <w:rsid w:val="00AF735B"/>
    <w:rsid w:val="00B22299"/>
    <w:rsid w:val="00B34569"/>
    <w:rsid w:val="00B9576A"/>
    <w:rsid w:val="00BA50EE"/>
    <w:rsid w:val="00BC5971"/>
    <w:rsid w:val="00BD5BED"/>
    <w:rsid w:val="00BE5129"/>
    <w:rsid w:val="00BE7C4D"/>
    <w:rsid w:val="00C07812"/>
    <w:rsid w:val="00C664F1"/>
    <w:rsid w:val="00D01C98"/>
    <w:rsid w:val="00DE7868"/>
    <w:rsid w:val="00DF4A29"/>
    <w:rsid w:val="00E53B3D"/>
    <w:rsid w:val="00EC2078"/>
    <w:rsid w:val="00EF35AF"/>
    <w:rsid w:val="00EF7D7E"/>
    <w:rsid w:val="00F10689"/>
    <w:rsid w:val="00F35AED"/>
    <w:rsid w:val="00F500E9"/>
    <w:rsid w:val="00F53C3E"/>
    <w:rsid w:val="00F76A69"/>
    <w:rsid w:val="00FD6370"/>
    <w:rsid w:val="00FD6854"/>
    <w:rsid w:val="00FE3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E033"/>
  <w15:chartTrackingRefBased/>
  <w15:docId w15:val="{1AC13E8F-0B9F-9F43-8615-B53DD20B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CF"/>
    <w:rPr>
      <w:rFonts w:ascii="Times New Roman" w:eastAsia="Times New Roman" w:hAnsi="Times New Roman" w:cs="Times New Roman"/>
    </w:rPr>
  </w:style>
  <w:style w:type="paragraph" w:styleId="Heading1">
    <w:name w:val="heading 1"/>
    <w:basedOn w:val="Normal"/>
    <w:next w:val="Normal"/>
    <w:link w:val="Heading1Char"/>
    <w:uiPriority w:val="9"/>
    <w:qFormat/>
    <w:rsid w:val="00AC5373"/>
    <w:pPr>
      <w:keepNext/>
      <w:numPr>
        <w:numId w:val="1"/>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AC5373"/>
    <w:pPr>
      <w:keepNext/>
      <w:keepLines/>
      <w:numPr>
        <w:ilvl w:val="1"/>
        <w:numId w:val="1"/>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AC5373"/>
    <w:pPr>
      <w:keepNext/>
      <w:keepLines/>
      <w:numPr>
        <w:ilvl w:val="2"/>
        <w:numId w:val="1"/>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AC5373"/>
    <w:pPr>
      <w:keepNext/>
      <w:keepLines/>
      <w:numPr>
        <w:ilvl w:val="3"/>
        <w:numId w:val="1"/>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AC5373"/>
    <w:pPr>
      <w:keepNext/>
      <w:keepLines/>
      <w:numPr>
        <w:ilvl w:val="4"/>
        <w:numId w:val="1"/>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AC5373"/>
    <w:pPr>
      <w:keepNext/>
      <w:keepLines/>
      <w:numPr>
        <w:ilvl w:val="5"/>
        <w:numId w:val="1"/>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AC5373"/>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AC537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537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373"/>
    <w:rPr>
      <w:rFonts w:ascii="Source Sans Pro" w:eastAsia="Times New Roman"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AC5373"/>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AC5373"/>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AC5373"/>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AC5373"/>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AC5373"/>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AC537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C53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537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C5373"/>
    <w:pPr>
      <w:ind w:left="720"/>
      <w:contextualSpacing/>
    </w:pPr>
    <w:rPr>
      <w:rFonts w:ascii="Calibri" w:hAnsi="Calibri" w:cstheme="minorBidi"/>
      <w:sz w:val="22"/>
    </w:rPr>
  </w:style>
  <w:style w:type="character" w:styleId="FootnoteReference">
    <w:name w:val="footnote reference"/>
    <w:basedOn w:val="DefaultParagraphFont"/>
    <w:uiPriority w:val="99"/>
    <w:unhideWhenUsed/>
    <w:qFormat/>
    <w:rsid w:val="00AC5373"/>
    <w:rPr>
      <w:rFonts w:ascii="Calibri" w:hAnsi="Calibri"/>
      <w:vertAlign w:val="superscript"/>
    </w:rPr>
  </w:style>
  <w:style w:type="character" w:styleId="CommentReference">
    <w:name w:val="annotation reference"/>
    <w:basedOn w:val="DefaultParagraphFont"/>
    <w:uiPriority w:val="99"/>
    <w:semiHidden/>
    <w:unhideWhenUsed/>
    <w:rsid w:val="00AC5373"/>
    <w:rPr>
      <w:sz w:val="16"/>
      <w:szCs w:val="16"/>
    </w:rPr>
  </w:style>
  <w:style w:type="paragraph" w:styleId="CommentText">
    <w:name w:val="annotation text"/>
    <w:basedOn w:val="Normal"/>
    <w:link w:val="CommentTextChar"/>
    <w:uiPriority w:val="99"/>
    <w:unhideWhenUsed/>
    <w:rsid w:val="00AC5373"/>
    <w:rPr>
      <w:rFonts w:ascii="Calibri" w:hAnsi="Calibri" w:cstheme="minorBidi"/>
      <w:sz w:val="20"/>
      <w:szCs w:val="20"/>
    </w:rPr>
  </w:style>
  <w:style w:type="character" w:customStyle="1" w:styleId="CommentTextChar">
    <w:name w:val="Comment Text Char"/>
    <w:basedOn w:val="DefaultParagraphFont"/>
    <w:link w:val="CommentText"/>
    <w:uiPriority w:val="99"/>
    <w:rsid w:val="00AC5373"/>
    <w:rPr>
      <w:rFonts w:ascii="Calibri" w:eastAsia="Times New Roman" w:hAnsi="Calibri"/>
      <w:sz w:val="20"/>
      <w:szCs w:val="20"/>
    </w:rPr>
  </w:style>
  <w:style w:type="paragraph" w:customStyle="1" w:styleId="Default">
    <w:name w:val="Default"/>
    <w:rsid w:val="00AC5373"/>
    <w:pPr>
      <w:autoSpaceDE w:val="0"/>
      <w:autoSpaceDN w:val="0"/>
      <w:adjustRightInd w:val="0"/>
    </w:pPr>
    <w:rPr>
      <w:rFonts w:ascii="Calibri" w:eastAsiaTheme="minorEastAsia" w:hAnsi="Calibri" w:cs="Calibri"/>
      <w:color w:val="000000"/>
    </w:rPr>
  </w:style>
  <w:style w:type="paragraph" w:styleId="BalloonText">
    <w:name w:val="Balloon Text"/>
    <w:basedOn w:val="Normal"/>
    <w:link w:val="BalloonTextChar"/>
    <w:uiPriority w:val="99"/>
    <w:semiHidden/>
    <w:unhideWhenUsed/>
    <w:rsid w:val="00AC5373"/>
    <w:rPr>
      <w:sz w:val="18"/>
      <w:szCs w:val="18"/>
    </w:rPr>
  </w:style>
  <w:style w:type="character" w:customStyle="1" w:styleId="BalloonTextChar">
    <w:name w:val="Balloon Text Char"/>
    <w:basedOn w:val="DefaultParagraphFont"/>
    <w:link w:val="BalloonText"/>
    <w:uiPriority w:val="99"/>
    <w:semiHidden/>
    <w:rsid w:val="00AC537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5074A"/>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5074A"/>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2C7F7F"/>
    <w:pPr>
      <w:tabs>
        <w:tab w:val="center" w:pos="4680"/>
        <w:tab w:val="right" w:pos="9360"/>
      </w:tabs>
    </w:pPr>
  </w:style>
  <w:style w:type="character" w:customStyle="1" w:styleId="FooterChar">
    <w:name w:val="Footer Char"/>
    <w:basedOn w:val="DefaultParagraphFont"/>
    <w:link w:val="Footer"/>
    <w:uiPriority w:val="99"/>
    <w:rsid w:val="002C7F7F"/>
    <w:rPr>
      <w:rFonts w:ascii="Times New Roman" w:eastAsia="Times New Roman" w:hAnsi="Times New Roman" w:cs="Times New Roman"/>
    </w:rPr>
  </w:style>
  <w:style w:type="character" w:styleId="PageNumber">
    <w:name w:val="page number"/>
    <w:basedOn w:val="DefaultParagraphFont"/>
    <w:uiPriority w:val="99"/>
    <w:semiHidden/>
    <w:unhideWhenUsed/>
    <w:rsid w:val="002C7F7F"/>
  </w:style>
  <w:style w:type="paragraph" w:styleId="Header">
    <w:name w:val="header"/>
    <w:basedOn w:val="Normal"/>
    <w:link w:val="HeaderChar"/>
    <w:uiPriority w:val="99"/>
    <w:unhideWhenUsed/>
    <w:rsid w:val="002C7F7F"/>
    <w:pPr>
      <w:tabs>
        <w:tab w:val="center" w:pos="4680"/>
        <w:tab w:val="right" w:pos="9360"/>
      </w:tabs>
    </w:pPr>
  </w:style>
  <w:style w:type="character" w:customStyle="1" w:styleId="HeaderChar">
    <w:name w:val="Header Char"/>
    <w:basedOn w:val="DefaultParagraphFont"/>
    <w:link w:val="Header"/>
    <w:uiPriority w:val="99"/>
    <w:rsid w:val="002C7F7F"/>
    <w:rPr>
      <w:rFonts w:ascii="Times New Roman" w:eastAsia="Times New Roman" w:hAnsi="Times New Roman" w:cs="Times New Roman"/>
    </w:rPr>
  </w:style>
  <w:style w:type="paragraph" w:styleId="NormalWeb">
    <w:name w:val="Normal (Web)"/>
    <w:basedOn w:val="Normal"/>
    <w:uiPriority w:val="99"/>
    <w:unhideWhenUsed/>
    <w:rsid w:val="00F500E9"/>
    <w:pPr>
      <w:spacing w:before="100" w:beforeAutospacing="1" w:after="100" w:afterAutospacing="1"/>
    </w:pPr>
  </w:style>
  <w:style w:type="paragraph" w:styleId="FootnoteText">
    <w:name w:val="footnote text"/>
    <w:basedOn w:val="Normal"/>
    <w:link w:val="FootnoteTextChar"/>
    <w:uiPriority w:val="99"/>
    <w:semiHidden/>
    <w:unhideWhenUsed/>
    <w:rsid w:val="00F500E9"/>
    <w:pPr>
      <w:jc w:val="both"/>
    </w:pPr>
    <w:rPr>
      <w:rFonts w:asciiTheme="minorHAnsi" w:eastAsiaTheme="minorHAnsi" w:hAnsiTheme="minorHAnsi" w:cstheme="minorBidi"/>
      <w:sz w:val="20"/>
      <w:szCs w:val="20"/>
      <w:lang w:val="de-DE"/>
    </w:rPr>
  </w:style>
  <w:style w:type="character" w:customStyle="1" w:styleId="FootnoteTextChar">
    <w:name w:val="Footnote Text Char"/>
    <w:basedOn w:val="DefaultParagraphFont"/>
    <w:link w:val="FootnoteText"/>
    <w:uiPriority w:val="99"/>
    <w:semiHidden/>
    <w:rsid w:val="00F500E9"/>
    <w:rPr>
      <w:sz w:val="20"/>
      <w:szCs w:val="20"/>
      <w:lang w:val="de-DE"/>
    </w:rPr>
  </w:style>
  <w:style w:type="character" w:styleId="Hyperlink">
    <w:name w:val="Hyperlink"/>
    <w:basedOn w:val="DefaultParagraphFont"/>
    <w:uiPriority w:val="99"/>
    <w:unhideWhenUsed/>
    <w:rsid w:val="00C07812"/>
    <w:rPr>
      <w:color w:val="0563C1" w:themeColor="hyperlink"/>
      <w:u w:val="single"/>
    </w:rPr>
  </w:style>
  <w:style w:type="character" w:styleId="UnresolvedMention">
    <w:name w:val="Unresolved Mention"/>
    <w:basedOn w:val="DefaultParagraphFont"/>
    <w:uiPriority w:val="99"/>
    <w:semiHidden/>
    <w:unhideWhenUsed/>
    <w:rsid w:val="00C07812"/>
    <w:rPr>
      <w:color w:val="605E5C"/>
      <w:shd w:val="clear" w:color="auto" w:fill="E1DFDD"/>
    </w:rPr>
  </w:style>
  <w:style w:type="character" w:customStyle="1" w:styleId="apple-converted-space">
    <w:name w:val="apple-converted-space"/>
    <w:basedOn w:val="DefaultParagraphFont"/>
    <w:rsid w:val="00BC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871513">
      <w:bodyDiv w:val="1"/>
      <w:marLeft w:val="0"/>
      <w:marRight w:val="0"/>
      <w:marTop w:val="0"/>
      <w:marBottom w:val="0"/>
      <w:divBdr>
        <w:top w:val="none" w:sz="0" w:space="0" w:color="auto"/>
        <w:left w:val="none" w:sz="0" w:space="0" w:color="auto"/>
        <w:bottom w:val="none" w:sz="0" w:space="0" w:color="auto"/>
        <w:right w:val="none" w:sz="0" w:space="0" w:color="auto"/>
      </w:divBdr>
    </w:div>
    <w:div w:id="1823235510">
      <w:bodyDiv w:val="1"/>
      <w:marLeft w:val="0"/>
      <w:marRight w:val="0"/>
      <w:marTop w:val="0"/>
      <w:marBottom w:val="0"/>
      <w:divBdr>
        <w:top w:val="none" w:sz="0" w:space="0" w:color="auto"/>
        <w:left w:val="none" w:sz="0" w:space="0" w:color="auto"/>
        <w:bottom w:val="none" w:sz="0" w:space="0" w:color="auto"/>
        <w:right w:val="none" w:sz="0" w:space="0" w:color="auto"/>
      </w:divBdr>
      <w:divsChild>
        <w:div w:id="1518694681">
          <w:marLeft w:val="0"/>
          <w:marRight w:val="0"/>
          <w:marTop w:val="0"/>
          <w:marBottom w:val="0"/>
          <w:divBdr>
            <w:top w:val="none" w:sz="0" w:space="0" w:color="auto"/>
            <w:left w:val="none" w:sz="0" w:space="0" w:color="auto"/>
            <w:bottom w:val="none" w:sz="0" w:space="0" w:color="auto"/>
            <w:right w:val="none" w:sz="0" w:space="0" w:color="auto"/>
          </w:divBdr>
          <w:divsChild>
            <w:div w:id="1836454075">
              <w:marLeft w:val="0"/>
              <w:marRight w:val="0"/>
              <w:marTop w:val="0"/>
              <w:marBottom w:val="0"/>
              <w:divBdr>
                <w:top w:val="none" w:sz="0" w:space="0" w:color="auto"/>
                <w:left w:val="none" w:sz="0" w:space="0" w:color="auto"/>
                <w:bottom w:val="none" w:sz="0" w:space="0" w:color="auto"/>
                <w:right w:val="none" w:sz="0" w:space="0" w:color="auto"/>
              </w:divBdr>
              <w:divsChild>
                <w:div w:id="551311983">
                  <w:marLeft w:val="0"/>
                  <w:marRight w:val="0"/>
                  <w:marTop w:val="0"/>
                  <w:marBottom w:val="0"/>
                  <w:divBdr>
                    <w:top w:val="none" w:sz="0" w:space="0" w:color="auto"/>
                    <w:left w:val="none" w:sz="0" w:space="0" w:color="auto"/>
                    <w:bottom w:val="none" w:sz="0" w:space="0" w:color="auto"/>
                    <w:right w:val="none" w:sz="0" w:space="0" w:color="auto"/>
                  </w:divBdr>
                  <w:divsChild>
                    <w:div w:id="15762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cann.org/en/system/files/files/technical-model-access-non-public-registration-data-30apr19-en.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ommunity.icann.org/x/-KCjBg" TargetMode="Externa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3</cp:revision>
  <dcterms:created xsi:type="dcterms:W3CDTF">2019-08-27T15:24:00Z</dcterms:created>
  <dcterms:modified xsi:type="dcterms:W3CDTF">2019-08-27T15:37:00Z</dcterms:modified>
</cp:coreProperties>
</file>