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09" w:rsidRDefault="000322D8">
      <w:r>
        <w:t>Dear All,</w:t>
      </w:r>
    </w:p>
    <w:p w:rsidR="000322D8" w:rsidRDefault="000322D8"/>
    <w:p w:rsidR="000322D8" w:rsidRDefault="000322D8">
      <w:r>
        <w:t>I hope everyone had a restful break.</w:t>
      </w:r>
    </w:p>
    <w:p w:rsidR="000322D8" w:rsidRDefault="000322D8"/>
    <w:p w:rsidR="00934DF7" w:rsidRDefault="000322D8">
      <w:r>
        <w:t xml:space="preserve">As you may have seen, we received </w:t>
      </w:r>
      <w:r w:rsidR="00281F77">
        <w:t xml:space="preserve">43 </w:t>
      </w:r>
      <w:r>
        <w:t xml:space="preserve">unique public comment responses to the Initial Report. </w:t>
      </w:r>
      <w:r w:rsidR="00180633">
        <w:t>The Support Staff organize</w:t>
      </w:r>
      <w:r w:rsidR="00F301FB">
        <w:t>d</w:t>
      </w:r>
      <w:r w:rsidR="00180633">
        <w:t xml:space="preserve"> </w:t>
      </w:r>
      <w:r w:rsidR="00F301FB">
        <w:t xml:space="preserve">the </w:t>
      </w:r>
      <w:r w:rsidR="00180633">
        <w:t xml:space="preserve">submitted comments </w:t>
      </w:r>
      <w:r w:rsidR="00585911">
        <w:t>using</w:t>
      </w:r>
      <w:r w:rsidR="00180633">
        <w:t xml:space="preserve"> the </w:t>
      </w:r>
      <w:hyperlink r:id="rId5" w:history="1">
        <w:r w:rsidR="00180633" w:rsidRPr="00B208E4">
          <w:rPr>
            <w:rStyle w:val="Hyperlink"/>
          </w:rPr>
          <w:t>GNSO Public Comment Review Tool (PCRT)</w:t>
        </w:r>
      </w:hyperlink>
      <w:r w:rsidR="00281F77">
        <w:t xml:space="preserve">, the standard tool used </w:t>
      </w:r>
      <w:r w:rsidR="00F301FB">
        <w:t xml:space="preserve">across </w:t>
      </w:r>
      <w:r w:rsidR="00281F77">
        <w:t xml:space="preserve">all </w:t>
      </w:r>
      <w:r w:rsidR="00F301FB">
        <w:t xml:space="preserve">policy development </w:t>
      </w:r>
      <w:r w:rsidR="00281F77">
        <w:t>working groups</w:t>
      </w:r>
      <w:r w:rsidR="00180633">
        <w:t xml:space="preserve">. </w:t>
      </w:r>
    </w:p>
    <w:p w:rsidR="00934DF7" w:rsidRDefault="00934DF7"/>
    <w:p w:rsidR="00BD7612" w:rsidRDefault="00B40453" w:rsidP="00BA6CF0">
      <w:pPr>
        <w:ind w:left="720"/>
      </w:pPr>
      <w:r>
        <w:t>C</w:t>
      </w:r>
      <w:r w:rsidR="00DC3386">
        <w:t xml:space="preserve">omments </w:t>
      </w:r>
      <w:r>
        <w:t>can also be</w:t>
      </w:r>
      <w:r w:rsidR="00DC3386">
        <w:t xml:space="preserve"> </w:t>
      </w:r>
      <w:r w:rsidR="00DB4118">
        <w:t>viewed</w:t>
      </w:r>
      <w:r w:rsidR="00DC3386">
        <w:t xml:space="preserve"> via</w:t>
      </w:r>
      <w:r w:rsidR="00B208E4">
        <w:t xml:space="preserve"> the </w:t>
      </w:r>
      <w:r w:rsidR="00B208E4" w:rsidRPr="00BA6CF0">
        <w:t>Google</w:t>
      </w:r>
      <w:r w:rsidR="00C36D91">
        <w:t xml:space="preserve"> Spreadsheet, which</w:t>
      </w:r>
      <w:r w:rsidR="00DC3386">
        <w:t xml:space="preserve"> i</w:t>
      </w:r>
      <w:r w:rsidR="00DB4118">
        <w:t>nclude</w:t>
      </w:r>
      <w:r w:rsidR="00C36D91">
        <w:t>s</w:t>
      </w:r>
      <w:r w:rsidR="00DB4118">
        <w:t xml:space="preserve"> the comments directly submitted using the </w:t>
      </w:r>
      <w:r w:rsidR="00C36D91">
        <w:t>Google</w:t>
      </w:r>
      <w:r w:rsidR="00DB4118">
        <w:t xml:space="preserve"> form and Word/PDF versions</w:t>
      </w:r>
      <w:r w:rsidR="00BD7612">
        <w:t xml:space="preserve"> </w:t>
      </w:r>
      <w:r w:rsidR="00C36D91">
        <w:t xml:space="preserve">of the Google Form </w:t>
      </w:r>
      <w:r w:rsidR="00BD7612">
        <w:t xml:space="preserve">that were manually added by the Support Team. The Google </w:t>
      </w:r>
      <w:r w:rsidR="00C36D91">
        <w:t>Spreadsheet</w:t>
      </w:r>
      <w:r w:rsidR="00BD7612">
        <w:t xml:space="preserve"> provides a neat way to scan through </w:t>
      </w:r>
      <w:r w:rsidR="00F03F7F">
        <w:t xml:space="preserve">proposed edits and </w:t>
      </w:r>
      <w:r w:rsidR="00BD7612">
        <w:t xml:space="preserve">rationale on any of the Recommendations and Questions. </w:t>
      </w:r>
    </w:p>
    <w:p w:rsidR="00BD7612" w:rsidRDefault="00BD7612"/>
    <w:p w:rsidR="00BC1ED3" w:rsidRDefault="00BD7612">
      <w:r>
        <w:t>The PCRT includes</w:t>
      </w:r>
      <w:r w:rsidR="00505B45">
        <w:t xml:space="preserve"> the </w:t>
      </w:r>
      <w:r w:rsidR="00B208E4">
        <w:t xml:space="preserve">comments and </w:t>
      </w:r>
      <w:r w:rsidR="00846A4C">
        <w:t>rationale from th</w:t>
      </w:r>
      <w:r w:rsidR="0036280B">
        <w:t>e</w:t>
      </w:r>
      <w:r w:rsidR="00846A4C">
        <w:t xml:space="preserve"> Google Form</w:t>
      </w:r>
      <w:r w:rsidR="00C36D91">
        <w:t xml:space="preserve">. Free-form comments made in email or letter submissions can be found on the </w:t>
      </w:r>
      <w:hyperlink r:id="rId6" w:history="1">
        <w:r w:rsidR="00C36D91" w:rsidRPr="00BA6CF0">
          <w:rPr>
            <w:rStyle w:val="Hyperlink"/>
          </w:rPr>
          <w:t>wiki page</w:t>
        </w:r>
      </w:hyperlink>
      <w:r w:rsidR="00C36D91">
        <w:t xml:space="preserve"> under</w:t>
      </w:r>
      <w:r w:rsidR="00BA6CF0">
        <w:t xml:space="preserve"> input received</w:t>
      </w:r>
      <w:r w:rsidR="00C36D91">
        <w:t xml:space="preserve">. The Support Team will also add these comments separately to the PCRT under the General Comments page. </w:t>
      </w:r>
      <w:r w:rsidR="00846A4C">
        <w:t xml:space="preserve"> </w:t>
      </w:r>
    </w:p>
    <w:p w:rsidR="00BC1ED3" w:rsidRDefault="00BC1ED3"/>
    <w:p w:rsidR="000322D8" w:rsidRDefault="00BC1ED3">
      <w:r>
        <w:t>There</w:t>
      </w:r>
      <w:r w:rsidR="00585911">
        <w:t xml:space="preserve"> is a separate PCRT page for each draft policy recommendation</w:t>
      </w:r>
      <w:r w:rsidR="006A1FE0">
        <w:t xml:space="preserve"> </w:t>
      </w:r>
      <w:r w:rsidR="00E03094">
        <w:t xml:space="preserve">(and the initial recommendation is sub-divided into </w:t>
      </w:r>
      <w:r w:rsidR="006A1FE0">
        <w:t>each purpose statement</w:t>
      </w:r>
      <w:r w:rsidR="00E03094">
        <w:t>)</w:t>
      </w:r>
      <w:r w:rsidR="00585911">
        <w:t xml:space="preserve">. </w:t>
      </w:r>
    </w:p>
    <w:p w:rsidR="00585911" w:rsidRDefault="00585911"/>
    <w:p w:rsidR="00585911" w:rsidRDefault="00E03094">
      <w:r>
        <w:t>Each of the</w:t>
      </w:r>
      <w:r w:rsidR="00585911">
        <w:t xml:space="preserve"> PCRT </w:t>
      </w:r>
      <w:r w:rsidR="00AE3613">
        <w:t xml:space="preserve">pages </w:t>
      </w:r>
      <w:r w:rsidR="00585911">
        <w:t>sort each comment</w:t>
      </w:r>
      <w:r>
        <w:t xml:space="preserve"> </w:t>
      </w:r>
      <w:r w:rsidR="00585911">
        <w:t>received into four categories used within the Google Form:</w:t>
      </w:r>
    </w:p>
    <w:p w:rsidR="00585911" w:rsidRDefault="00585911" w:rsidP="00585911">
      <w:pPr>
        <w:pStyle w:val="ListParagraph"/>
        <w:numPr>
          <w:ilvl w:val="0"/>
          <w:numId w:val="1"/>
        </w:numPr>
      </w:pPr>
      <w:r>
        <w:t>Support recommendation as written</w:t>
      </w:r>
    </w:p>
    <w:p w:rsidR="00585911" w:rsidRDefault="00585911" w:rsidP="00585911">
      <w:pPr>
        <w:pStyle w:val="ListParagraph"/>
        <w:numPr>
          <w:ilvl w:val="0"/>
          <w:numId w:val="1"/>
        </w:numPr>
      </w:pPr>
      <w:r>
        <w:t>Support intent of recommendation with edits</w:t>
      </w:r>
    </w:p>
    <w:p w:rsidR="00585911" w:rsidRDefault="00585911" w:rsidP="00585911">
      <w:pPr>
        <w:pStyle w:val="ListParagraph"/>
        <w:numPr>
          <w:ilvl w:val="0"/>
          <w:numId w:val="1"/>
        </w:numPr>
      </w:pPr>
      <w:r>
        <w:t>Intent and wording of this recommendation requires amendment</w:t>
      </w:r>
    </w:p>
    <w:p w:rsidR="00585911" w:rsidRDefault="00585911" w:rsidP="00585911">
      <w:pPr>
        <w:pStyle w:val="ListParagraph"/>
        <w:numPr>
          <w:ilvl w:val="0"/>
          <w:numId w:val="1"/>
        </w:numPr>
      </w:pPr>
      <w:r>
        <w:t>Delete recommendation</w:t>
      </w:r>
    </w:p>
    <w:p w:rsidR="000322D8" w:rsidRDefault="000322D8"/>
    <w:p w:rsidR="00BD3277" w:rsidRDefault="00585911">
      <w:r>
        <w:t>The pie chart at</w:t>
      </w:r>
      <w:r w:rsidR="00AE3613">
        <w:t xml:space="preserve"> the</w:t>
      </w:r>
      <w:r>
        <w:t xml:space="preserve"> top of each PCRT page shows the </w:t>
      </w:r>
      <w:r w:rsidR="00AE3613">
        <w:t xml:space="preserve">support </w:t>
      </w:r>
      <w:r w:rsidR="00B208E4">
        <w:t>for each of the four categories above</w:t>
      </w:r>
      <w:r>
        <w:t xml:space="preserve">, and as you scroll through the document, you are able to view each comment submitted on the respective recommendation. The comment will include proposed edits (if applicable) as well as the provided rationale and additional commentary (if any). </w:t>
      </w:r>
    </w:p>
    <w:p w:rsidR="00BD3277" w:rsidRDefault="00BD3277"/>
    <w:p w:rsidR="00A550B8" w:rsidRDefault="00BD3277">
      <w:r>
        <w:t>Even though the PCRT will make our work easier, it remains our responsibility to</w:t>
      </w:r>
      <w:r w:rsidR="00A550B8">
        <w:t>:</w:t>
      </w:r>
    </w:p>
    <w:p w:rsidR="00A550B8" w:rsidRDefault="00BD3277" w:rsidP="00BA6CF0">
      <w:pPr>
        <w:pStyle w:val="ListParagraph"/>
        <w:numPr>
          <w:ilvl w:val="0"/>
          <w:numId w:val="6"/>
        </w:numPr>
      </w:pPr>
      <w:r>
        <w:t>give due consideration to all input received</w:t>
      </w:r>
      <w:r w:rsidR="00A550B8">
        <w:t>,</w:t>
      </w:r>
      <w:r>
        <w:t xml:space="preserve"> and </w:t>
      </w:r>
    </w:p>
    <w:p w:rsidR="000322D8" w:rsidRDefault="00A550B8" w:rsidP="00BA6CF0">
      <w:pPr>
        <w:pStyle w:val="ListParagraph"/>
        <w:numPr>
          <w:ilvl w:val="0"/>
          <w:numId w:val="6"/>
        </w:numPr>
      </w:pPr>
      <w:r>
        <w:t xml:space="preserve">base </w:t>
      </w:r>
      <w:r w:rsidR="00BD3277">
        <w:t xml:space="preserve">changes, if any, in response to the input provided.  </w:t>
      </w:r>
    </w:p>
    <w:p w:rsidR="00585911" w:rsidRDefault="00585911"/>
    <w:p w:rsidR="00585911" w:rsidRDefault="008F7617">
      <w:r>
        <w:t>Given the time allotted to our work and the deadlines imposed, t</w:t>
      </w:r>
      <w:r w:rsidR="00521EE7">
        <w:t xml:space="preserve">he following is suggested as an efficient and comprehensive approach to review the comments. </w:t>
      </w:r>
      <w:r w:rsidR="003323F2">
        <w:t>(W</w:t>
      </w:r>
      <w:r w:rsidR="00134CEB">
        <w:t xml:space="preserve">e remain open to </w:t>
      </w:r>
      <w:r w:rsidR="003323F2">
        <w:t xml:space="preserve">alternative </w:t>
      </w:r>
      <w:r w:rsidR="00134CEB">
        <w:t>approach</w:t>
      </w:r>
      <w:r w:rsidR="003323F2">
        <w:t>es</w:t>
      </w:r>
      <w:r w:rsidR="00134CEB">
        <w:t>.</w:t>
      </w:r>
      <w:r w:rsidR="003323F2">
        <w:t>)</w:t>
      </w:r>
      <w:r w:rsidR="00134CEB">
        <w:t xml:space="preserve"> </w:t>
      </w:r>
    </w:p>
    <w:p w:rsidR="00134CEB" w:rsidRDefault="00134CEB"/>
    <w:p w:rsidR="00134CEB" w:rsidRDefault="007032BC" w:rsidP="00BA6CF0">
      <w:pPr>
        <w:pStyle w:val="ListParagraph"/>
        <w:numPr>
          <w:ilvl w:val="0"/>
          <w:numId w:val="5"/>
        </w:numPr>
      </w:pPr>
      <w:r>
        <w:t xml:space="preserve">Comment review. </w:t>
      </w:r>
      <w:r w:rsidR="00225A3A">
        <w:t>E</w:t>
      </w:r>
      <w:r w:rsidR="00134CEB">
        <w:t xml:space="preserve">ach </w:t>
      </w:r>
      <w:r w:rsidR="00225A3A">
        <w:t xml:space="preserve">EPDP team </w:t>
      </w:r>
      <w:r w:rsidR="00134CEB">
        <w:t xml:space="preserve">member </w:t>
      </w:r>
      <w:r w:rsidR="00225A3A">
        <w:t xml:space="preserve">will review the </w:t>
      </w:r>
      <w:r w:rsidR="00134CEB">
        <w:t>PCRT page</w:t>
      </w:r>
      <w:r w:rsidR="00225A3A">
        <w:t>s</w:t>
      </w:r>
      <w:r w:rsidR="00281F77">
        <w:t xml:space="preserve">, </w:t>
      </w:r>
      <w:r w:rsidR="00225A3A">
        <w:t xml:space="preserve">called out in the </w:t>
      </w:r>
      <w:r w:rsidR="00281F77">
        <w:t>meeting agendas</w:t>
      </w:r>
      <w:r w:rsidR="00134CEB">
        <w:t xml:space="preserve"> so that you are familiar with all comments received. </w:t>
      </w:r>
      <w:r w:rsidR="00225A3A">
        <w:t>(Each constituency group might</w:t>
      </w:r>
      <w:r w:rsidR="00134CEB">
        <w:t xml:space="preserve"> </w:t>
      </w:r>
      <w:r w:rsidR="00225A3A">
        <w:t xml:space="preserve">coordinate and </w:t>
      </w:r>
      <w:r w:rsidR="00134CEB">
        <w:t xml:space="preserve">divide the work among your </w:t>
      </w:r>
      <w:r w:rsidR="00225A3A">
        <w:t>group)</w:t>
      </w:r>
      <w:r w:rsidR="00134CEB">
        <w:t xml:space="preserve">. </w:t>
      </w:r>
      <w:r w:rsidR="00225A3A">
        <w:t>I</w:t>
      </w:r>
      <w:r w:rsidR="00134CEB">
        <w:t xml:space="preserve">t is important to </w:t>
      </w:r>
      <w:r w:rsidR="00225A3A">
        <w:t>review</w:t>
      </w:r>
      <w:r w:rsidR="00134CEB">
        <w:t xml:space="preserve"> all comments.</w:t>
      </w:r>
      <w:r w:rsidR="00C05EA4">
        <w:t xml:space="preserve"> The Google Forms might be reviewed also</w:t>
      </w:r>
      <w:r w:rsidR="00F166D1">
        <w:t xml:space="preserve"> if that is helpful</w:t>
      </w:r>
      <w:r w:rsidR="00721DD8">
        <w:t xml:space="preserve">. </w:t>
      </w:r>
    </w:p>
    <w:p w:rsidR="00134CEB" w:rsidRDefault="00134CEB"/>
    <w:p w:rsidR="000F75A4" w:rsidRDefault="007032BC" w:rsidP="00BA6CF0">
      <w:pPr>
        <w:pStyle w:val="ListParagraph"/>
        <w:numPr>
          <w:ilvl w:val="0"/>
          <w:numId w:val="5"/>
        </w:numPr>
      </w:pPr>
      <w:r>
        <w:t xml:space="preserve">Identify novel arguments. </w:t>
      </w:r>
      <w:r w:rsidR="00C81873">
        <w:t>In your review</w:t>
      </w:r>
      <w:r w:rsidR="00134CEB">
        <w:t xml:space="preserve">, </w:t>
      </w:r>
      <w:r w:rsidR="00280900">
        <w:t>please</w:t>
      </w:r>
      <w:r w:rsidR="000F75A4">
        <w:t xml:space="preserve"> </w:t>
      </w:r>
      <w:r w:rsidR="00C81873">
        <w:t>capture</w:t>
      </w:r>
      <w:r w:rsidR="00B1078C">
        <w:t xml:space="preserve"> and note</w:t>
      </w:r>
      <w:r w:rsidR="000F75A4">
        <w:t xml:space="preserve"> any new ideas, </w:t>
      </w:r>
      <w:r w:rsidR="00002448">
        <w:t xml:space="preserve">new </w:t>
      </w:r>
      <w:r w:rsidR="000F75A4">
        <w:t xml:space="preserve">information, </w:t>
      </w:r>
      <w:r w:rsidR="00002448">
        <w:t xml:space="preserve">new </w:t>
      </w:r>
      <w:r w:rsidR="000F75A4">
        <w:t xml:space="preserve">arguments, and </w:t>
      </w:r>
      <w:r w:rsidR="00002448">
        <w:t xml:space="preserve">new </w:t>
      </w:r>
      <w:r w:rsidR="000F75A4">
        <w:t xml:space="preserve">comments </w:t>
      </w:r>
      <w:r w:rsidR="00B531A8">
        <w:t>that you think should be added to our discussion</w:t>
      </w:r>
      <w:r w:rsidR="000F75A4">
        <w:t xml:space="preserve">. </w:t>
      </w:r>
      <w:r w:rsidR="00C81873">
        <w:t xml:space="preserve">By “new” we mean arguments or points not made in our meetings to date. </w:t>
      </w:r>
      <w:r w:rsidR="0003277A">
        <w:t>The objective is</w:t>
      </w:r>
      <w:r w:rsidR="000F75A4">
        <w:t xml:space="preserve"> for the team to discuss new information </w:t>
      </w:r>
      <w:r w:rsidR="00AE3613">
        <w:t>during</w:t>
      </w:r>
      <w:r w:rsidR="000F75A4">
        <w:t xml:space="preserve"> plenary</w:t>
      </w:r>
      <w:r w:rsidR="00AE3613">
        <w:t xml:space="preserve"> meetings</w:t>
      </w:r>
      <w:r w:rsidR="000F75A4">
        <w:t xml:space="preserve">, and not spend limited meeting time </w:t>
      </w:r>
      <w:r w:rsidR="0003277A">
        <w:t>repeating</w:t>
      </w:r>
      <w:r w:rsidR="00281F77">
        <w:t xml:space="preserve"> deliberations</w:t>
      </w:r>
      <w:r w:rsidR="00002448">
        <w:t xml:space="preserve"> already conducted</w:t>
      </w:r>
      <w:r w:rsidR="000F75A4">
        <w:t xml:space="preserve">. </w:t>
      </w:r>
    </w:p>
    <w:p w:rsidR="000F75A4" w:rsidRDefault="000F75A4"/>
    <w:p w:rsidR="000F75A4" w:rsidRDefault="00F64EE9" w:rsidP="00BA6CF0">
      <w:pPr>
        <w:pStyle w:val="ListParagraph"/>
        <w:numPr>
          <w:ilvl w:val="0"/>
          <w:numId w:val="5"/>
        </w:numPr>
      </w:pPr>
      <w:r>
        <w:t xml:space="preserve">Review the proposed recommendation. </w:t>
      </w:r>
      <w:r w:rsidR="000F75A4">
        <w:t xml:space="preserve">In order to </w:t>
      </w:r>
      <w:r w:rsidR="000730DF">
        <w:t>better</w:t>
      </w:r>
      <w:r w:rsidR="000F75A4">
        <w:t xml:space="preserve"> manage</w:t>
      </w:r>
      <w:r w:rsidR="000730DF">
        <w:t xml:space="preserve"> time</w:t>
      </w:r>
      <w:r w:rsidR="000F75A4">
        <w:t xml:space="preserve">, </w:t>
      </w:r>
      <w:r w:rsidR="0040147B">
        <w:t xml:space="preserve">it is </w:t>
      </w:r>
      <w:r w:rsidR="000F75A4">
        <w:t>propose</w:t>
      </w:r>
      <w:r w:rsidR="0040147B">
        <w:t>d</w:t>
      </w:r>
      <w:r w:rsidR="000F75A4">
        <w:t xml:space="preserve"> to</w:t>
      </w:r>
      <w:r w:rsidR="0033613D">
        <w:t xml:space="preserve"> bifurcate the discussion, i.e.,</w:t>
      </w:r>
      <w:r w:rsidR="000F75A4">
        <w:t xml:space="preserve"> </w:t>
      </w:r>
      <w:r w:rsidR="0040147B">
        <w:t>hear from</w:t>
      </w:r>
      <w:r w:rsidR="000F75A4">
        <w:t xml:space="preserve"> </w:t>
      </w:r>
      <w:r w:rsidR="006A7AA0">
        <w:t>those who support a recommendation (as written or with edits)</w:t>
      </w:r>
      <w:r w:rsidR="008C1740">
        <w:t>,</w:t>
      </w:r>
      <w:r w:rsidR="006A7AA0">
        <w:t xml:space="preserve"> and those who do not support a recommendation (</w:t>
      </w:r>
      <w:r w:rsidR="005F1296">
        <w:t xml:space="preserve">either </w:t>
      </w:r>
      <w:r w:rsidR="006A7AA0">
        <w:t>requir</w:t>
      </w:r>
      <w:r w:rsidR="00B85EE8">
        <w:t>ing substantial amendment</w:t>
      </w:r>
      <w:r w:rsidR="008C1740">
        <w:t>, change of intent,</w:t>
      </w:r>
      <w:r w:rsidR="00B85EE8">
        <w:t xml:space="preserve"> or deletion</w:t>
      </w:r>
      <w:r w:rsidR="006A7AA0">
        <w:t>)</w:t>
      </w:r>
      <w:r w:rsidR="000F75A4">
        <w:t xml:space="preserve">. </w:t>
      </w:r>
      <w:r w:rsidR="00C8043E">
        <w:t xml:space="preserve">Given the extent of the discussion to date, changes should be based on </w:t>
      </w:r>
      <w:r w:rsidR="000F75A4">
        <w:t xml:space="preserve">new information </w:t>
      </w:r>
      <w:r w:rsidR="00AE3613">
        <w:t>found in the comments.</w:t>
      </w:r>
    </w:p>
    <w:p w:rsidR="00AE3613" w:rsidRDefault="00AE3613" w:rsidP="000F75A4"/>
    <w:p w:rsidR="008C1740" w:rsidRDefault="008C1740" w:rsidP="000F75A4">
      <w:r>
        <w:t xml:space="preserve">Open questions where the Initial Report identify where differences exist will necessarily be handled in a somewhat different manner. </w:t>
      </w:r>
    </w:p>
    <w:p w:rsidR="008C1740" w:rsidRDefault="008C1740" w:rsidP="000F75A4"/>
    <w:p w:rsidR="00AE3613" w:rsidRDefault="00AE3613" w:rsidP="000F75A4">
      <w:r>
        <w:t>As previously noted, all EPDP Members are responsible for thoroughly reviewing all comments.</w:t>
      </w:r>
    </w:p>
    <w:p w:rsidR="00AE3613" w:rsidRDefault="00AE3613" w:rsidP="000F75A4"/>
    <w:p w:rsidR="00755CA0" w:rsidRDefault="00755CA0" w:rsidP="000F75A4">
      <w:r>
        <w:t xml:space="preserve">Go-forward Plan: </w:t>
      </w:r>
    </w:p>
    <w:p w:rsidR="00E407DA" w:rsidRDefault="00E407DA" w:rsidP="000F75A4"/>
    <w:p w:rsidR="008C37CF" w:rsidRDefault="00F06B5A" w:rsidP="000F75A4">
      <w:r>
        <w:t>As</w:t>
      </w:r>
      <w:r w:rsidR="008C37CF">
        <w:t xml:space="preserve"> </w:t>
      </w:r>
      <w:r>
        <w:t>t</w:t>
      </w:r>
      <w:r w:rsidR="008C37CF">
        <w:t xml:space="preserve">he Purposes for Processing Registration Data underlie each of the other Recommendations, it is necessary to review them first. It is likely that we will try to conduct consensus calls as we review each “Purpose” or Recommendation. </w:t>
      </w:r>
    </w:p>
    <w:p w:rsidR="008C37CF" w:rsidRDefault="008C37CF" w:rsidP="000F75A4"/>
    <w:p w:rsidR="00AE3613" w:rsidRDefault="00AE3613" w:rsidP="000F75A4">
      <w:r>
        <w:t xml:space="preserve">For our meeting on Thursday, 3 January, </w:t>
      </w:r>
      <w:r w:rsidR="008C37CF">
        <w:t>we will briefly review this methodology</w:t>
      </w:r>
      <w:r w:rsidR="00F06B5A">
        <w:t xml:space="preserve">; then </w:t>
      </w:r>
      <w:r>
        <w:t>please come prepared to discuss Purpose 1 and Purpose 3</w:t>
      </w:r>
      <w:r w:rsidR="00F06B5A">
        <w:t xml:space="preserve"> (starting where comment generally support the Recommendations)</w:t>
      </w:r>
      <w:r>
        <w:t xml:space="preserve">. </w:t>
      </w:r>
      <w:r w:rsidR="006A7AA0">
        <w:t xml:space="preserve">For ease of reference, we have included a breakdown of the provided positions </w:t>
      </w:r>
      <w:r w:rsidR="00126DDE">
        <w:t xml:space="preserve">from the public comment submissions </w:t>
      </w:r>
      <w:r w:rsidR="006A7AA0">
        <w:t xml:space="preserve">below. </w:t>
      </w:r>
    </w:p>
    <w:p w:rsidR="00E407DA" w:rsidRDefault="00E407DA" w:rsidP="000F75A4"/>
    <w:p w:rsidR="00E407DA" w:rsidRDefault="00E407DA" w:rsidP="000F75A4">
      <w:r>
        <w:t>I hope you find this a useful way to proceed.</w:t>
      </w:r>
      <w:r w:rsidR="001B62AB">
        <w:t xml:space="preserve"> Please come back to </w:t>
      </w:r>
      <w:proofErr w:type="spellStart"/>
      <w:r w:rsidR="001B62AB">
        <w:t>Rafik</w:t>
      </w:r>
      <w:proofErr w:type="spellEnd"/>
      <w:r w:rsidR="001B62AB">
        <w:t xml:space="preserve">, the Support Team and me with comments, suggestions or questions. </w:t>
      </w:r>
    </w:p>
    <w:p w:rsidR="00E407DA" w:rsidRDefault="00E407DA" w:rsidP="000F75A4"/>
    <w:p w:rsidR="00E407DA" w:rsidRDefault="00E407DA" w:rsidP="000F75A4">
      <w:r>
        <w:t>Best regards,</w:t>
      </w:r>
    </w:p>
    <w:p w:rsidR="001B62AB" w:rsidRDefault="001B62AB" w:rsidP="000F75A4"/>
    <w:p w:rsidR="001B62AB" w:rsidRDefault="001B62AB" w:rsidP="000F75A4">
      <w:r>
        <w:t xml:space="preserve">Kurt &amp; </w:t>
      </w:r>
      <w:proofErr w:type="spellStart"/>
      <w:r>
        <w:t>Rafik</w:t>
      </w:r>
      <w:proofErr w:type="spellEnd"/>
    </w:p>
    <w:p w:rsidR="00E407DA" w:rsidRDefault="00E407DA" w:rsidP="000F75A4"/>
    <w:p w:rsidR="00E407DA" w:rsidRDefault="00E407DA" w:rsidP="000F75A4"/>
    <w:p w:rsidR="006A7AA0" w:rsidRDefault="006A7AA0" w:rsidP="000F75A4"/>
    <w:p w:rsidR="00E407DA" w:rsidRDefault="00E407DA">
      <w:pPr>
        <w:rPr>
          <w:b/>
        </w:rPr>
      </w:pPr>
      <w:r>
        <w:rPr>
          <w:b/>
        </w:rPr>
        <w:br w:type="page"/>
      </w:r>
    </w:p>
    <w:p w:rsidR="006A7AA0" w:rsidRPr="00642B44" w:rsidRDefault="006A7AA0" w:rsidP="000F75A4">
      <w:pPr>
        <w:rPr>
          <w:b/>
        </w:rPr>
      </w:pPr>
      <w:r w:rsidRPr="00642B44">
        <w:rPr>
          <w:b/>
        </w:rPr>
        <w:t>Purpose 1</w:t>
      </w:r>
    </w:p>
    <w:p w:rsidR="00AE3613" w:rsidRDefault="00AE3613" w:rsidP="000F75A4"/>
    <w:p w:rsidR="006A7AA0" w:rsidRDefault="006A7AA0" w:rsidP="000F75A4">
      <w:pPr>
        <w:rPr>
          <w:b/>
        </w:rPr>
      </w:pPr>
    </w:p>
    <w:tbl>
      <w:tblPr>
        <w:tblStyle w:val="TableGrid"/>
        <w:tblW w:w="0" w:type="auto"/>
        <w:tblLook w:val="04A0" w:firstRow="1" w:lastRow="0" w:firstColumn="1" w:lastColumn="0" w:noHBand="0" w:noVBand="1"/>
      </w:tblPr>
      <w:tblGrid>
        <w:gridCol w:w="2337"/>
        <w:gridCol w:w="2337"/>
        <w:gridCol w:w="2338"/>
        <w:gridCol w:w="2338"/>
      </w:tblGrid>
      <w:tr w:rsidR="006A7AA0" w:rsidTr="006A7AA0">
        <w:tc>
          <w:tcPr>
            <w:tcW w:w="9350" w:type="dxa"/>
            <w:gridSpan w:val="4"/>
            <w:shd w:val="clear" w:color="auto" w:fill="auto"/>
          </w:tcPr>
          <w:p w:rsidR="006A7AA0" w:rsidRDefault="006A7AA0" w:rsidP="006A7AA0">
            <w:pPr>
              <w:jc w:val="center"/>
              <w:rPr>
                <w:b/>
              </w:rPr>
            </w:pPr>
          </w:p>
          <w:p w:rsidR="006A7AA0" w:rsidRDefault="006A7AA0" w:rsidP="006A7AA0">
            <w:pPr>
              <w:jc w:val="center"/>
              <w:rPr>
                <w:b/>
              </w:rPr>
            </w:pPr>
            <w:r>
              <w:rPr>
                <w:b/>
              </w:rPr>
              <w:t>PURPOSE 1</w:t>
            </w:r>
          </w:p>
          <w:p w:rsidR="000A6E21" w:rsidRDefault="000A6E21" w:rsidP="006A7AA0">
            <w:pPr>
              <w:jc w:val="center"/>
              <w:rPr>
                <w:b/>
              </w:rPr>
            </w:pPr>
          </w:p>
          <w:p w:rsidR="000A6E21" w:rsidRPr="000A6E21" w:rsidRDefault="000A6E21" w:rsidP="000A6E21">
            <w:pPr>
              <w:rPr>
                <w:i/>
              </w:rPr>
            </w:pPr>
            <w:r w:rsidRPr="000A6E21">
              <w:rPr>
                <w:i/>
              </w:rPr>
              <w:t>As subject to Registry and Registrar terms, conditions and policies, and ICANN</w:t>
            </w:r>
          </w:p>
          <w:p w:rsidR="000A6E21" w:rsidRPr="000A6E21" w:rsidRDefault="000A6E21" w:rsidP="000A6E21">
            <w:pPr>
              <w:rPr>
                <w:i/>
              </w:rPr>
            </w:pPr>
            <w:r w:rsidRPr="000A6E21">
              <w:rPr>
                <w:i/>
              </w:rPr>
              <w:t>Consensus Policies:</w:t>
            </w:r>
          </w:p>
          <w:p w:rsidR="000A6E21" w:rsidRPr="000A6E21" w:rsidRDefault="000A6E21" w:rsidP="000A6E21">
            <w:pPr>
              <w:rPr>
                <w:i/>
              </w:rPr>
            </w:pPr>
            <w:r w:rsidRPr="000A6E21">
              <w:rPr>
                <w:i/>
              </w:rPr>
              <w:t>• To establish the rights of a Registered Name Holder in a Registered Name;</w:t>
            </w:r>
          </w:p>
          <w:p w:rsidR="000A6E21" w:rsidRPr="000A6E21" w:rsidRDefault="000A6E21" w:rsidP="000A6E21">
            <w:pPr>
              <w:rPr>
                <w:i/>
              </w:rPr>
            </w:pPr>
            <w:r w:rsidRPr="000A6E21">
              <w:rPr>
                <w:i/>
              </w:rPr>
              <w:t>• To ensure that a Registered Name Holder may exercise its rights in the use</w:t>
            </w:r>
          </w:p>
          <w:p w:rsidR="000A6E21" w:rsidRPr="000A6E21" w:rsidRDefault="000A6E21" w:rsidP="000A6E21">
            <w:pPr>
              <w:rPr>
                <w:i/>
              </w:rPr>
            </w:pPr>
            <w:r w:rsidRPr="000A6E21">
              <w:rPr>
                <w:i/>
              </w:rPr>
              <w:t>and disposition of the Registered Name; and</w:t>
            </w:r>
          </w:p>
          <w:p w:rsidR="000A6E21" w:rsidRPr="000A6E21" w:rsidRDefault="000A6E21" w:rsidP="000A6E21">
            <w:pPr>
              <w:rPr>
                <w:i/>
              </w:rPr>
            </w:pPr>
            <w:r w:rsidRPr="000A6E21">
              <w:rPr>
                <w:i/>
              </w:rPr>
              <w:t>• To activate a registered name and allocate it to a Registered Name Holder;</w:t>
            </w:r>
          </w:p>
          <w:p w:rsidR="006A7AA0" w:rsidRDefault="006A7AA0" w:rsidP="006A7AA0">
            <w:pPr>
              <w:jc w:val="center"/>
              <w:rPr>
                <w:b/>
              </w:rPr>
            </w:pPr>
          </w:p>
        </w:tc>
      </w:tr>
      <w:tr w:rsidR="006A7AA0" w:rsidTr="006A7AA0">
        <w:tc>
          <w:tcPr>
            <w:tcW w:w="2337" w:type="dxa"/>
            <w:shd w:val="clear" w:color="auto" w:fill="70AD47" w:themeFill="accent6"/>
          </w:tcPr>
          <w:p w:rsidR="006A7AA0" w:rsidRPr="006A7AA0" w:rsidRDefault="006A7AA0" w:rsidP="000F75A4">
            <w:pPr>
              <w:rPr>
                <w:b/>
              </w:rPr>
            </w:pPr>
            <w:r>
              <w:rPr>
                <w:b/>
              </w:rPr>
              <w:t>Support as written</w:t>
            </w:r>
          </w:p>
        </w:tc>
        <w:tc>
          <w:tcPr>
            <w:tcW w:w="2337" w:type="dxa"/>
            <w:shd w:val="clear" w:color="auto" w:fill="70AD47" w:themeFill="accent6"/>
          </w:tcPr>
          <w:p w:rsidR="006A7AA0" w:rsidRDefault="006A7AA0" w:rsidP="000F75A4">
            <w:pPr>
              <w:rPr>
                <w:b/>
              </w:rPr>
            </w:pPr>
            <w:r>
              <w:rPr>
                <w:b/>
              </w:rPr>
              <w:t>Support with edits</w:t>
            </w:r>
          </w:p>
        </w:tc>
        <w:tc>
          <w:tcPr>
            <w:tcW w:w="2338" w:type="dxa"/>
            <w:shd w:val="clear" w:color="auto" w:fill="C00000"/>
          </w:tcPr>
          <w:p w:rsidR="006A7AA0" w:rsidRDefault="006A7AA0" w:rsidP="000F75A4">
            <w:pPr>
              <w:rPr>
                <w:b/>
              </w:rPr>
            </w:pPr>
            <w:r>
              <w:rPr>
                <w:b/>
              </w:rPr>
              <w:t>Requires Amendment</w:t>
            </w:r>
          </w:p>
        </w:tc>
        <w:tc>
          <w:tcPr>
            <w:tcW w:w="2338" w:type="dxa"/>
            <w:shd w:val="clear" w:color="auto" w:fill="C00000"/>
          </w:tcPr>
          <w:p w:rsidR="006A7AA0" w:rsidRDefault="006A7AA0" w:rsidP="000F75A4">
            <w:pPr>
              <w:rPr>
                <w:b/>
              </w:rPr>
            </w:pPr>
            <w:r>
              <w:rPr>
                <w:b/>
              </w:rPr>
              <w:t>Requires Deletion</w:t>
            </w:r>
          </w:p>
        </w:tc>
      </w:tr>
      <w:tr w:rsidR="006A7AA0" w:rsidTr="006A7AA0">
        <w:tc>
          <w:tcPr>
            <w:tcW w:w="2337" w:type="dxa"/>
            <w:shd w:val="clear" w:color="auto" w:fill="C5E0B3" w:themeFill="accent6" w:themeFillTint="66"/>
          </w:tcPr>
          <w:p w:rsidR="006A7AA0" w:rsidRP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ALAC</w:t>
            </w:r>
          </w:p>
          <w:p w:rsidR="006A7AA0" w:rsidRP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DR. JAIDEEP KUMAR MISHRA; DIRECTOR MINISTRY OF ELECTRONICS AND INFORMATION TECHNOLOGY, GOVERNMENT OF INDIA</w:t>
            </w:r>
          </w:p>
          <w:p w:rsidR="006A7AA0" w:rsidRP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BC</w:t>
            </w:r>
          </w:p>
          <w:p w:rsidR="006A7AA0" w:rsidRP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 xml:space="preserve">Tim Chen; </w:t>
            </w:r>
            <w:proofErr w:type="spellStart"/>
            <w:r w:rsidRPr="006A7AA0">
              <w:rPr>
                <w:rFonts w:ascii="Calibri" w:hAnsi="Calibri"/>
                <w:sz w:val="20"/>
                <w:szCs w:val="20"/>
              </w:rPr>
              <w:t>DomainTools</w:t>
            </w:r>
            <w:proofErr w:type="spellEnd"/>
          </w:p>
          <w:p w:rsidR="006A7AA0" w:rsidRPr="006A7AA0" w:rsidRDefault="006A7AA0" w:rsidP="006A7AA0">
            <w:pPr>
              <w:pStyle w:val="ListParagraph"/>
              <w:numPr>
                <w:ilvl w:val="0"/>
                <w:numId w:val="3"/>
              </w:numPr>
              <w:rPr>
                <w:rFonts w:ascii="Calibri" w:hAnsi="Calibri"/>
                <w:sz w:val="20"/>
                <w:szCs w:val="20"/>
              </w:rPr>
            </w:pPr>
            <w:r w:rsidRPr="0035699A">
              <w:rPr>
                <w:rFonts w:ascii="Calibri" w:eastAsia="Times New Roman" w:hAnsi="Calibri" w:cs="Arial"/>
                <w:sz w:val="20"/>
                <w:szCs w:val="20"/>
              </w:rPr>
              <w:t>A. Mark Massey; Domain Name Rights Coalition</w:t>
            </w:r>
          </w:p>
          <w:p w:rsidR="006A7AA0" w:rsidRPr="006A7AA0" w:rsidRDefault="006A7AA0" w:rsidP="006A7AA0">
            <w:pPr>
              <w:pStyle w:val="ListParagraph"/>
              <w:numPr>
                <w:ilvl w:val="0"/>
                <w:numId w:val="3"/>
              </w:numPr>
              <w:rPr>
                <w:rFonts w:ascii="Calibri" w:hAnsi="Calibri"/>
                <w:sz w:val="20"/>
                <w:szCs w:val="20"/>
              </w:rPr>
            </w:pPr>
            <w:proofErr w:type="spellStart"/>
            <w:r w:rsidRPr="0035699A">
              <w:rPr>
                <w:rFonts w:ascii="Calibri" w:eastAsia="Times New Roman" w:hAnsi="Calibri" w:cs="Arial"/>
                <w:sz w:val="20"/>
                <w:szCs w:val="20"/>
              </w:rPr>
              <w:t>Farzaneh</w:t>
            </w:r>
            <w:proofErr w:type="spellEnd"/>
            <w:r w:rsidRPr="0035699A">
              <w:rPr>
                <w:rFonts w:ascii="Calibri" w:eastAsia="Times New Roman" w:hAnsi="Calibri" w:cs="Arial"/>
                <w:sz w:val="20"/>
                <w:szCs w:val="20"/>
              </w:rPr>
              <w:t xml:space="preserve"> </w:t>
            </w:r>
            <w:proofErr w:type="spellStart"/>
            <w:r w:rsidRPr="0035699A">
              <w:rPr>
                <w:rFonts w:ascii="Calibri" w:eastAsia="Times New Roman" w:hAnsi="Calibri" w:cs="Arial"/>
                <w:sz w:val="20"/>
                <w:szCs w:val="20"/>
              </w:rPr>
              <w:t>Badii</w:t>
            </w:r>
            <w:proofErr w:type="spellEnd"/>
            <w:r w:rsidRPr="0035699A">
              <w:rPr>
                <w:rFonts w:ascii="Calibri" w:eastAsia="Times New Roman" w:hAnsi="Calibri" w:cs="Arial"/>
                <w:sz w:val="20"/>
                <w:szCs w:val="20"/>
              </w:rPr>
              <w:t>; Internet Governance Project</w:t>
            </w:r>
          </w:p>
          <w:p w:rsidR="006A7AA0" w:rsidRPr="006A7AA0" w:rsidRDefault="006A7AA0" w:rsidP="006A7AA0">
            <w:pPr>
              <w:pStyle w:val="ListParagraph"/>
              <w:numPr>
                <w:ilvl w:val="0"/>
                <w:numId w:val="3"/>
              </w:numPr>
              <w:rPr>
                <w:rFonts w:ascii="Calibri" w:hAnsi="Calibri"/>
                <w:sz w:val="20"/>
                <w:szCs w:val="20"/>
              </w:rPr>
            </w:pPr>
            <w:r w:rsidRPr="0035699A">
              <w:rPr>
                <w:rFonts w:ascii="Calibri" w:eastAsia="Times New Roman" w:hAnsi="Calibri" w:cs="Arial"/>
                <w:sz w:val="20"/>
                <w:szCs w:val="20"/>
              </w:rPr>
              <w:t>Tucows Domains Inc.</w:t>
            </w:r>
          </w:p>
          <w:p w:rsidR="006A7AA0" w:rsidRPr="006A7AA0" w:rsidRDefault="006A7AA0" w:rsidP="006A7AA0">
            <w:pPr>
              <w:pStyle w:val="ListParagraph"/>
              <w:numPr>
                <w:ilvl w:val="0"/>
                <w:numId w:val="3"/>
              </w:numPr>
              <w:rPr>
                <w:rFonts w:ascii="Calibri" w:hAnsi="Calibri"/>
                <w:sz w:val="20"/>
                <w:szCs w:val="20"/>
              </w:rPr>
            </w:pPr>
            <w:r w:rsidRPr="0035699A">
              <w:rPr>
                <w:rFonts w:ascii="Calibri" w:eastAsia="Times New Roman" w:hAnsi="Calibri" w:cs="Arial"/>
                <w:sz w:val="20"/>
                <w:szCs w:val="20"/>
              </w:rPr>
              <w:t xml:space="preserve">Michele </w:t>
            </w:r>
            <w:proofErr w:type="spellStart"/>
            <w:r w:rsidRPr="0035699A">
              <w:rPr>
                <w:rFonts w:ascii="Calibri" w:eastAsia="Times New Roman" w:hAnsi="Calibri" w:cs="Arial"/>
                <w:sz w:val="20"/>
                <w:szCs w:val="20"/>
              </w:rPr>
              <w:t>Neylon</w:t>
            </w:r>
            <w:proofErr w:type="spellEnd"/>
            <w:r w:rsidRPr="0035699A">
              <w:rPr>
                <w:rFonts w:ascii="Calibri" w:eastAsia="Times New Roman" w:hAnsi="Calibri" w:cs="Arial"/>
                <w:sz w:val="20"/>
                <w:szCs w:val="20"/>
              </w:rPr>
              <w:t xml:space="preserve">; </w:t>
            </w:r>
            <w:proofErr w:type="spellStart"/>
            <w:r w:rsidRPr="0035699A">
              <w:rPr>
                <w:rFonts w:ascii="Calibri" w:eastAsia="Times New Roman" w:hAnsi="Calibri" w:cs="Arial"/>
                <w:sz w:val="20"/>
                <w:szCs w:val="20"/>
              </w:rPr>
              <w:t>Blacknight</w:t>
            </w:r>
            <w:proofErr w:type="spellEnd"/>
            <w:r w:rsidRPr="0035699A">
              <w:rPr>
                <w:rFonts w:ascii="Calibri" w:eastAsia="Times New Roman" w:hAnsi="Calibri" w:cs="Arial"/>
                <w:sz w:val="20"/>
                <w:szCs w:val="20"/>
              </w:rPr>
              <w:t xml:space="preserve"> Internet Solutions Ltd</w:t>
            </w:r>
          </w:p>
          <w:p w:rsidR="006A7AA0" w:rsidRPr="006A7AA0" w:rsidRDefault="006A7AA0" w:rsidP="006A7AA0">
            <w:pPr>
              <w:pStyle w:val="ListParagraph"/>
              <w:numPr>
                <w:ilvl w:val="0"/>
                <w:numId w:val="3"/>
              </w:numPr>
              <w:rPr>
                <w:rFonts w:ascii="Calibri" w:hAnsi="Calibri"/>
                <w:sz w:val="20"/>
                <w:szCs w:val="20"/>
              </w:rPr>
            </w:pPr>
            <w:r w:rsidRPr="0035699A">
              <w:rPr>
                <w:rFonts w:ascii="Calibri" w:eastAsia="Times New Roman" w:hAnsi="Calibri" w:cs="Arial"/>
                <w:sz w:val="20"/>
                <w:szCs w:val="20"/>
              </w:rPr>
              <w:t>Sara Bockey; GoDaddy</w:t>
            </w:r>
          </w:p>
          <w:p w:rsidR="006A7AA0" w:rsidRPr="006A7AA0" w:rsidRDefault="006A7AA0" w:rsidP="006A7AA0">
            <w:pPr>
              <w:pStyle w:val="ListParagraph"/>
              <w:numPr>
                <w:ilvl w:val="0"/>
                <w:numId w:val="3"/>
              </w:numPr>
              <w:rPr>
                <w:rFonts w:ascii="Calibri" w:hAnsi="Calibri"/>
                <w:sz w:val="20"/>
                <w:szCs w:val="20"/>
              </w:rPr>
            </w:pPr>
            <w:r w:rsidRPr="0035699A">
              <w:rPr>
                <w:rFonts w:ascii="Calibri" w:eastAsia="Times New Roman" w:hAnsi="Calibri" w:cs="Arial"/>
                <w:sz w:val="20"/>
                <w:szCs w:val="20"/>
              </w:rPr>
              <w:t xml:space="preserve">Volker </w:t>
            </w:r>
            <w:proofErr w:type="spellStart"/>
            <w:r w:rsidRPr="0035699A">
              <w:rPr>
                <w:rFonts w:ascii="Calibri" w:eastAsia="Times New Roman" w:hAnsi="Calibri" w:cs="Arial"/>
                <w:sz w:val="20"/>
                <w:szCs w:val="20"/>
              </w:rPr>
              <w:t>Greimann</w:t>
            </w:r>
            <w:proofErr w:type="spellEnd"/>
            <w:r w:rsidRPr="0035699A">
              <w:rPr>
                <w:rFonts w:ascii="Calibri" w:eastAsia="Times New Roman" w:hAnsi="Calibri" w:cs="Arial"/>
                <w:sz w:val="20"/>
                <w:szCs w:val="20"/>
              </w:rPr>
              <w:t>; Key-Systems GmbH</w:t>
            </w:r>
          </w:p>
          <w:p w:rsidR="006A7AA0" w:rsidRPr="006A7AA0" w:rsidRDefault="006A7AA0" w:rsidP="006A7AA0">
            <w:pPr>
              <w:pStyle w:val="ListParagraph"/>
              <w:numPr>
                <w:ilvl w:val="0"/>
                <w:numId w:val="3"/>
              </w:numPr>
              <w:rPr>
                <w:rFonts w:ascii="Calibri" w:hAnsi="Calibri"/>
                <w:sz w:val="20"/>
                <w:szCs w:val="20"/>
              </w:rPr>
            </w:pPr>
            <w:proofErr w:type="spellStart"/>
            <w:r w:rsidRPr="0035699A">
              <w:rPr>
                <w:rFonts w:ascii="Calibri" w:eastAsia="Times New Roman" w:hAnsi="Calibri" w:cs="Arial"/>
                <w:sz w:val="20"/>
                <w:szCs w:val="20"/>
              </w:rPr>
              <w:t>RrSG</w:t>
            </w:r>
            <w:proofErr w:type="spellEnd"/>
          </w:p>
          <w:p w:rsidR="006A7AA0" w:rsidRPr="006A7AA0" w:rsidRDefault="006A7AA0" w:rsidP="006A7AA0">
            <w:pPr>
              <w:pStyle w:val="ListParagraph"/>
              <w:numPr>
                <w:ilvl w:val="0"/>
                <w:numId w:val="3"/>
              </w:numPr>
              <w:rPr>
                <w:rFonts w:ascii="Calibri" w:hAnsi="Calibri"/>
                <w:sz w:val="20"/>
                <w:szCs w:val="20"/>
              </w:rPr>
            </w:pPr>
            <w:r w:rsidRPr="0035699A">
              <w:rPr>
                <w:rFonts w:ascii="Calibri" w:eastAsia="Times New Roman" w:hAnsi="Calibri" w:cs="Arial"/>
                <w:sz w:val="20"/>
                <w:szCs w:val="20"/>
              </w:rPr>
              <w:t>Domain.com, LLC &amp; affiliates</w:t>
            </w:r>
          </w:p>
          <w:p w:rsidR="006A7AA0" w:rsidRDefault="006A7AA0" w:rsidP="006A7AA0">
            <w:pPr>
              <w:pStyle w:val="ListParagraph"/>
              <w:numPr>
                <w:ilvl w:val="0"/>
                <w:numId w:val="3"/>
              </w:numPr>
              <w:rPr>
                <w:rFonts w:ascii="Calibri" w:hAnsi="Calibri"/>
                <w:sz w:val="20"/>
                <w:szCs w:val="20"/>
              </w:rPr>
            </w:pPr>
            <w:r>
              <w:rPr>
                <w:rFonts w:ascii="Calibri" w:hAnsi="Calibri"/>
                <w:sz w:val="20"/>
                <w:szCs w:val="20"/>
              </w:rPr>
              <w:t>NCSG</w:t>
            </w:r>
          </w:p>
          <w:p w:rsid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Lars Steffen; eco – Association of the Internet Industry</w:t>
            </w:r>
          </w:p>
          <w:p w:rsid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 xml:space="preserve">Wolf-Ulrich </w:t>
            </w:r>
            <w:proofErr w:type="spellStart"/>
            <w:r w:rsidRPr="006A7AA0">
              <w:rPr>
                <w:rFonts w:ascii="Calibri" w:hAnsi="Calibri"/>
                <w:sz w:val="20"/>
                <w:szCs w:val="20"/>
              </w:rPr>
              <w:t>Knoben</w:t>
            </w:r>
            <w:proofErr w:type="spellEnd"/>
            <w:r w:rsidRPr="006A7AA0">
              <w:rPr>
                <w:rFonts w:ascii="Calibri" w:hAnsi="Calibri"/>
                <w:sz w:val="20"/>
                <w:szCs w:val="20"/>
              </w:rPr>
              <w:t>; ISPCP Constituency</w:t>
            </w:r>
          </w:p>
          <w:p w:rsid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David Martel</w:t>
            </w:r>
          </w:p>
          <w:p w:rsid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Etienne Laurin</w:t>
            </w:r>
          </w:p>
          <w:p w:rsidR="006A7AA0" w:rsidRPr="006A7AA0" w:rsidRDefault="006A7AA0" w:rsidP="006A7AA0">
            <w:pPr>
              <w:pStyle w:val="ListParagraph"/>
              <w:numPr>
                <w:ilvl w:val="0"/>
                <w:numId w:val="3"/>
              </w:numPr>
              <w:rPr>
                <w:rFonts w:ascii="Calibri" w:hAnsi="Calibri"/>
                <w:sz w:val="20"/>
                <w:szCs w:val="20"/>
              </w:rPr>
            </w:pPr>
            <w:r>
              <w:rPr>
                <w:rFonts w:ascii="Calibri" w:hAnsi="Calibri"/>
                <w:sz w:val="20"/>
                <w:szCs w:val="20"/>
              </w:rPr>
              <w:t>SSAC</w:t>
            </w:r>
          </w:p>
        </w:tc>
        <w:tc>
          <w:tcPr>
            <w:tcW w:w="2337" w:type="dxa"/>
            <w:shd w:val="clear" w:color="auto" w:fill="C5E0B3" w:themeFill="accent6" w:themeFillTint="66"/>
          </w:tcPr>
          <w:p w:rsidR="006A7AA0" w:rsidRP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IPC</w:t>
            </w:r>
          </w:p>
          <w:p w:rsidR="006A7AA0" w:rsidRP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Dean S. Marks; Coalition for Online Accountability</w:t>
            </w:r>
          </w:p>
          <w:p w:rsidR="006A7AA0" w:rsidRP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Lori Schulman Senior Director, Internet Policy; International Trademark Association (INTA)</w:t>
            </w:r>
          </w:p>
          <w:p w:rsidR="006A7AA0" w:rsidRP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 xml:space="preserve">Jeremy </w:t>
            </w:r>
            <w:proofErr w:type="spellStart"/>
            <w:r w:rsidRPr="006A7AA0">
              <w:rPr>
                <w:rFonts w:ascii="Calibri" w:hAnsi="Calibri"/>
                <w:sz w:val="20"/>
                <w:szCs w:val="20"/>
              </w:rPr>
              <w:t>Dallman</w:t>
            </w:r>
            <w:proofErr w:type="spellEnd"/>
            <w:r w:rsidRPr="006A7AA0">
              <w:rPr>
                <w:rFonts w:ascii="Calibri" w:hAnsi="Calibri"/>
                <w:sz w:val="20"/>
                <w:szCs w:val="20"/>
              </w:rPr>
              <w:t xml:space="preserve">, David Ladd – Microsoft Threat Intelligence Center; Amy Hogan-Burney, Richard </w:t>
            </w:r>
            <w:proofErr w:type="spellStart"/>
            <w:r w:rsidRPr="006A7AA0">
              <w:rPr>
                <w:rFonts w:ascii="Calibri" w:hAnsi="Calibri"/>
                <w:sz w:val="20"/>
                <w:szCs w:val="20"/>
              </w:rPr>
              <w:t>Boscovich</w:t>
            </w:r>
            <w:proofErr w:type="spellEnd"/>
            <w:r w:rsidRPr="006A7AA0">
              <w:rPr>
                <w:rFonts w:ascii="Calibri" w:hAnsi="Calibri"/>
                <w:sz w:val="20"/>
                <w:szCs w:val="20"/>
              </w:rPr>
              <w:t xml:space="preserve"> – Digital Crimes Unit; </w:t>
            </w:r>
            <w:proofErr w:type="spellStart"/>
            <w:r w:rsidRPr="006A7AA0">
              <w:rPr>
                <w:rFonts w:ascii="Calibri" w:hAnsi="Calibri"/>
                <w:sz w:val="20"/>
                <w:szCs w:val="20"/>
              </w:rPr>
              <w:t>Makalika</w:t>
            </w:r>
            <w:proofErr w:type="spellEnd"/>
            <w:r w:rsidRPr="006A7AA0">
              <w:rPr>
                <w:rFonts w:ascii="Calibri" w:hAnsi="Calibri"/>
                <w:sz w:val="20"/>
                <w:szCs w:val="20"/>
              </w:rPr>
              <w:t xml:space="preserve"> </w:t>
            </w:r>
            <w:proofErr w:type="spellStart"/>
            <w:r w:rsidRPr="006A7AA0">
              <w:rPr>
                <w:rFonts w:ascii="Calibri" w:hAnsi="Calibri"/>
                <w:sz w:val="20"/>
                <w:szCs w:val="20"/>
              </w:rPr>
              <w:t>Naholowaa</w:t>
            </w:r>
            <w:proofErr w:type="spellEnd"/>
            <w:r w:rsidRPr="006A7AA0">
              <w:rPr>
                <w:rFonts w:ascii="Calibri" w:hAnsi="Calibri"/>
                <w:sz w:val="20"/>
                <w:szCs w:val="20"/>
              </w:rPr>
              <w:t xml:space="preserve">, Teresa </w:t>
            </w:r>
            <w:proofErr w:type="spellStart"/>
            <w:r w:rsidRPr="006A7AA0">
              <w:rPr>
                <w:rFonts w:ascii="Calibri" w:hAnsi="Calibri"/>
                <w:sz w:val="20"/>
                <w:szCs w:val="20"/>
              </w:rPr>
              <w:t>Rodewald</w:t>
            </w:r>
            <w:proofErr w:type="spellEnd"/>
            <w:r w:rsidRPr="006A7AA0">
              <w:rPr>
                <w:rFonts w:ascii="Calibri" w:hAnsi="Calibri"/>
                <w:sz w:val="20"/>
                <w:szCs w:val="20"/>
              </w:rPr>
              <w:t xml:space="preserve">, Cam </w:t>
            </w:r>
            <w:proofErr w:type="spellStart"/>
            <w:r w:rsidRPr="006A7AA0">
              <w:rPr>
                <w:rFonts w:ascii="Calibri" w:hAnsi="Calibri"/>
                <w:sz w:val="20"/>
                <w:szCs w:val="20"/>
              </w:rPr>
              <w:t>Gatta</w:t>
            </w:r>
            <w:proofErr w:type="spellEnd"/>
            <w:r w:rsidRPr="006A7AA0">
              <w:rPr>
                <w:rFonts w:ascii="Calibri" w:hAnsi="Calibri"/>
                <w:sz w:val="20"/>
                <w:szCs w:val="20"/>
              </w:rPr>
              <w:t xml:space="preserve"> – Trademark; Mark </w:t>
            </w:r>
            <w:proofErr w:type="spellStart"/>
            <w:r w:rsidRPr="006A7AA0">
              <w:rPr>
                <w:rFonts w:ascii="Calibri" w:hAnsi="Calibri"/>
                <w:sz w:val="20"/>
                <w:szCs w:val="20"/>
              </w:rPr>
              <w:t>Svancarek</w:t>
            </w:r>
            <w:proofErr w:type="spellEnd"/>
            <w:r w:rsidRPr="006A7AA0">
              <w:rPr>
                <w:rFonts w:ascii="Calibri" w:hAnsi="Calibri"/>
                <w:sz w:val="20"/>
                <w:szCs w:val="20"/>
              </w:rPr>
              <w:t>, Ben Wallace, Paul Mitchell – Internet Technology &amp; Governance Policy; Cole Quinn – Domains and Registry; Joanne Charles – Privacy &amp; Regulatory Affairs; Microsoft Corporation</w:t>
            </w:r>
          </w:p>
          <w:p w:rsid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 xml:space="preserve">George </w:t>
            </w:r>
            <w:proofErr w:type="spellStart"/>
            <w:r w:rsidRPr="006A7AA0">
              <w:rPr>
                <w:rFonts w:ascii="Calibri" w:hAnsi="Calibri"/>
                <w:sz w:val="20"/>
                <w:szCs w:val="20"/>
              </w:rPr>
              <w:t>Kirikos</w:t>
            </w:r>
            <w:proofErr w:type="spellEnd"/>
            <w:r w:rsidRPr="006A7AA0">
              <w:rPr>
                <w:rFonts w:ascii="Calibri" w:hAnsi="Calibri"/>
                <w:sz w:val="20"/>
                <w:szCs w:val="20"/>
              </w:rPr>
              <w:t>; Leap of Faith Financial Services Inc.</w:t>
            </w:r>
          </w:p>
          <w:p w:rsidR="006A7AA0" w:rsidRDefault="006A7AA0" w:rsidP="006A7AA0">
            <w:pPr>
              <w:pStyle w:val="ListParagraph"/>
              <w:numPr>
                <w:ilvl w:val="0"/>
                <w:numId w:val="3"/>
              </w:numPr>
              <w:rPr>
                <w:rFonts w:ascii="Calibri" w:hAnsi="Calibri"/>
                <w:sz w:val="20"/>
                <w:szCs w:val="20"/>
              </w:rPr>
            </w:pPr>
            <w:r>
              <w:rPr>
                <w:rFonts w:ascii="Calibri" w:hAnsi="Calibri"/>
                <w:sz w:val="20"/>
                <w:szCs w:val="20"/>
              </w:rPr>
              <w:t>RySG</w:t>
            </w:r>
          </w:p>
          <w:p w:rsid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 xml:space="preserve">Brian King; </w:t>
            </w:r>
            <w:proofErr w:type="spellStart"/>
            <w:r w:rsidRPr="006A7AA0">
              <w:rPr>
                <w:rFonts w:ascii="Calibri" w:hAnsi="Calibri"/>
                <w:sz w:val="20"/>
                <w:szCs w:val="20"/>
              </w:rPr>
              <w:t>MarkMonitor</w:t>
            </w:r>
            <w:proofErr w:type="spellEnd"/>
            <w:r w:rsidRPr="006A7AA0">
              <w:rPr>
                <w:rFonts w:ascii="Calibri" w:hAnsi="Calibri"/>
                <w:sz w:val="20"/>
                <w:szCs w:val="20"/>
              </w:rPr>
              <w:t>, Inc., a Clarivate Analytics company</w:t>
            </w:r>
          </w:p>
          <w:p w:rsid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Monica Sanders; i2Coalition</w:t>
            </w:r>
          </w:p>
          <w:p w:rsid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 xml:space="preserve">Greg Aaron; </w:t>
            </w:r>
            <w:proofErr w:type="spellStart"/>
            <w:r w:rsidRPr="006A7AA0">
              <w:rPr>
                <w:rFonts w:ascii="Calibri" w:hAnsi="Calibri"/>
                <w:sz w:val="20"/>
                <w:szCs w:val="20"/>
              </w:rPr>
              <w:t>iThreat</w:t>
            </w:r>
            <w:proofErr w:type="spellEnd"/>
            <w:r w:rsidRPr="006A7AA0">
              <w:rPr>
                <w:rFonts w:ascii="Calibri" w:hAnsi="Calibri"/>
                <w:sz w:val="20"/>
                <w:szCs w:val="20"/>
              </w:rPr>
              <w:t xml:space="preserve"> Cyber Group</w:t>
            </w:r>
          </w:p>
          <w:p w:rsid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Neil Fried; The Motion Picture Association of America</w:t>
            </w:r>
          </w:p>
          <w:p w:rsidR="000A6E21" w:rsidRPr="006A7AA0" w:rsidRDefault="000A6E21" w:rsidP="006A7AA0">
            <w:pPr>
              <w:pStyle w:val="ListParagraph"/>
              <w:numPr>
                <w:ilvl w:val="0"/>
                <w:numId w:val="3"/>
              </w:numPr>
              <w:rPr>
                <w:rFonts w:ascii="Calibri" w:hAnsi="Calibri"/>
                <w:sz w:val="20"/>
                <w:szCs w:val="20"/>
              </w:rPr>
            </w:pPr>
            <w:proofErr w:type="spellStart"/>
            <w:r w:rsidRPr="000A6E21">
              <w:rPr>
                <w:rFonts w:ascii="Calibri" w:hAnsi="Calibri"/>
                <w:sz w:val="20"/>
                <w:szCs w:val="20"/>
              </w:rPr>
              <w:t>Sajda</w:t>
            </w:r>
            <w:proofErr w:type="spellEnd"/>
            <w:r w:rsidRPr="000A6E21">
              <w:rPr>
                <w:rFonts w:ascii="Calibri" w:hAnsi="Calibri"/>
                <w:sz w:val="20"/>
                <w:szCs w:val="20"/>
              </w:rPr>
              <w:t xml:space="preserve"> </w:t>
            </w:r>
            <w:proofErr w:type="spellStart"/>
            <w:r w:rsidRPr="000A6E21">
              <w:rPr>
                <w:rFonts w:ascii="Calibri" w:hAnsi="Calibri"/>
                <w:sz w:val="20"/>
                <w:szCs w:val="20"/>
              </w:rPr>
              <w:t>Ouachtouki</w:t>
            </w:r>
            <w:proofErr w:type="spellEnd"/>
            <w:r w:rsidRPr="000A6E21">
              <w:rPr>
                <w:rFonts w:ascii="Calibri" w:hAnsi="Calibri"/>
                <w:sz w:val="20"/>
                <w:szCs w:val="20"/>
              </w:rPr>
              <w:t>; The Walt Disney Company</w:t>
            </w:r>
          </w:p>
        </w:tc>
        <w:tc>
          <w:tcPr>
            <w:tcW w:w="2338" w:type="dxa"/>
            <w:shd w:val="clear" w:color="auto" w:fill="F4B083" w:themeFill="accent2" w:themeFillTint="99"/>
          </w:tcPr>
          <w:p w:rsidR="006A7AA0" w:rsidRPr="006A7AA0" w:rsidRDefault="006A7AA0" w:rsidP="006A7AA0">
            <w:pPr>
              <w:pStyle w:val="ListParagraph"/>
              <w:numPr>
                <w:ilvl w:val="0"/>
                <w:numId w:val="3"/>
              </w:numPr>
              <w:rPr>
                <w:rFonts w:ascii="Calibri" w:hAnsi="Calibri"/>
                <w:sz w:val="20"/>
                <w:szCs w:val="20"/>
              </w:rPr>
            </w:pPr>
            <w:proofErr w:type="spellStart"/>
            <w:r w:rsidRPr="006A7AA0">
              <w:rPr>
                <w:rFonts w:ascii="Calibri" w:hAnsi="Calibri"/>
                <w:sz w:val="20"/>
                <w:szCs w:val="20"/>
              </w:rPr>
              <w:t>Sivasubramanian</w:t>
            </w:r>
            <w:proofErr w:type="spellEnd"/>
            <w:r w:rsidRPr="006A7AA0">
              <w:rPr>
                <w:rFonts w:ascii="Calibri" w:hAnsi="Calibri"/>
                <w:sz w:val="20"/>
                <w:szCs w:val="20"/>
              </w:rPr>
              <w:t xml:space="preserve"> Muthusamy; Internet Society India Chennai</w:t>
            </w:r>
          </w:p>
          <w:p w:rsidR="006A7AA0" w:rsidRPr="006A7AA0" w:rsidRDefault="006A7AA0" w:rsidP="006A7AA0">
            <w:pPr>
              <w:pStyle w:val="ListParagraph"/>
              <w:numPr>
                <w:ilvl w:val="0"/>
                <w:numId w:val="3"/>
              </w:numPr>
              <w:rPr>
                <w:rFonts w:ascii="Calibri" w:hAnsi="Calibri"/>
                <w:sz w:val="20"/>
                <w:szCs w:val="20"/>
              </w:rPr>
            </w:pPr>
            <w:r w:rsidRPr="006A7AA0">
              <w:rPr>
                <w:rFonts w:ascii="Calibri" w:hAnsi="Calibri"/>
                <w:sz w:val="20"/>
                <w:szCs w:val="20"/>
              </w:rPr>
              <w:t>John Poole; Domain Name Registrant</w:t>
            </w:r>
          </w:p>
        </w:tc>
        <w:tc>
          <w:tcPr>
            <w:tcW w:w="2338" w:type="dxa"/>
            <w:shd w:val="clear" w:color="auto" w:fill="F4B083" w:themeFill="accent2" w:themeFillTint="99"/>
          </w:tcPr>
          <w:p w:rsidR="006A7AA0" w:rsidRDefault="006A7AA0" w:rsidP="000F75A4">
            <w:pPr>
              <w:rPr>
                <w:b/>
              </w:rPr>
            </w:pPr>
          </w:p>
        </w:tc>
      </w:tr>
    </w:tbl>
    <w:p w:rsidR="006A7AA0" w:rsidRDefault="006A7AA0" w:rsidP="000F75A4">
      <w:pPr>
        <w:rPr>
          <w:b/>
        </w:rPr>
      </w:pPr>
    </w:p>
    <w:p w:rsidR="00E407DA" w:rsidRDefault="00E407DA">
      <w:r>
        <w:br w:type="page"/>
      </w:r>
    </w:p>
    <w:p w:rsidR="000A6E21" w:rsidRDefault="000A6E21" w:rsidP="000F75A4"/>
    <w:tbl>
      <w:tblPr>
        <w:tblStyle w:val="TableGrid"/>
        <w:tblW w:w="0" w:type="auto"/>
        <w:tblLook w:val="04A0" w:firstRow="1" w:lastRow="0" w:firstColumn="1" w:lastColumn="0" w:noHBand="0" w:noVBand="1"/>
      </w:tblPr>
      <w:tblGrid>
        <w:gridCol w:w="2337"/>
        <w:gridCol w:w="2338"/>
        <w:gridCol w:w="2337"/>
        <w:gridCol w:w="2338"/>
      </w:tblGrid>
      <w:tr w:rsidR="000A6E21" w:rsidTr="007F6CC2">
        <w:tc>
          <w:tcPr>
            <w:tcW w:w="9350" w:type="dxa"/>
            <w:gridSpan w:val="4"/>
            <w:shd w:val="clear" w:color="auto" w:fill="auto"/>
          </w:tcPr>
          <w:p w:rsidR="000A6E21" w:rsidRDefault="000A6E21" w:rsidP="007F6CC2">
            <w:pPr>
              <w:jc w:val="center"/>
              <w:rPr>
                <w:b/>
              </w:rPr>
            </w:pPr>
          </w:p>
          <w:p w:rsidR="000A6E21" w:rsidRDefault="000A6E21" w:rsidP="007F6CC2">
            <w:pPr>
              <w:jc w:val="center"/>
              <w:rPr>
                <w:b/>
              </w:rPr>
            </w:pPr>
            <w:r>
              <w:rPr>
                <w:b/>
              </w:rPr>
              <w:t>PURPOSE 3</w:t>
            </w:r>
          </w:p>
          <w:p w:rsidR="000A6E21" w:rsidRDefault="000A6E21" w:rsidP="007F6CC2">
            <w:pPr>
              <w:jc w:val="center"/>
              <w:rPr>
                <w:b/>
              </w:rPr>
            </w:pPr>
          </w:p>
          <w:p w:rsidR="000A6E21" w:rsidRPr="000A6E21" w:rsidRDefault="000A6E21" w:rsidP="000A6E21">
            <w:pPr>
              <w:rPr>
                <w:i/>
              </w:rPr>
            </w:pPr>
            <w:r w:rsidRPr="000A6E21">
              <w:rPr>
                <w:i/>
              </w:rPr>
              <w:t>Enable communication with and/or notification to the Registered Name Holder</w:t>
            </w:r>
          </w:p>
          <w:p w:rsidR="000A6E21" w:rsidRPr="000A6E21" w:rsidRDefault="000A6E21" w:rsidP="000A6E21">
            <w:pPr>
              <w:rPr>
                <w:i/>
              </w:rPr>
            </w:pPr>
            <w:r w:rsidRPr="000A6E21">
              <w:rPr>
                <w:i/>
              </w:rPr>
              <w:t>and/or their delegated agents of technical and/or administrative issues with a</w:t>
            </w:r>
          </w:p>
          <w:p w:rsidR="000A6E21" w:rsidRDefault="000A6E21" w:rsidP="000A6E21">
            <w:pPr>
              <w:rPr>
                <w:i/>
              </w:rPr>
            </w:pPr>
            <w:r w:rsidRPr="000A6E21">
              <w:rPr>
                <w:i/>
              </w:rPr>
              <w:t>Registered Name;</w:t>
            </w:r>
          </w:p>
          <w:p w:rsidR="000A6E21" w:rsidRDefault="000A6E21" w:rsidP="000A6E21">
            <w:pPr>
              <w:jc w:val="center"/>
              <w:rPr>
                <w:b/>
              </w:rPr>
            </w:pPr>
          </w:p>
        </w:tc>
      </w:tr>
      <w:tr w:rsidR="000A6E21" w:rsidTr="000A6E21">
        <w:tc>
          <w:tcPr>
            <w:tcW w:w="2337" w:type="dxa"/>
            <w:shd w:val="clear" w:color="auto" w:fill="70AD47" w:themeFill="accent6"/>
          </w:tcPr>
          <w:p w:rsidR="000A6E21" w:rsidRDefault="000A6E21" w:rsidP="000A6E21">
            <w:pPr>
              <w:jc w:val="center"/>
              <w:rPr>
                <w:b/>
              </w:rPr>
            </w:pPr>
            <w:r>
              <w:rPr>
                <w:b/>
              </w:rPr>
              <w:t>Support as written</w:t>
            </w:r>
          </w:p>
        </w:tc>
        <w:tc>
          <w:tcPr>
            <w:tcW w:w="2338" w:type="dxa"/>
            <w:shd w:val="clear" w:color="auto" w:fill="70AD47" w:themeFill="accent6"/>
          </w:tcPr>
          <w:p w:rsidR="000A6E21" w:rsidRDefault="000A6E21" w:rsidP="000A6E21">
            <w:pPr>
              <w:jc w:val="center"/>
              <w:rPr>
                <w:b/>
              </w:rPr>
            </w:pPr>
            <w:r>
              <w:rPr>
                <w:b/>
              </w:rPr>
              <w:t>Support with edits</w:t>
            </w:r>
          </w:p>
        </w:tc>
        <w:tc>
          <w:tcPr>
            <w:tcW w:w="2337" w:type="dxa"/>
            <w:shd w:val="clear" w:color="auto" w:fill="C00000"/>
          </w:tcPr>
          <w:p w:rsidR="000A6E21" w:rsidRDefault="000A6E21" w:rsidP="000A6E21">
            <w:pPr>
              <w:jc w:val="center"/>
              <w:rPr>
                <w:b/>
              </w:rPr>
            </w:pPr>
            <w:r>
              <w:rPr>
                <w:b/>
              </w:rPr>
              <w:t>Requires Amendment</w:t>
            </w:r>
          </w:p>
        </w:tc>
        <w:tc>
          <w:tcPr>
            <w:tcW w:w="2338" w:type="dxa"/>
            <w:shd w:val="clear" w:color="auto" w:fill="C00000"/>
          </w:tcPr>
          <w:p w:rsidR="000A6E21" w:rsidRDefault="000A6E21" w:rsidP="000A6E21">
            <w:pPr>
              <w:jc w:val="center"/>
              <w:rPr>
                <w:b/>
              </w:rPr>
            </w:pPr>
            <w:r>
              <w:rPr>
                <w:b/>
              </w:rPr>
              <w:t>Requires Deletion</w:t>
            </w:r>
          </w:p>
        </w:tc>
      </w:tr>
      <w:tr w:rsidR="000A6E21" w:rsidTr="000A6E21">
        <w:tc>
          <w:tcPr>
            <w:tcW w:w="2337" w:type="dxa"/>
            <w:shd w:val="clear" w:color="auto" w:fill="C5E0B3" w:themeFill="accent6" w:themeFillTint="66"/>
          </w:tcPr>
          <w:p w:rsidR="000A6E21" w:rsidRPr="000A6E21" w:rsidRDefault="000A6E21" w:rsidP="000A6E21">
            <w:pPr>
              <w:pStyle w:val="ListParagraph"/>
              <w:numPr>
                <w:ilvl w:val="0"/>
                <w:numId w:val="4"/>
              </w:numPr>
              <w:rPr>
                <w:b/>
                <w:sz w:val="20"/>
                <w:szCs w:val="20"/>
              </w:rPr>
            </w:pPr>
            <w:r w:rsidRPr="000A6E21">
              <w:rPr>
                <w:sz w:val="20"/>
                <w:szCs w:val="20"/>
              </w:rPr>
              <w:t>ALAC</w:t>
            </w:r>
          </w:p>
          <w:p w:rsidR="000A6E21" w:rsidRPr="000A6E21" w:rsidRDefault="000A6E21" w:rsidP="000A6E21">
            <w:pPr>
              <w:pStyle w:val="ListParagraph"/>
              <w:numPr>
                <w:ilvl w:val="0"/>
                <w:numId w:val="4"/>
              </w:numPr>
              <w:rPr>
                <w:b/>
                <w:sz w:val="20"/>
                <w:szCs w:val="20"/>
              </w:rPr>
            </w:pPr>
            <w:r w:rsidRPr="000A6E21">
              <w:rPr>
                <w:sz w:val="20"/>
                <w:szCs w:val="20"/>
              </w:rPr>
              <w:t xml:space="preserve">Tim Chen; </w:t>
            </w:r>
            <w:proofErr w:type="spellStart"/>
            <w:r w:rsidRPr="000A6E21">
              <w:rPr>
                <w:sz w:val="20"/>
                <w:szCs w:val="20"/>
              </w:rPr>
              <w:t>DomainTools</w:t>
            </w:r>
            <w:proofErr w:type="spellEnd"/>
          </w:p>
          <w:p w:rsidR="000A6E21" w:rsidRPr="000A6E21" w:rsidRDefault="000A6E21" w:rsidP="000A6E21">
            <w:pPr>
              <w:pStyle w:val="ListParagraph"/>
              <w:numPr>
                <w:ilvl w:val="0"/>
                <w:numId w:val="4"/>
              </w:numPr>
              <w:rPr>
                <w:b/>
                <w:sz w:val="20"/>
                <w:szCs w:val="20"/>
              </w:rPr>
            </w:pPr>
            <w:r w:rsidRPr="000A6E21">
              <w:rPr>
                <w:sz w:val="20"/>
                <w:szCs w:val="20"/>
              </w:rPr>
              <w:t>A. Mark Massey; Domain Name Rights Coalition</w:t>
            </w:r>
          </w:p>
          <w:p w:rsidR="000A6E21" w:rsidRDefault="000A6E21" w:rsidP="000A6E21">
            <w:pPr>
              <w:pStyle w:val="ListParagraph"/>
              <w:numPr>
                <w:ilvl w:val="0"/>
                <w:numId w:val="4"/>
              </w:numPr>
              <w:rPr>
                <w:sz w:val="20"/>
                <w:szCs w:val="20"/>
              </w:rPr>
            </w:pPr>
            <w:proofErr w:type="spellStart"/>
            <w:r w:rsidRPr="000A6E21">
              <w:rPr>
                <w:sz w:val="20"/>
                <w:szCs w:val="20"/>
              </w:rPr>
              <w:t>Farzaneh</w:t>
            </w:r>
            <w:proofErr w:type="spellEnd"/>
            <w:r w:rsidRPr="000A6E21">
              <w:rPr>
                <w:sz w:val="20"/>
                <w:szCs w:val="20"/>
              </w:rPr>
              <w:t xml:space="preserve"> </w:t>
            </w:r>
            <w:proofErr w:type="spellStart"/>
            <w:r w:rsidRPr="000A6E21">
              <w:rPr>
                <w:sz w:val="20"/>
                <w:szCs w:val="20"/>
              </w:rPr>
              <w:t>Badii</w:t>
            </w:r>
            <w:proofErr w:type="spellEnd"/>
            <w:r w:rsidRPr="000A6E21">
              <w:rPr>
                <w:sz w:val="20"/>
                <w:szCs w:val="20"/>
              </w:rPr>
              <w:t>; Internet Governance Project</w:t>
            </w:r>
          </w:p>
          <w:p w:rsidR="000A6E21" w:rsidRDefault="000A6E21" w:rsidP="000A6E21">
            <w:pPr>
              <w:pStyle w:val="ListParagraph"/>
              <w:numPr>
                <w:ilvl w:val="0"/>
                <w:numId w:val="4"/>
              </w:numPr>
              <w:rPr>
                <w:sz w:val="20"/>
                <w:szCs w:val="20"/>
              </w:rPr>
            </w:pPr>
            <w:r>
              <w:rPr>
                <w:sz w:val="20"/>
                <w:szCs w:val="20"/>
              </w:rPr>
              <w:t>NCSG</w:t>
            </w:r>
          </w:p>
          <w:p w:rsidR="008624BB" w:rsidRDefault="008624BB" w:rsidP="000A6E21">
            <w:pPr>
              <w:pStyle w:val="ListParagraph"/>
              <w:numPr>
                <w:ilvl w:val="0"/>
                <w:numId w:val="4"/>
              </w:numPr>
              <w:rPr>
                <w:sz w:val="20"/>
                <w:szCs w:val="20"/>
              </w:rPr>
            </w:pPr>
            <w:r w:rsidRPr="008624BB">
              <w:rPr>
                <w:sz w:val="20"/>
                <w:szCs w:val="20"/>
              </w:rPr>
              <w:t>Monica Sanders; i2Coalition</w:t>
            </w:r>
          </w:p>
          <w:p w:rsidR="008624BB" w:rsidRDefault="008624BB" w:rsidP="000A6E21">
            <w:pPr>
              <w:pStyle w:val="ListParagraph"/>
              <w:numPr>
                <w:ilvl w:val="0"/>
                <w:numId w:val="4"/>
              </w:numPr>
              <w:rPr>
                <w:sz w:val="20"/>
                <w:szCs w:val="20"/>
              </w:rPr>
            </w:pPr>
            <w:r w:rsidRPr="008624BB">
              <w:rPr>
                <w:sz w:val="20"/>
                <w:szCs w:val="20"/>
              </w:rPr>
              <w:t>David Martel</w:t>
            </w:r>
          </w:p>
          <w:p w:rsidR="008624BB" w:rsidRDefault="008624BB" w:rsidP="000A6E21">
            <w:pPr>
              <w:pStyle w:val="ListParagraph"/>
              <w:numPr>
                <w:ilvl w:val="0"/>
                <w:numId w:val="4"/>
              </w:numPr>
              <w:rPr>
                <w:sz w:val="20"/>
                <w:szCs w:val="20"/>
              </w:rPr>
            </w:pPr>
            <w:r w:rsidRPr="008624BB">
              <w:rPr>
                <w:sz w:val="20"/>
                <w:szCs w:val="20"/>
              </w:rPr>
              <w:t>Etienne Laurin</w:t>
            </w:r>
          </w:p>
          <w:p w:rsidR="008624BB" w:rsidRPr="000A6E21" w:rsidRDefault="008624BB" w:rsidP="000A6E21">
            <w:pPr>
              <w:pStyle w:val="ListParagraph"/>
              <w:numPr>
                <w:ilvl w:val="0"/>
                <w:numId w:val="4"/>
              </w:numPr>
              <w:rPr>
                <w:sz w:val="20"/>
                <w:szCs w:val="20"/>
              </w:rPr>
            </w:pPr>
            <w:r w:rsidRPr="008624BB">
              <w:rPr>
                <w:sz w:val="20"/>
                <w:szCs w:val="20"/>
              </w:rPr>
              <w:t xml:space="preserve">Greg </w:t>
            </w:r>
            <w:proofErr w:type="spellStart"/>
            <w:r w:rsidRPr="008624BB">
              <w:rPr>
                <w:sz w:val="20"/>
                <w:szCs w:val="20"/>
              </w:rPr>
              <w:t>Mounier</w:t>
            </w:r>
            <w:proofErr w:type="spellEnd"/>
            <w:r w:rsidRPr="008624BB">
              <w:rPr>
                <w:sz w:val="20"/>
                <w:szCs w:val="20"/>
              </w:rPr>
              <w:t xml:space="preserve"> on behalf of Europol AGIS; Europol Advisory Group on Internet Security</w:t>
            </w:r>
          </w:p>
        </w:tc>
        <w:tc>
          <w:tcPr>
            <w:tcW w:w="2338" w:type="dxa"/>
            <w:shd w:val="clear" w:color="auto" w:fill="C5E0B3" w:themeFill="accent6" w:themeFillTint="66"/>
          </w:tcPr>
          <w:p w:rsidR="000A6E21" w:rsidRPr="000A6E21" w:rsidRDefault="000A6E21" w:rsidP="000A6E21">
            <w:pPr>
              <w:pStyle w:val="ListParagraph"/>
              <w:numPr>
                <w:ilvl w:val="0"/>
                <w:numId w:val="4"/>
              </w:numPr>
              <w:rPr>
                <w:b/>
              </w:rPr>
            </w:pPr>
            <w:proofErr w:type="spellStart"/>
            <w:r w:rsidRPr="000A6E21">
              <w:rPr>
                <w:sz w:val="20"/>
                <w:szCs w:val="20"/>
              </w:rPr>
              <w:t>Sivasubramanian</w:t>
            </w:r>
            <w:proofErr w:type="spellEnd"/>
            <w:r w:rsidRPr="000A6E21">
              <w:rPr>
                <w:sz w:val="20"/>
                <w:szCs w:val="20"/>
              </w:rPr>
              <w:t xml:space="preserve"> Muthusamy; Internet Society India Chennai</w:t>
            </w:r>
          </w:p>
          <w:p w:rsidR="000A6E21" w:rsidRPr="000A6E21" w:rsidRDefault="000A6E21" w:rsidP="000A6E21">
            <w:pPr>
              <w:pStyle w:val="ListParagraph"/>
              <w:numPr>
                <w:ilvl w:val="0"/>
                <w:numId w:val="4"/>
              </w:numPr>
              <w:rPr>
                <w:b/>
              </w:rPr>
            </w:pPr>
            <w:r w:rsidRPr="000A6E21">
              <w:rPr>
                <w:sz w:val="20"/>
                <w:szCs w:val="20"/>
              </w:rPr>
              <w:t xml:space="preserve">DR. JAIDEEP KUMAR </w:t>
            </w:r>
            <w:proofErr w:type="gramStart"/>
            <w:r w:rsidRPr="000A6E21">
              <w:rPr>
                <w:sz w:val="20"/>
                <w:szCs w:val="20"/>
              </w:rPr>
              <w:t>MISHRA ;</w:t>
            </w:r>
            <w:proofErr w:type="gramEnd"/>
            <w:r w:rsidRPr="000A6E21">
              <w:rPr>
                <w:sz w:val="20"/>
                <w:szCs w:val="20"/>
              </w:rPr>
              <w:t xml:space="preserve"> DIRECTOR MINISTRY OF ELECTRONICS AND INFORMATION TECHNOLOGY, GOVERNMENT OF INDIA</w:t>
            </w:r>
          </w:p>
          <w:p w:rsidR="000A6E21" w:rsidRPr="000A6E21" w:rsidRDefault="000A6E21" w:rsidP="000A6E21">
            <w:pPr>
              <w:pStyle w:val="ListParagraph"/>
              <w:numPr>
                <w:ilvl w:val="0"/>
                <w:numId w:val="4"/>
              </w:numPr>
              <w:rPr>
                <w:b/>
              </w:rPr>
            </w:pPr>
            <w:r w:rsidRPr="000A6E21">
              <w:rPr>
                <w:sz w:val="20"/>
                <w:szCs w:val="20"/>
              </w:rPr>
              <w:t>IPC</w:t>
            </w:r>
          </w:p>
          <w:p w:rsidR="000A6E21" w:rsidRPr="000A6E21" w:rsidRDefault="000A6E21" w:rsidP="000A6E21">
            <w:pPr>
              <w:pStyle w:val="ListParagraph"/>
              <w:numPr>
                <w:ilvl w:val="0"/>
                <w:numId w:val="4"/>
              </w:numPr>
              <w:rPr>
                <w:b/>
              </w:rPr>
            </w:pPr>
            <w:r w:rsidRPr="000A6E21">
              <w:rPr>
                <w:sz w:val="20"/>
                <w:szCs w:val="20"/>
              </w:rPr>
              <w:t>Dean S. Marks; Coalition for Online Accountability</w:t>
            </w:r>
          </w:p>
          <w:p w:rsidR="000A6E21" w:rsidRPr="000A6E21" w:rsidRDefault="000A6E21" w:rsidP="000A6E21">
            <w:pPr>
              <w:pStyle w:val="ListParagraph"/>
              <w:numPr>
                <w:ilvl w:val="0"/>
                <w:numId w:val="4"/>
              </w:numPr>
              <w:rPr>
                <w:b/>
              </w:rPr>
            </w:pPr>
            <w:r w:rsidRPr="000A6E21">
              <w:rPr>
                <w:sz w:val="20"/>
                <w:szCs w:val="20"/>
              </w:rPr>
              <w:t>Lori Schulman Senior Director, Internet Policy; International Trademark Association (INTA)</w:t>
            </w:r>
          </w:p>
          <w:p w:rsidR="000A6E21" w:rsidRPr="000A6E21" w:rsidRDefault="000A6E21" w:rsidP="000A6E21">
            <w:pPr>
              <w:pStyle w:val="ListParagraph"/>
              <w:numPr>
                <w:ilvl w:val="0"/>
                <w:numId w:val="4"/>
              </w:numPr>
              <w:rPr>
                <w:sz w:val="20"/>
                <w:szCs w:val="20"/>
              </w:rPr>
            </w:pPr>
            <w:r w:rsidRPr="000A6E21">
              <w:rPr>
                <w:sz w:val="20"/>
                <w:szCs w:val="20"/>
              </w:rPr>
              <w:t>BC</w:t>
            </w:r>
          </w:p>
          <w:p w:rsidR="000A6E21" w:rsidRPr="000A6E21" w:rsidRDefault="000A6E21" w:rsidP="000A6E21">
            <w:pPr>
              <w:pStyle w:val="ListParagraph"/>
              <w:numPr>
                <w:ilvl w:val="0"/>
                <w:numId w:val="4"/>
              </w:numPr>
              <w:rPr>
                <w:b/>
              </w:rPr>
            </w:pPr>
            <w:r w:rsidRPr="000A6E21">
              <w:rPr>
                <w:sz w:val="20"/>
                <w:szCs w:val="20"/>
              </w:rPr>
              <w:t xml:space="preserve">Jeremy </w:t>
            </w:r>
            <w:proofErr w:type="spellStart"/>
            <w:r w:rsidRPr="000A6E21">
              <w:rPr>
                <w:sz w:val="20"/>
                <w:szCs w:val="20"/>
              </w:rPr>
              <w:t>Dallman</w:t>
            </w:r>
            <w:proofErr w:type="spellEnd"/>
            <w:r w:rsidRPr="000A6E21">
              <w:rPr>
                <w:sz w:val="20"/>
                <w:szCs w:val="20"/>
              </w:rPr>
              <w:t xml:space="preserve">, David Ladd – Microsoft Threat Intelligence Center; Amy Hogan-Burney, Richard </w:t>
            </w:r>
            <w:proofErr w:type="spellStart"/>
            <w:r w:rsidRPr="000A6E21">
              <w:rPr>
                <w:sz w:val="20"/>
                <w:szCs w:val="20"/>
              </w:rPr>
              <w:t>Boscovich</w:t>
            </w:r>
            <w:proofErr w:type="spellEnd"/>
            <w:r w:rsidRPr="000A6E21">
              <w:rPr>
                <w:sz w:val="20"/>
                <w:szCs w:val="20"/>
              </w:rPr>
              <w:t xml:space="preserve"> – Digital Crimes Unit; </w:t>
            </w:r>
            <w:proofErr w:type="spellStart"/>
            <w:r w:rsidRPr="000A6E21">
              <w:rPr>
                <w:sz w:val="20"/>
                <w:szCs w:val="20"/>
              </w:rPr>
              <w:t>Makalika</w:t>
            </w:r>
            <w:proofErr w:type="spellEnd"/>
            <w:r w:rsidRPr="000A6E21">
              <w:rPr>
                <w:sz w:val="20"/>
                <w:szCs w:val="20"/>
              </w:rPr>
              <w:t xml:space="preserve"> </w:t>
            </w:r>
            <w:proofErr w:type="spellStart"/>
            <w:r w:rsidRPr="000A6E21">
              <w:rPr>
                <w:sz w:val="20"/>
                <w:szCs w:val="20"/>
              </w:rPr>
              <w:t>Naholowaa</w:t>
            </w:r>
            <w:proofErr w:type="spellEnd"/>
            <w:r w:rsidRPr="000A6E21">
              <w:rPr>
                <w:sz w:val="20"/>
                <w:szCs w:val="20"/>
              </w:rPr>
              <w:t xml:space="preserve">, Teresa </w:t>
            </w:r>
            <w:proofErr w:type="spellStart"/>
            <w:r w:rsidRPr="000A6E21">
              <w:rPr>
                <w:sz w:val="20"/>
                <w:szCs w:val="20"/>
              </w:rPr>
              <w:t>Rodewald</w:t>
            </w:r>
            <w:proofErr w:type="spellEnd"/>
            <w:r w:rsidRPr="000A6E21">
              <w:rPr>
                <w:sz w:val="20"/>
                <w:szCs w:val="20"/>
              </w:rPr>
              <w:t xml:space="preserve">, Cam </w:t>
            </w:r>
            <w:proofErr w:type="spellStart"/>
            <w:r w:rsidRPr="000A6E21">
              <w:rPr>
                <w:sz w:val="20"/>
                <w:szCs w:val="20"/>
              </w:rPr>
              <w:t>Gatta</w:t>
            </w:r>
            <w:proofErr w:type="spellEnd"/>
            <w:r w:rsidRPr="000A6E21">
              <w:rPr>
                <w:sz w:val="20"/>
                <w:szCs w:val="20"/>
              </w:rPr>
              <w:t xml:space="preserve"> – Trademark; Mark </w:t>
            </w:r>
            <w:proofErr w:type="spellStart"/>
            <w:r w:rsidRPr="000A6E21">
              <w:rPr>
                <w:sz w:val="20"/>
                <w:szCs w:val="20"/>
              </w:rPr>
              <w:t>Svancarek</w:t>
            </w:r>
            <w:proofErr w:type="spellEnd"/>
            <w:r w:rsidRPr="000A6E21">
              <w:rPr>
                <w:sz w:val="20"/>
                <w:szCs w:val="20"/>
              </w:rPr>
              <w:t>, Ben Wallace, Paul Mitchell – Internet Technology &amp; Governance Policy; Cole Quinn – Domains and Registry; Joanne Charles – Privacy &amp; Regulatory Affairs; Microsoft Corporation</w:t>
            </w:r>
          </w:p>
          <w:p w:rsidR="000A6E21" w:rsidRPr="000A6E21" w:rsidRDefault="000A6E21" w:rsidP="000A6E21">
            <w:pPr>
              <w:pStyle w:val="ListParagraph"/>
              <w:numPr>
                <w:ilvl w:val="0"/>
                <w:numId w:val="4"/>
              </w:numPr>
              <w:rPr>
                <w:b/>
              </w:rPr>
            </w:pPr>
            <w:r w:rsidRPr="000A6E21">
              <w:rPr>
                <w:sz w:val="20"/>
                <w:szCs w:val="20"/>
              </w:rPr>
              <w:t xml:space="preserve">George </w:t>
            </w:r>
            <w:proofErr w:type="spellStart"/>
            <w:r w:rsidRPr="000A6E21">
              <w:rPr>
                <w:sz w:val="20"/>
                <w:szCs w:val="20"/>
              </w:rPr>
              <w:t>Kirikos</w:t>
            </w:r>
            <w:proofErr w:type="spellEnd"/>
            <w:r w:rsidRPr="000A6E21">
              <w:rPr>
                <w:sz w:val="20"/>
                <w:szCs w:val="20"/>
              </w:rPr>
              <w:t>; Leap of Faith Financial Services Inc.</w:t>
            </w:r>
          </w:p>
          <w:p w:rsidR="000A6E21" w:rsidRPr="000A6E21" w:rsidRDefault="000A6E21" w:rsidP="000A6E21">
            <w:pPr>
              <w:pStyle w:val="ListParagraph"/>
              <w:numPr>
                <w:ilvl w:val="0"/>
                <w:numId w:val="4"/>
              </w:numPr>
              <w:rPr>
                <w:b/>
              </w:rPr>
            </w:pPr>
            <w:r w:rsidRPr="000A6E21">
              <w:rPr>
                <w:sz w:val="20"/>
                <w:szCs w:val="20"/>
              </w:rPr>
              <w:t>Tucows Domains Inc.</w:t>
            </w:r>
          </w:p>
          <w:p w:rsidR="000A6E21" w:rsidRPr="000A6E21" w:rsidRDefault="000A6E21" w:rsidP="000A6E21">
            <w:pPr>
              <w:pStyle w:val="ListParagraph"/>
              <w:numPr>
                <w:ilvl w:val="0"/>
                <w:numId w:val="4"/>
              </w:numPr>
              <w:rPr>
                <w:b/>
              </w:rPr>
            </w:pPr>
            <w:r w:rsidRPr="000A6E21">
              <w:rPr>
                <w:sz w:val="20"/>
                <w:szCs w:val="20"/>
              </w:rPr>
              <w:t xml:space="preserve">Michele </w:t>
            </w:r>
            <w:proofErr w:type="spellStart"/>
            <w:r w:rsidRPr="000A6E21">
              <w:rPr>
                <w:sz w:val="20"/>
                <w:szCs w:val="20"/>
              </w:rPr>
              <w:t>Neylon</w:t>
            </w:r>
            <w:proofErr w:type="spellEnd"/>
            <w:r w:rsidRPr="000A6E21">
              <w:rPr>
                <w:sz w:val="20"/>
                <w:szCs w:val="20"/>
              </w:rPr>
              <w:t xml:space="preserve">; </w:t>
            </w:r>
            <w:proofErr w:type="spellStart"/>
            <w:r w:rsidRPr="000A6E21">
              <w:rPr>
                <w:sz w:val="20"/>
                <w:szCs w:val="20"/>
              </w:rPr>
              <w:t>Blacknight</w:t>
            </w:r>
            <w:proofErr w:type="spellEnd"/>
            <w:r w:rsidRPr="000A6E21">
              <w:rPr>
                <w:sz w:val="20"/>
                <w:szCs w:val="20"/>
              </w:rPr>
              <w:t xml:space="preserve"> Internet Solutions Ltd</w:t>
            </w:r>
          </w:p>
          <w:p w:rsidR="000A6E21" w:rsidRPr="000A6E21" w:rsidRDefault="000A6E21" w:rsidP="000A6E21">
            <w:pPr>
              <w:pStyle w:val="ListParagraph"/>
              <w:numPr>
                <w:ilvl w:val="0"/>
                <w:numId w:val="4"/>
              </w:numPr>
              <w:rPr>
                <w:sz w:val="20"/>
                <w:szCs w:val="20"/>
              </w:rPr>
            </w:pPr>
            <w:r w:rsidRPr="000A6E21">
              <w:rPr>
                <w:sz w:val="20"/>
                <w:szCs w:val="20"/>
              </w:rPr>
              <w:t>Sara Bockey; GoDaddy</w:t>
            </w:r>
          </w:p>
          <w:p w:rsidR="000A6E21" w:rsidRPr="000A6E21" w:rsidRDefault="000A6E21" w:rsidP="000A6E21">
            <w:pPr>
              <w:pStyle w:val="ListParagraph"/>
              <w:numPr>
                <w:ilvl w:val="0"/>
                <w:numId w:val="4"/>
              </w:numPr>
              <w:rPr>
                <w:b/>
              </w:rPr>
            </w:pPr>
            <w:r w:rsidRPr="000A6E21">
              <w:rPr>
                <w:sz w:val="20"/>
                <w:szCs w:val="20"/>
              </w:rPr>
              <w:t xml:space="preserve">Volker </w:t>
            </w:r>
            <w:proofErr w:type="spellStart"/>
            <w:r w:rsidRPr="000A6E21">
              <w:rPr>
                <w:sz w:val="20"/>
                <w:szCs w:val="20"/>
              </w:rPr>
              <w:t>Greimann</w:t>
            </w:r>
            <w:proofErr w:type="spellEnd"/>
            <w:r w:rsidRPr="000A6E21">
              <w:rPr>
                <w:sz w:val="20"/>
                <w:szCs w:val="20"/>
              </w:rPr>
              <w:t>; Key-Systems GmbH</w:t>
            </w:r>
          </w:p>
          <w:p w:rsidR="000A6E21" w:rsidRPr="000A6E21" w:rsidRDefault="000A6E21" w:rsidP="000A6E21">
            <w:pPr>
              <w:pStyle w:val="ListParagraph"/>
              <w:numPr>
                <w:ilvl w:val="0"/>
                <w:numId w:val="4"/>
              </w:numPr>
              <w:rPr>
                <w:b/>
              </w:rPr>
            </w:pPr>
            <w:proofErr w:type="spellStart"/>
            <w:r w:rsidRPr="000A6E21">
              <w:rPr>
                <w:sz w:val="20"/>
                <w:szCs w:val="20"/>
              </w:rPr>
              <w:t>RrSG</w:t>
            </w:r>
            <w:proofErr w:type="spellEnd"/>
          </w:p>
          <w:p w:rsidR="000A6E21" w:rsidRPr="000A6E21" w:rsidRDefault="000A6E21" w:rsidP="000A6E21">
            <w:pPr>
              <w:pStyle w:val="ListParagraph"/>
              <w:numPr>
                <w:ilvl w:val="0"/>
                <w:numId w:val="4"/>
              </w:numPr>
              <w:rPr>
                <w:b/>
              </w:rPr>
            </w:pPr>
            <w:r w:rsidRPr="000A6E21">
              <w:rPr>
                <w:sz w:val="20"/>
                <w:szCs w:val="20"/>
              </w:rPr>
              <w:t>Domain.com, LLC &amp; affiliates</w:t>
            </w:r>
          </w:p>
          <w:p w:rsidR="000A6E21" w:rsidRPr="008624BB" w:rsidRDefault="000A6E21" w:rsidP="000A6E21">
            <w:pPr>
              <w:pStyle w:val="ListParagraph"/>
              <w:numPr>
                <w:ilvl w:val="0"/>
                <w:numId w:val="4"/>
              </w:numPr>
              <w:rPr>
                <w:b/>
              </w:rPr>
            </w:pPr>
            <w:r w:rsidRPr="000A6E21">
              <w:rPr>
                <w:sz w:val="20"/>
                <w:szCs w:val="20"/>
              </w:rPr>
              <w:t>RySG</w:t>
            </w:r>
          </w:p>
          <w:p w:rsidR="008624BB" w:rsidRPr="008624BB" w:rsidRDefault="008624BB" w:rsidP="000A6E21">
            <w:pPr>
              <w:pStyle w:val="ListParagraph"/>
              <w:numPr>
                <w:ilvl w:val="0"/>
                <w:numId w:val="4"/>
              </w:numPr>
              <w:rPr>
                <w:b/>
              </w:rPr>
            </w:pPr>
            <w:r w:rsidRPr="008624BB">
              <w:rPr>
                <w:sz w:val="20"/>
                <w:szCs w:val="20"/>
              </w:rPr>
              <w:t xml:space="preserve">Brian King; </w:t>
            </w:r>
            <w:proofErr w:type="spellStart"/>
            <w:r w:rsidRPr="008624BB">
              <w:rPr>
                <w:sz w:val="20"/>
                <w:szCs w:val="20"/>
              </w:rPr>
              <w:t>MarkMonitor</w:t>
            </w:r>
            <w:proofErr w:type="spellEnd"/>
            <w:r w:rsidRPr="008624BB">
              <w:rPr>
                <w:sz w:val="20"/>
                <w:szCs w:val="20"/>
              </w:rPr>
              <w:t>, Inc., a Clarivate Analytics company</w:t>
            </w:r>
          </w:p>
          <w:p w:rsidR="008624BB" w:rsidRPr="008624BB" w:rsidRDefault="008624BB" w:rsidP="000A6E21">
            <w:pPr>
              <w:pStyle w:val="ListParagraph"/>
              <w:numPr>
                <w:ilvl w:val="0"/>
                <w:numId w:val="4"/>
              </w:numPr>
              <w:rPr>
                <w:b/>
              </w:rPr>
            </w:pPr>
            <w:r w:rsidRPr="008624BB">
              <w:rPr>
                <w:sz w:val="20"/>
                <w:szCs w:val="20"/>
              </w:rPr>
              <w:t>Lars Steffen; eco – Association of the Internet Industry</w:t>
            </w:r>
          </w:p>
          <w:p w:rsidR="008624BB" w:rsidRPr="008624BB" w:rsidRDefault="008624BB" w:rsidP="000A6E21">
            <w:pPr>
              <w:pStyle w:val="ListParagraph"/>
              <w:numPr>
                <w:ilvl w:val="0"/>
                <w:numId w:val="4"/>
              </w:numPr>
              <w:rPr>
                <w:b/>
              </w:rPr>
            </w:pPr>
            <w:r w:rsidRPr="008624BB">
              <w:rPr>
                <w:sz w:val="20"/>
                <w:szCs w:val="20"/>
              </w:rPr>
              <w:t xml:space="preserve">Wolf-Ulrich </w:t>
            </w:r>
            <w:proofErr w:type="spellStart"/>
            <w:r w:rsidRPr="008624BB">
              <w:rPr>
                <w:sz w:val="20"/>
                <w:szCs w:val="20"/>
              </w:rPr>
              <w:t>Knoben</w:t>
            </w:r>
            <w:proofErr w:type="spellEnd"/>
            <w:r w:rsidRPr="008624BB">
              <w:rPr>
                <w:sz w:val="20"/>
                <w:szCs w:val="20"/>
              </w:rPr>
              <w:t>; ISPCP Constituency</w:t>
            </w:r>
          </w:p>
          <w:p w:rsidR="008624BB" w:rsidRPr="008624BB" w:rsidRDefault="008624BB" w:rsidP="000A6E21">
            <w:pPr>
              <w:pStyle w:val="ListParagraph"/>
              <w:numPr>
                <w:ilvl w:val="0"/>
                <w:numId w:val="4"/>
              </w:numPr>
              <w:rPr>
                <w:b/>
              </w:rPr>
            </w:pPr>
            <w:r w:rsidRPr="008624BB">
              <w:rPr>
                <w:sz w:val="20"/>
                <w:szCs w:val="20"/>
              </w:rPr>
              <w:t>SSAC</w:t>
            </w:r>
          </w:p>
          <w:p w:rsidR="008624BB" w:rsidRPr="008624BB" w:rsidRDefault="008624BB" w:rsidP="000A6E21">
            <w:pPr>
              <w:pStyle w:val="ListParagraph"/>
              <w:numPr>
                <w:ilvl w:val="0"/>
                <w:numId w:val="4"/>
              </w:numPr>
              <w:rPr>
                <w:b/>
              </w:rPr>
            </w:pPr>
            <w:r w:rsidRPr="008624BB">
              <w:rPr>
                <w:sz w:val="20"/>
                <w:szCs w:val="20"/>
              </w:rPr>
              <w:t>Neil Fried; The Motion Picture Association of America</w:t>
            </w:r>
          </w:p>
          <w:p w:rsidR="008624BB" w:rsidRDefault="008624BB" w:rsidP="000A6E21">
            <w:pPr>
              <w:pStyle w:val="ListParagraph"/>
              <w:numPr>
                <w:ilvl w:val="0"/>
                <w:numId w:val="4"/>
              </w:numPr>
              <w:rPr>
                <w:b/>
              </w:rPr>
            </w:pPr>
            <w:proofErr w:type="spellStart"/>
            <w:r w:rsidRPr="008624BB">
              <w:rPr>
                <w:sz w:val="20"/>
                <w:szCs w:val="20"/>
              </w:rPr>
              <w:t>Sajda</w:t>
            </w:r>
            <w:proofErr w:type="spellEnd"/>
            <w:r w:rsidRPr="008624BB">
              <w:rPr>
                <w:sz w:val="20"/>
                <w:szCs w:val="20"/>
              </w:rPr>
              <w:t xml:space="preserve"> </w:t>
            </w:r>
            <w:proofErr w:type="spellStart"/>
            <w:r w:rsidRPr="008624BB">
              <w:rPr>
                <w:sz w:val="20"/>
                <w:szCs w:val="20"/>
              </w:rPr>
              <w:t>Ouachtouki</w:t>
            </w:r>
            <w:proofErr w:type="spellEnd"/>
            <w:r w:rsidRPr="008624BB">
              <w:rPr>
                <w:sz w:val="20"/>
                <w:szCs w:val="20"/>
              </w:rPr>
              <w:t>; The Walt Disney Company</w:t>
            </w:r>
          </w:p>
        </w:tc>
        <w:tc>
          <w:tcPr>
            <w:tcW w:w="2337" w:type="dxa"/>
            <w:shd w:val="clear" w:color="auto" w:fill="F7CAAC" w:themeFill="accent2" w:themeFillTint="66"/>
          </w:tcPr>
          <w:p w:rsidR="000A6E21" w:rsidRDefault="000A6E21" w:rsidP="007F6CC2">
            <w:pPr>
              <w:jc w:val="center"/>
              <w:rPr>
                <w:b/>
              </w:rPr>
            </w:pPr>
          </w:p>
        </w:tc>
        <w:tc>
          <w:tcPr>
            <w:tcW w:w="2338" w:type="dxa"/>
            <w:shd w:val="clear" w:color="auto" w:fill="F7CAAC" w:themeFill="accent2" w:themeFillTint="66"/>
          </w:tcPr>
          <w:p w:rsidR="000A6E21" w:rsidRPr="000A6E21" w:rsidRDefault="000A6E21" w:rsidP="000A6E21">
            <w:pPr>
              <w:pStyle w:val="ListParagraph"/>
              <w:numPr>
                <w:ilvl w:val="0"/>
                <w:numId w:val="4"/>
              </w:numPr>
              <w:rPr>
                <w:sz w:val="20"/>
                <w:szCs w:val="20"/>
              </w:rPr>
            </w:pPr>
            <w:r w:rsidRPr="000A6E21">
              <w:rPr>
                <w:sz w:val="20"/>
                <w:szCs w:val="20"/>
              </w:rPr>
              <w:t>John Poole; Domain Name Registrant</w:t>
            </w:r>
          </w:p>
          <w:p w:rsidR="000A6E21" w:rsidRDefault="000A6E21" w:rsidP="000A6E21">
            <w:pPr>
              <w:rPr>
                <w:b/>
              </w:rPr>
            </w:pPr>
          </w:p>
        </w:tc>
      </w:tr>
    </w:tbl>
    <w:p w:rsidR="000A6E21" w:rsidRDefault="000A6E21" w:rsidP="000F75A4"/>
    <w:p w:rsidR="000F75A4" w:rsidRDefault="000F75A4"/>
    <w:sectPr w:rsidR="000F75A4" w:rsidSect="00440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53EE"/>
    <w:multiLevelType w:val="hybridMultilevel"/>
    <w:tmpl w:val="CD584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F03E1"/>
    <w:multiLevelType w:val="hybridMultilevel"/>
    <w:tmpl w:val="089E0BEC"/>
    <w:lvl w:ilvl="0" w:tplc="E236C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45F22"/>
    <w:multiLevelType w:val="hybridMultilevel"/>
    <w:tmpl w:val="CD584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80526"/>
    <w:multiLevelType w:val="hybridMultilevel"/>
    <w:tmpl w:val="355EC720"/>
    <w:lvl w:ilvl="0" w:tplc="C2BE920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336437"/>
    <w:multiLevelType w:val="hybridMultilevel"/>
    <w:tmpl w:val="163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521390"/>
    <w:multiLevelType w:val="hybridMultilevel"/>
    <w:tmpl w:val="33BA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D8"/>
    <w:rsid w:val="00002448"/>
    <w:rsid w:val="000322D8"/>
    <w:rsid w:val="0003277A"/>
    <w:rsid w:val="000730DF"/>
    <w:rsid w:val="000A16C0"/>
    <w:rsid w:val="000A6E21"/>
    <w:rsid w:val="000F75A4"/>
    <w:rsid w:val="00126DDE"/>
    <w:rsid w:val="00127D36"/>
    <w:rsid w:val="00134CEB"/>
    <w:rsid w:val="001605F7"/>
    <w:rsid w:val="00180633"/>
    <w:rsid w:val="001A4AAE"/>
    <w:rsid w:val="001B62AB"/>
    <w:rsid w:val="001E74A4"/>
    <w:rsid w:val="00225A3A"/>
    <w:rsid w:val="00280900"/>
    <w:rsid w:val="00281F77"/>
    <w:rsid w:val="00322DC3"/>
    <w:rsid w:val="003323F2"/>
    <w:rsid w:val="0033613D"/>
    <w:rsid w:val="0036280B"/>
    <w:rsid w:val="003F3219"/>
    <w:rsid w:val="0040147B"/>
    <w:rsid w:val="00404709"/>
    <w:rsid w:val="00440B65"/>
    <w:rsid w:val="004F256D"/>
    <w:rsid w:val="00505B45"/>
    <w:rsid w:val="00521EE7"/>
    <w:rsid w:val="00585911"/>
    <w:rsid w:val="005A1966"/>
    <w:rsid w:val="005C69FE"/>
    <w:rsid w:val="005E1F22"/>
    <w:rsid w:val="005F1296"/>
    <w:rsid w:val="00642B44"/>
    <w:rsid w:val="006A1FE0"/>
    <w:rsid w:val="006A7AA0"/>
    <w:rsid w:val="006D0101"/>
    <w:rsid w:val="007032BC"/>
    <w:rsid w:val="00721DD8"/>
    <w:rsid w:val="00755CA0"/>
    <w:rsid w:val="00761FD7"/>
    <w:rsid w:val="007F6141"/>
    <w:rsid w:val="00815327"/>
    <w:rsid w:val="00846A4C"/>
    <w:rsid w:val="008624BB"/>
    <w:rsid w:val="008C1740"/>
    <w:rsid w:val="008C37CF"/>
    <w:rsid w:val="008F7617"/>
    <w:rsid w:val="00934DF7"/>
    <w:rsid w:val="009447BC"/>
    <w:rsid w:val="00A54D1F"/>
    <w:rsid w:val="00A550B8"/>
    <w:rsid w:val="00A647BA"/>
    <w:rsid w:val="00A77F37"/>
    <w:rsid w:val="00AE3613"/>
    <w:rsid w:val="00B1078C"/>
    <w:rsid w:val="00B208E4"/>
    <w:rsid w:val="00B40453"/>
    <w:rsid w:val="00B41B0B"/>
    <w:rsid w:val="00B531A8"/>
    <w:rsid w:val="00B85EE8"/>
    <w:rsid w:val="00BA6CF0"/>
    <w:rsid w:val="00BC1ED3"/>
    <w:rsid w:val="00BD3277"/>
    <w:rsid w:val="00BD7612"/>
    <w:rsid w:val="00C05EA4"/>
    <w:rsid w:val="00C36D91"/>
    <w:rsid w:val="00C8043E"/>
    <w:rsid w:val="00C81873"/>
    <w:rsid w:val="00CC53B5"/>
    <w:rsid w:val="00D34412"/>
    <w:rsid w:val="00D93998"/>
    <w:rsid w:val="00DB4118"/>
    <w:rsid w:val="00DC3386"/>
    <w:rsid w:val="00DC58CE"/>
    <w:rsid w:val="00E03094"/>
    <w:rsid w:val="00E407DA"/>
    <w:rsid w:val="00F03F7F"/>
    <w:rsid w:val="00F06B5A"/>
    <w:rsid w:val="00F166D1"/>
    <w:rsid w:val="00F301FB"/>
    <w:rsid w:val="00F64E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C8B6"/>
  <w15:chartTrackingRefBased/>
  <w15:docId w15:val="{350016AC-91C2-8642-8ED5-3F8E46D9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911"/>
    <w:pPr>
      <w:ind w:left="720"/>
      <w:contextualSpacing/>
    </w:pPr>
  </w:style>
  <w:style w:type="paragraph" w:styleId="BalloonText">
    <w:name w:val="Balloon Text"/>
    <w:basedOn w:val="Normal"/>
    <w:link w:val="BalloonTextChar"/>
    <w:uiPriority w:val="99"/>
    <w:semiHidden/>
    <w:unhideWhenUsed/>
    <w:rsid w:val="00281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F77"/>
    <w:rPr>
      <w:rFonts w:ascii="Segoe UI" w:hAnsi="Segoe UI" w:cs="Segoe UI"/>
      <w:sz w:val="18"/>
      <w:szCs w:val="18"/>
    </w:rPr>
  </w:style>
  <w:style w:type="character" w:styleId="CommentReference">
    <w:name w:val="annotation reference"/>
    <w:basedOn w:val="DefaultParagraphFont"/>
    <w:uiPriority w:val="99"/>
    <w:semiHidden/>
    <w:unhideWhenUsed/>
    <w:rsid w:val="00281F77"/>
    <w:rPr>
      <w:sz w:val="16"/>
      <w:szCs w:val="16"/>
    </w:rPr>
  </w:style>
  <w:style w:type="paragraph" w:styleId="CommentText">
    <w:name w:val="annotation text"/>
    <w:basedOn w:val="Normal"/>
    <w:link w:val="CommentTextChar"/>
    <w:uiPriority w:val="99"/>
    <w:semiHidden/>
    <w:unhideWhenUsed/>
    <w:rsid w:val="00281F77"/>
    <w:rPr>
      <w:sz w:val="20"/>
      <w:szCs w:val="20"/>
    </w:rPr>
  </w:style>
  <w:style w:type="character" w:customStyle="1" w:styleId="CommentTextChar">
    <w:name w:val="Comment Text Char"/>
    <w:basedOn w:val="DefaultParagraphFont"/>
    <w:link w:val="CommentText"/>
    <w:uiPriority w:val="99"/>
    <w:semiHidden/>
    <w:rsid w:val="00281F77"/>
    <w:rPr>
      <w:sz w:val="20"/>
      <w:szCs w:val="20"/>
    </w:rPr>
  </w:style>
  <w:style w:type="paragraph" w:styleId="CommentSubject">
    <w:name w:val="annotation subject"/>
    <w:basedOn w:val="CommentText"/>
    <w:next w:val="CommentText"/>
    <w:link w:val="CommentSubjectChar"/>
    <w:uiPriority w:val="99"/>
    <w:semiHidden/>
    <w:unhideWhenUsed/>
    <w:rsid w:val="00281F77"/>
    <w:rPr>
      <w:b/>
      <w:bCs/>
    </w:rPr>
  </w:style>
  <w:style w:type="character" w:customStyle="1" w:styleId="CommentSubjectChar">
    <w:name w:val="Comment Subject Char"/>
    <w:basedOn w:val="CommentTextChar"/>
    <w:link w:val="CommentSubject"/>
    <w:uiPriority w:val="99"/>
    <w:semiHidden/>
    <w:rsid w:val="00281F77"/>
    <w:rPr>
      <w:b/>
      <w:bCs/>
      <w:sz w:val="20"/>
      <w:szCs w:val="20"/>
    </w:rPr>
  </w:style>
  <w:style w:type="paragraph" w:styleId="Revision">
    <w:name w:val="Revision"/>
    <w:hidden/>
    <w:uiPriority w:val="99"/>
    <w:semiHidden/>
    <w:rsid w:val="006A7AA0"/>
  </w:style>
  <w:style w:type="table" w:styleId="TableGrid">
    <w:name w:val="Table Grid"/>
    <w:basedOn w:val="TableNormal"/>
    <w:uiPriority w:val="39"/>
    <w:rsid w:val="006A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08E4"/>
    <w:rPr>
      <w:color w:val="0563C1" w:themeColor="hyperlink"/>
      <w:u w:val="single"/>
    </w:rPr>
  </w:style>
  <w:style w:type="character" w:customStyle="1" w:styleId="UnresolvedMention">
    <w:name w:val="Unresolved Mention"/>
    <w:basedOn w:val="DefaultParagraphFont"/>
    <w:uiPriority w:val="99"/>
    <w:rsid w:val="00C36D91"/>
    <w:rPr>
      <w:color w:val="605E5C"/>
      <w:shd w:val="clear" w:color="auto" w:fill="E1DFDD"/>
    </w:rPr>
  </w:style>
  <w:style w:type="character" w:styleId="FollowedHyperlink">
    <w:name w:val="FollowedHyperlink"/>
    <w:basedOn w:val="DefaultParagraphFont"/>
    <w:uiPriority w:val="99"/>
    <w:semiHidden/>
    <w:unhideWhenUsed/>
    <w:rsid w:val="007F61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341">
      <w:bodyDiv w:val="1"/>
      <w:marLeft w:val="0"/>
      <w:marRight w:val="0"/>
      <w:marTop w:val="0"/>
      <w:marBottom w:val="0"/>
      <w:divBdr>
        <w:top w:val="none" w:sz="0" w:space="0" w:color="auto"/>
        <w:left w:val="none" w:sz="0" w:space="0" w:color="auto"/>
        <w:bottom w:val="none" w:sz="0" w:space="0" w:color="auto"/>
        <w:right w:val="none" w:sz="0" w:space="0" w:color="auto"/>
      </w:divBdr>
    </w:div>
    <w:div w:id="13577806">
      <w:bodyDiv w:val="1"/>
      <w:marLeft w:val="0"/>
      <w:marRight w:val="0"/>
      <w:marTop w:val="0"/>
      <w:marBottom w:val="0"/>
      <w:divBdr>
        <w:top w:val="none" w:sz="0" w:space="0" w:color="auto"/>
        <w:left w:val="none" w:sz="0" w:space="0" w:color="auto"/>
        <w:bottom w:val="none" w:sz="0" w:space="0" w:color="auto"/>
        <w:right w:val="none" w:sz="0" w:space="0" w:color="auto"/>
      </w:divBdr>
    </w:div>
    <w:div w:id="17395114">
      <w:bodyDiv w:val="1"/>
      <w:marLeft w:val="0"/>
      <w:marRight w:val="0"/>
      <w:marTop w:val="0"/>
      <w:marBottom w:val="0"/>
      <w:divBdr>
        <w:top w:val="none" w:sz="0" w:space="0" w:color="auto"/>
        <w:left w:val="none" w:sz="0" w:space="0" w:color="auto"/>
        <w:bottom w:val="none" w:sz="0" w:space="0" w:color="auto"/>
        <w:right w:val="none" w:sz="0" w:space="0" w:color="auto"/>
      </w:divBdr>
    </w:div>
    <w:div w:id="47464710">
      <w:bodyDiv w:val="1"/>
      <w:marLeft w:val="0"/>
      <w:marRight w:val="0"/>
      <w:marTop w:val="0"/>
      <w:marBottom w:val="0"/>
      <w:divBdr>
        <w:top w:val="none" w:sz="0" w:space="0" w:color="auto"/>
        <w:left w:val="none" w:sz="0" w:space="0" w:color="auto"/>
        <w:bottom w:val="none" w:sz="0" w:space="0" w:color="auto"/>
        <w:right w:val="none" w:sz="0" w:space="0" w:color="auto"/>
      </w:divBdr>
    </w:div>
    <w:div w:id="79566189">
      <w:bodyDiv w:val="1"/>
      <w:marLeft w:val="0"/>
      <w:marRight w:val="0"/>
      <w:marTop w:val="0"/>
      <w:marBottom w:val="0"/>
      <w:divBdr>
        <w:top w:val="none" w:sz="0" w:space="0" w:color="auto"/>
        <w:left w:val="none" w:sz="0" w:space="0" w:color="auto"/>
        <w:bottom w:val="none" w:sz="0" w:space="0" w:color="auto"/>
        <w:right w:val="none" w:sz="0" w:space="0" w:color="auto"/>
      </w:divBdr>
    </w:div>
    <w:div w:id="80571676">
      <w:bodyDiv w:val="1"/>
      <w:marLeft w:val="0"/>
      <w:marRight w:val="0"/>
      <w:marTop w:val="0"/>
      <w:marBottom w:val="0"/>
      <w:divBdr>
        <w:top w:val="none" w:sz="0" w:space="0" w:color="auto"/>
        <w:left w:val="none" w:sz="0" w:space="0" w:color="auto"/>
        <w:bottom w:val="none" w:sz="0" w:space="0" w:color="auto"/>
        <w:right w:val="none" w:sz="0" w:space="0" w:color="auto"/>
      </w:divBdr>
    </w:div>
    <w:div w:id="105732742">
      <w:bodyDiv w:val="1"/>
      <w:marLeft w:val="0"/>
      <w:marRight w:val="0"/>
      <w:marTop w:val="0"/>
      <w:marBottom w:val="0"/>
      <w:divBdr>
        <w:top w:val="none" w:sz="0" w:space="0" w:color="auto"/>
        <w:left w:val="none" w:sz="0" w:space="0" w:color="auto"/>
        <w:bottom w:val="none" w:sz="0" w:space="0" w:color="auto"/>
        <w:right w:val="none" w:sz="0" w:space="0" w:color="auto"/>
      </w:divBdr>
    </w:div>
    <w:div w:id="153106408">
      <w:bodyDiv w:val="1"/>
      <w:marLeft w:val="0"/>
      <w:marRight w:val="0"/>
      <w:marTop w:val="0"/>
      <w:marBottom w:val="0"/>
      <w:divBdr>
        <w:top w:val="none" w:sz="0" w:space="0" w:color="auto"/>
        <w:left w:val="none" w:sz="0" w:space="0" w:color="auto"/>
        <w:bottom w:val="none" w:sz="0" w:space="0" w:color="auto"/>
        <w:right w:val="none" w:sz="0" w:space="0" w:color="auto"/>
      </w:divBdr>
    </w:div>
    <w:div w:id="165436596">
      <w:bodyDiv w:val="1"/>
      <w:marLeft w:val="0"/>
      <w:marRight w:val="0"/>
      <w:marTop w:val="0"/>
      <w:marBottom w:val="0"/>
      <w:divBdr>
        <w:top w:val="none" w:sz="0" w:space="0" w:color="auto"/>
        <w:left w:val="none" w:sz="0" w:space="0" w:color="auto"/>
        <w:bottom w:val="none" w:sz="0" w:space="0" w:color="auto"/>
        <w:right w:val="none" w:sz="0" w:space="0" w:color="auto"/>
      </w:divBdr>
    </w:div>
    <w:div w:id="183520313">
      <w:bodyDiv w:val="1"/>
      <w:marLeft w:val="0"/>
      <w:marRight w:val="0"/>
      <w:marTop w:val="0"/>
      <w:marBottom w:val="0"/>
      <w:divBdr>
        <w:top w:val="none" w:sz="0" w:space="0" w:color="auto"/>
        <w:left w:val="none" w:sz="0" w:space="0" w:color="auto"/>
        <w:bottom w:val="none" w:sz="0" w:space="0" w:color="auto"/>
        <w:right w:val="none" w:sz="0" w:space="0" w:color="auto"/>
      </w:divBdr>
    </w:div>
    <w:div w:id="189609115">
      <w:bodyDiv w:val="1"/>
      <w:marLeft w:val="0"/>
      <w:marRight w:val="0"/>
      <w:marTop w:val="0"/>
      <w:marBottom w:val="0"/>
      <w:divBdr>
        <w:top w:val="none" w:sz="0" w:space="0" w:color="auto"/>
        <w:left w:val="none" w:sz="0" w:space="0" w:color="auto"/>
        <w:bottom w:val="none" w:sz="0" w:space="0" w:color="auto"/>
        <w:right w:val="none" w:sz="0" w:space="0" w:color="auto"/>
      </w:divBdr>
    </w:div>
    <w:div w:id="209535110">
      <w:bodyDiv w:val="1"/>
      <w:marLeft w:val="0"/>
      <w:marRight w:val="0"/>
      <w:marTop w:val="0"/>
      <w:marBottom w:val="0"/>
      <w:divBdr>
        <w:top w:val="none" w:sz="0" w:space="0" w:color="auto"/>
        <w:left w:val="none" w:sz="0" w:space="0" w:color="auto"/>
        <w:bottom w:val="none" w:sz="0" w:space="0" w:color="auto"/>
        <w:right w:val="none" w:sz="0" w:space="0" w:color="auto"/>
      </w:divBdr>
    </w:div>
    <w:div w:id="213352106">
      <w:bodyDiv w:val="1"/>
      <w:marLeft w:val="0"/>
      <w:marRight w:val="0"/>
      <w:marTop w:val="0"/>
      <w:marBottom w:val="0"/>
      <w:divBdr>
        <w:top w:val="none" w:sz="0" w:space="0" w:color="auto"/>
        <w:left w:val="none" w:sz="0" w:space="0" w:color="auto"/>
        <w:bottom w:val="none" w:sz="0" w:space="0" w:color="auto"/>
        <w:right w:val="none" w:sz="0" w:space="0" w:color="auto"/>
      </w:divBdr>
    </w:div>
    <w:div w:id="304433061">
      <w:bodyDiv w:val="1"/>
      <w:marLeft w:val="0"/>
      <w:marRight w:val="0"/>
      <w:marTop w:val="0"/>
      <w:marBottom w:val="0"/>
      <w:divBdr>
        <w:top w:val="none" w:sz="0" w:space="0" w:color="auto"/>
        <w:left w:val="none" w:sz="0" w:space="0" w:color="auto"/>
        <w:bottom w:val="none" w:sz="0" w:space="0" w:color="auto"/>
        <w:right w:val="none" w:sz="0" w:space="0" w:color="auto"/>
      </w:divBdr>
    </w:div>
    <w:div w:id="378676616">
      <w:bodyDiv w:val="1"/>
      <w:marLeft w:val="0"/>
      <w:marRight w:val="0"/>
      <w:marTop w:val="0"/>
      <w:marBottom w:val="0"/>
      <w:divBdr>
        <w:top w:val="none" w:sz="0" w:space="0" w:color="auto"/>
        <w:left w:val="none" w:sz="0" w:space="0" w:color="auto"/>
        <w:bottom w:val="none" w:sz="0" w:space="0" w:color="auto"/>
        <w:right w:val="none" w:sz="0" w:space="0" w:color="auto"/>
      </w:divBdr>
    </w:div>
    <w:div w:id="516819168">
      <w:bodyDiv w:val="1"/>
      <w:marLeft w:val="0"/>
      <w:marRight w:val="0"/>
      <w:marTop w:val="0"/>
      <w:marBottom w:val="0"/>
      <w:divBdr>
        <w:top w:val="none" w:sz="0" w:space="0" w:color="auto"/>
        <w:left w:val="none" w:sz="0" w:space="0" w:color="auto"/>
        <w:bottom w:val="none" w:sz="0" w:space="0" w:color="auto"/>
        <w:right w:val="none" w:sz="0" w:space="0" w:color="auto"/>
      </w:divBdr>
    </w:div>
    <w:div w:id="561255388">
      <w:bodyDiv w:val="1"/>
      <w:marLeft w:val="0"/>
      <w:marRight w:val="0"/>
      <w:marTop w:val="0"/>
      <w:marBottom w:val="0"/>
      <w:divBdr>
        <w:top w:val="none" w:sz="0" w:space="0" w:color="auto"/>
        <w:left w:val="none" w:sz="0" w:space="0" w:color="auto"/>
        <w:bottom w:val="none" w:sz="0" w:space="0" w:color="auto"/>
        <w:right w:val="none" w:sz="0" w:space="0" w:color="auto"/>
      </w:divBdr>
    </w:div>
    <w:div w:id="621545011">
      <w:bodyDiv w:val="1"/>
      <w:marLeft w:val="0"/>
      <w:marRight w:val="0"/>
      <w:marTop w:val="0"/>
      <w:marBottom w:val="0"/>
      <w:divBdr>
        <w:top w:val="none" w:sz="0" w:space="0" w:color="auto"/>
        <w:left w:val="none" w:sz="0" w:space="0" w:color="auto"/>
        <w:bottom w:val="none" w:sz="0" w:space="0" w:color="auto"/>
        <w:right w:val="none" w:sz="0" w:space="0" w:color="auto"/>
      </w:divBdr>
    </w:div>
    <w:div w:id="686643378">
      <w:bodyDiv w:val="1"/>
      <w:marLeft w:val="0"/>
      <w:marRight w:val="0"/>
      <w:marTop w:val="0"/>
      <w:marBottom w:val="0"/>
      <w:divBdr>
        <w:top w:val="none" w:sz="0" w:space="0" w:color="auto"/>
        <w:left w:val="none" w:sz="0" w:space="0" w:color="auto"/>
        <w:bottom w:val="none" w:sz="0" w:space="0" w:color="auto"/>
        <w:right w:val="none" w:sz="0" w:space="0" w:color="auto"/>
      </w:divBdr>
    </w:div>
    <w:div w:id="736588158">
      <w:bodyDiv w:val="1"/>
      <w:marLeft w:val="0"/>
      <w:marRight w:val="0"/>
      <w:marTop w:val="0"/>
      <w:marBottom w:val="0"/>
      <w:divBdr>
        <w:top w:val="none" w:sz="0" w:space="0" w:color="auto"/>
        <w:left w:val="none" w:sz="0" w:space="0" w:color="auto"/>
        <w:bottom w:val="none" w:sz="0" w:space="0" w:color="auto"/>
        <w:right w:val="none" w:sz="0" w:space="0" w:color="auto"/>
      </w:divBdr>
    </w:div>
    <w:div w:id="801777016">
      <w:bodyDiv w:val="1"/>
      <w:marLeft w:val="0"/>
      <w:marRight w:val="0"/>
      <w:marTop w:val="0"/>
      <w:marBottom w:val="0"/>
      <w:divBdr>
        <w:top w:val="none" w:sz="0" w:space="0" w:color="auto"/>
        <w:left w:val="none" w:sz="0" w:space="0" w:color="auto"/>
        <w:bottom w:val="none" w:sz="0" w:space="0" w:color="auto"/>
        <w:right w:val="none" w:sz="0" w:space="0" w:color="auto"/>
      </w:divBdr>
    </w:div>
    <w:div w:id="814220689">
      <w:bodyDiv w:val="1"/>
      <w:marLeft w:val="0"/>
      <w:marRight w:val="0"/>
      <w:marTop w:val="0"/>
      <w:marBottom w:val="0"/>
      <w:divBdr>
        <w:top w:val="none" w:sz="0" w:space="0" w:color="auto"/>
        <w:left w:val="none" w:sz="0" w:space="0" w:color="auto"/>
        <w:bottom w:val="none" w:sz="0" w:space="0" w:color="auto"/>
        <w:right w:val="none" w:sz="0" w:space="0" w:color="auto"/>
      </w:divBdr>
    </w:div>
    <w:div w:id="841942006">
      <w:bodyDiv w:val="1"/>
      <w:marLeft w:val="0"/>
      <w:marRight w:val="0"/>
      <w:marTop w:val="0"/>
      <w:marBottom w:val="0"/>
      <w:divBdr>
        <w:top w:val="none" w:sz="0" w:space="0" w:color="auto"/>
        <w:left w:val="none" w:sz="0" w:space="0" w:color="auto"/>
        <w:bottom w:val="none" w:sz="0" w:space="0" w:color="auto"/>
        <w:right w:val="none" w:sz="0" w:space="0" w:color="auto"/>
      </w:divBdr>
    </w:div>
    <w:div w:id="943995119">
      <w:bodyDiv w:val="1"/>
      <w:marLeft w:val="0"/>
      <w:marRight w:val="0"/>
      <w:marTop w:val="0"/>
      <w:marBottom w:val="0"/>
      <w:divBdr>
        <w:top w:val="none" w:sz="0" w:space="0" w:color="auto"/>
        <w:left w:val="none" w:sz="0" w:space="0" w:color="auto"/>
        <w:bottom w:val="none" w:sz="0" w:space="0" w:color="auto"/>
        <w:right w:val="none" w:sz="0" w:space="0" w:color="auto"/>
      </w:divBdr>
    </w:div>
    <w:div w:id="963928825">
      <w:bodyDiv w:val="1"/>
      <w:marLeft w:val="0"/>
      <w:marRight w:val="0"/>
      <w:marTop w:val="0"/>
      <w:marBottom w:val="0"/>
      <w:divBdr>
        <w:top w:val="none" w:sz="0" w:space="0" w:color="auto"/>
        <w:left w:val="none" w:sz="0" w:space="0" w:color="auto"/>
        <w:bottom w:val="none" w:sz="0" w:space="0" w:color="auto"/>
        <w:right w:val="none" w:sz="0" w:space="0" w:color="auto"/>
      </w:divBdr>
    </w:div>
    <w:div w:id="1127822051">
      <w:bodyDiv w:val="1"/>
      <w:marLeft w:val="0"/>
      <w:marRight w:val="0"/>
      <w:marTop w:val="0"/>
      <w:marBottom w:val="0"/>
      <w:divBdr>
        <w:top w:val="none" w:sz="0" w:space="0" w:color="auto"/>
        <w:left w:val="none" w:sz="0" w:space="0" w:color="auto"/>
        <w:bottom w:val="none" w:sz="0" w:space="0" w:color="auto"/>
        <w:right w:val="none" w:sz="0" w:space="0" w:color="auto"/>
      </w:divBdr>
    </w:div>
    <w:div w:id="1162500280">
      <w:bodyDiv w:val="1"/>
      <w:marLeft w:val="0"/>
      <w:marRight w:val="0"/>
      <w:marTop w:val="0"/>
      <w:marBottom w:val="0"/>
      <w:divBdr>
        <w:top w:val="none" w:sz="0" w:space="0" w:color="auto"/>
        <w:left w:val="none" w:sz="0" w:space="0" w:color="auto"/>
        <w:bottom w:val="none" w:sz="0" w:space="0" w:color="auto"/>
        <w:right w:val="none" w:sz="0" w:space="0" w:color="auto"/>
      </w:divBdr>
    </w:div>
    <w:div w:id="1173186165">
      <w:bodyDiv w:val="1"/>
      <w:marLeft w:val="0"/>
      <w:marRight w:val="0"/>
      <w:marTop w:val="0"/>
      <w:marBottom w:val="0"/>
      <w:divBdr>
        <w:top w:val="none" w:sz="0" w:space="0" w:color="auto"/>
        <w:left w:val="none" w:sz="0" w:space="0" w:color="auto"/>
        <w:bottom w:val="none" w:sz="0" w:space="0" w:color="auto"/>
        <w:right w:val="none" w:sz="0" w:space="0" w:color="auto"/>
      </w:divBdr>
    </w:div>
    <w:div w:id="1222641030">
      <w:bodyDiv w:val="1"/>
      <w:marLeft w:val="0"/>
      <w:marRight w:val="0"/>
      <w:marTop w:val="0"/>
      <w:marBottom w:val="0"/>
      <w:divBdr>
        <w:top w:val="none" w:sz="0" w:space="0" w:color="auto"/>
        <w:left w:val="none" w:sz="0" w:space="0" w:color="auto"/>
        <w:bottom w:val="none" w:sz="0" w:space="0" w:color="auto"/>
        <w:right w:val="none" w:sz="0" w:space="0" w:color="auto"/>
      </w:divBdr>
    </w:div>
    <w:div w:id="1312447746">
      <w:bodyDiv w:val="1"/>
      <w:marLeft w:val="0"/>
      <w:marRight w:val="0"/>
      <w:marTop w:val="0"/>
      <w:marBottom w:val="0"/>
      <w:divBdr>
        <w:top w:val="none" w:sz="0" w:space="0" w:color="auto"/>
        <w:left w:val="none" w:sz="0" w:space="0" w:color="auto"/>
        <w:bottom w:val="none" w:sz="0" w:space="0" w:color="auto"/>
        <w:right w:val="none" w:sz="0" w:space="0" w:color="auto"/>
      </w:divBdr>
    </w:div>
    <w:div w:id="1426077946">
      <w:bodyDiv w:val="1"/>
      <w:marLeft w:val="0"/>
      <w:marRight w:val="0"/>
      <w:marTop w:val="0"/>
      <w:marBottom w:val="0"/>
      <w:divBdr>
        <w:top w:val="none" w:sz="0" w:space="0" w:color="auto"/>
        <w:left w:val="none" w:sz="0" w:space="0" w:color="auto"/>
        <w:bottom w:val="none" w:sz="0" w:space="0" w:color="auto"/>
        <w:right w:val="none" w:sz="0" w:space="0" w:color="auto"/>
      </w:divBdr>
    </w:div>
    <w:div w:id="1446925032">
      <w:bodyDiv w:val="1"/>
      <w:marLeft w:val="0"/>
      <w:marRight w:val="0"/>
      <w:marTop w:val="0"/>
      <w:marBottom w:val="0"/>
      <w:divBdr>
        <w:top w:val="none" w:sz="0" w:space="0" w:color="auto"/>
        <w:left w:val="none" w:sz="0" w:space="0" w:color="auto"/>
        <w:bottom w:val="none" w:sz="0" w:space="0" w:color="auto"/>
        <w:right w:val="none" w:sz="0" w:space="0" w:color="auto"/>
      </w:divBdr>
    </w:div>
    <w:div w:id="1502574990">
      <w:bodyDiv w:val="1"/>
      <w:marLeft w:val="0"/>
      <w:marRight w:val="0"/>
      <w:marTop w:val="0"/>
      <w:marBottom w:val="0"/>
      <w:divBdr>
        <w:top w:val="none" w:sz="0" w:space="0" w:color="auto"/>
        <w:left w:val="none" w:sz="0" w:space="0" w:color="auto"/>
        <w:bottom w:val="none" w:sz="0" w:space="0" w:color="auto"/>
        <w:right w:val="none" w:sz="0" w:space="0" w:color="auto"/>
      </w:divBdr>
    </w:div>
    <w:div w:id="1567913398">
      <w:bodyDiv w:val="1"/>
      <w:marLeft w:val="0"/>
      <w:marRight w:val="0"/>
      <w:marTop w:val="0"/>
      <w:marBottom w:val="0"/>
      <w:divBdr>
        <w:top w:val="none" w:sz="0" w:space="0" w:color="auto"/>
        <w:left w:val="none" w:sz="0" w:space="0" w:color="auto"/>
        <w:bottom w:val="none" w:sz="0" w:space="0" w:color="auto"/>
        <w:right w:val="none" w:sz="0" w:space="0" w:color="auto"/>
      </w:divBdr>
    </w:div>
    <w:div w:id="1582175481">
      <w:bodyDiv w:val="1"/>
      <w:marLeft w:val="0"/>
      <w:marRight w:val="0"/>
      <w:marTop w:val="0"/>
      <w:marBottom w:val="0"/>
      <w:divBdr>
        <w:top w:val="none" w:sz="0" w:space="0" w:color="auto"/>
        <w:left w:val="none" w:sz="0" w:space="0" w:color="auto"/>
        <w:bottom w:val="none" w:sz="0" w:space="0" w:color="auto"/>
        <w:right w:val="none" w:sz="0" w:space="0" w:color="auto"/>
      </w:divBdr>
    </w:div>
    <w:div w:id="1628006433">
      <w:bodyDiv w:val="1"/>
      <w:marLeft w:val="0"/>
      <w:marRight w:val="0"/>
      <w:marTop w:val="0"/>
      <w:marBottom w:val="0"/>
      <w:divBdr>
        <w:top w:val="none" w:sz="0" w:space="0" w:color="auto"/>
        <w:left w:val="none" w:sz="0" w:space="0" w:color="auto"/>
        <w:bottom w:val="none" w:sz="0" w:space="0" w:color="auto"/>
        <w:right w:val="none" w:sz="0" w:space="0" w:color="auto"/>
      </w:divBdr>
    </w:div>
    <w:div w:id="1682924683">
      <w:bodyDiv w:val="1"/>
      <w:marLeft w:val="0"/>
      <w:marRight w:val="0"/>
      <w:marTop w:val="0"/>
      <w:marBottom w:val="0"/>
      <w:divBdr>
        <w:top w:val="none" w:sz="0" w:space="0" w:color="auto"/>
        <w:left w:val="none" w:sz="0" w:space="0" w:color="auto"/>
        <w:bottom w:val="none" w:sz="0" w:space="0" w:color="auto"/>
        <w:right w:val="none" w:sz="0" w:space="0" w:color="auto"/>
      </w:divBdr>
    </w:div>
    <w:div w:id="1692756783">
      <w:bodyDiv w:val="1"/>
      <w:marLeft w:val="0"/>
      <w:marRight w:val="0"/>
      <w:marTop w:val="0"/>
      <w:marBottom w:val="0"/>
      <w:divBdr>
        <w:top w:val="none" w:sz="0" w:space="0" w:color="auto"/>
        <w:left w:val="none" w:sz="0" w:space="0" w:color="auto"/>
        <w:bottom w:val="none" w:sz="0" w:space="0" w:color="auto"/>
        <w:right w:val="none" w:sz="0" w:space="0" w:color="auto"/>
      </w:divBdr>
    </w:div>
    <w:div w:id="1693844587">
      <w:bodyDiv w:val="1"/>
      <w:marLeft w:val="0"/>
      <w:marRight w:val="0"/>
      <w:marTop w:val="0"/>
      <w:marBottom w:val="0"/>
      <w:divBdr>
        <w:top w:val="none" w:sz="0" w:space="0" w:color="auto"/>
        <w:left w:val="none" w:sz="0" w:space="0" w:color="auto"/>
        <w:bottom w:val="none" w:sz="0" w:space="0" w:color="auto"/>
        <w:right w:val="none" w:sz="0" w:space="0" w:color="auto"/>
      </w:divBdr>
    </w:div>
    <w:div w:id="1711104009">
      <w:bodyDiv w:val="1"/>
      <w:marLeft w:val="0"/>
      <w:marRight w:val="0"/>
      <w:marTop w:val="0"/>
      <w:marBottom w:val="0"/>
      <w:divBdr>
        <w:top w:val="none" w:sz="0" w:space="0" w:color="auto"/>
        <w:left w:val="none" w:sz="0" w:space="0" w:color="auto"/>
        <w:bottom w:val="none" w:sz="0" w:space="0" w:color="auto"/>
        <w:right w:val="none" w:sz="0" w:space="0" w:color="auto"/>
      </w:divBdr>
    </w:div>
    <w:div w:id="1739479971">
      <w:bodyDiv w:val="1"/>
      <w:marLeft w:val="0"/>
      <w:marRight w:val="0"/>
      <w:marTop w:val="0"/>
      <w:marBottom w:val="0"/>
      <w:divBdr>
        <w:top w:val="none" w:sz="0" w:space="0" w:color="auto"/>
        <w:left w:val="none" w:sz="0" w:space="0" w:color="auto"/>
        <w:bottom w:val="none" w:sz="0" w:space="0" w:color="auto"/>
        <w:right w:val="none" w:sz="0" w:space="0" w:color="auto"/>
      </w:divBdr>
    </w:div>
    <w:div w:id="1757167996">
      <w:bodyDiv w:val="1"/>
      <w:marLeft w:val="0"/>
      <w:marRight w:val="0"/>
      <w:marTop w:val="0"/>
      <w:marBottom w:val="0"/>
      <w:divBdr>
        <w:top w:val="none" w:sz="0" w:space="0" w:color="auto"/>
        <w:left w:val="none" w:sz="0" w:space="0" w:color="auto"/>
        <w:bottom w:val="none" w:sz="0" w:space="0" w:color="auto"/>
        <w:right w:val="none" w:sz="0" w:space="0" w:color="auto"/>
      </w:divBdr>
    </w:div>
    <w:div w:id="1777091342">
      <w:bodyDiv w:val="1"/>
      <w:marLeft w:val="0"/>
      <w:marRight w:val="0"/>
      <w:marTop w:val="0"/>
      <w:marBottom w:val="0"/>
      <w:divBdr>
        <w:top w:val="none" w:sz="0" w:space="0" w:color="auto"/>
        <w:left w:val="none" w:sz="0" w:space="0" w:color="auto"/>
        <w:bottom w:val="none" w:sz="0" w:space="0" w:color="auto"/>
        <w:right w:val="none" w:sz="0" w:space="0" w:color="auto"/>
      </w:divBdr>
    </w:div>
    <w:div w:id="1833180670">
      <w:bodyDiv w:val="1"/>
      <w:marLeft w:val="0"/>
      <w:marRight w:val="0"/>
      <w:marTop w:val="0"/>
      <w:marBottom w:val="0"/>
      <w:divBdr>
        <w:top w:val="none" w:sz="0" w:space="0" w:color="auto"/>
        <w:left w:val="none" w:sz="0" w:space="0" w:color="auto"/>
        <w:bottom w:val="none" w:sz="0" w:space="0" w:color="auto"/>
        <w:right w:val="none" w:sz="0" w:space="0" w:color="auto"/>
      </w:divBdr>
    </w:div>
    <w:div w:id="1839299145">
      <w:bodyDiv w:val="1"/>
      <w:marLeft w:val="0"/>
      <w:marRight w:val="0"/>
      <w:marTop w:val="0"/>
      <w:marBottom w:val="0"/>
      <w:divBdr>
        <w:top w:val="none" w:sz="0" w:space="0" w:color="auto"/>
        <w:left w:val="none" w:sz="0" w:space="0" w:color="auto"/>
        <w:bottom w:val="none" w:sz="0" w:space="0" w:color="auto"/>
        <w:right w:val="none" w:sz="0" w:space="0" w:color="auto"/>
      </w:divBdr>
    </w:div>
    <w:div w:id="2062050058">
      <w:bodyDiv w:val="1"/>
      <w:marLeft w:val="0"/>
      <w:marRight w:val="0"/>
      <w:marTop w:val="0"/>
      <w:marBottom w:val="0"/>
      <w:divBdr>
        <w:top w:val="none" w:sz="0" w:space="0" w:color="auto"/>
        <w:left w:val="none" w:sz="0" w:space="0" w:color="auto"/>
        <w:bottom w:val="none" w:sz="0" w:space="0" w:color="auto"/>
        <w:right w:val="none" w:sz="0" w:space="0" w:color="auto"/>
      </w:divBdr>
    </w:div>
    <w:div w:id="21136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ommunity.icann.org/display/EOTSFGRD/Public+Comment+Review+Tool" TargetMode="External"/><Relationship Id="rId6" Type="http://schemas.openxmlformats.org/officeDocument/2006/relationships/hyperlink" Target="https://community.icann.org/display/EOTSFGRD/Public+Comments+on+Initial+Repor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1166</Words>
  <Characters>6706</Characters>
  <Application>Microsoft Macintosh Word</Application>
  <DocSecurity>0</DocSecurity>
  <Lines>315</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Pritz</dc:creator>
  <cp:keywords/>
  <dc:description/>
  <cp:lastModifiedBy>Kurt Pritz</cp:lastModifiedBy>
  <cp:revision>2</cp:revision>
  <dcterms:created xsi:type="dcterms:W3CDTF">2019-01-02T03:39:00Z</dcterms:created>
  <dcterms:modified xsi:type="dcterms:W3CDTF">2019-01-02T03:39:00Z</dcterms:modified>
  <cp:category/>
</cp:coreProperties>
</file>