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4"/>
        <w:gridCol w:w="9411"/>
      </w:tblGrid>
      <w:tr w:rsidR="00257D24" w:rsidRPr="00492375" w14:paraId="30128B59" w14:textId="77777777" w:rsidTr="00257D24">
        <w:tc>
          <w:tcPr>
            <w:tcW w:w="2194" w:type="dxa"/>
            <w:shd w:val="clear" w:color="auto" w:fill="F2F2F2" w:themeFill="background1" w:themeFillShade="F2"/>
          </w:tcPr>
          <w:p w14:paraId="61DE79EE" w14:textId="77777777" w:rsidR="00257D24" w:rsidRPr="00492375" w:rsidRDefault="00257D24" w:rsidP="00173AFA">
            <w:pPr>
              <w:rPr>
                <w:sz w:val="22"/>
                <w:szCs w:val="22"/>
              </w:rPr>
            </w:pPr>
            <w:r w:rsidRPr="00492375">
              <w:rPr>
                <w:sz w:val="22"/>
                <w:szCs w:val="22"/>
              </w:rPr>
              <w:t>Small Team #1</w:t>
            </w:r>
          </w:p>
          <w:p w14:paraId="4E27B247" w14:textId="77777777" w:rsidR="00492375" w:rsidRDefault="00257D24" w:rsidP="00173AFA">
            <w:pPr>
              <w:rPr>
                <w:sz w:val="22"/>
                <w:szCs w:val="22"/>
              </w:rPr>
            </w:pPr>
            <w:r w:rsidRPr="00492375">
              <w:rPr>
                <w:b/>
                <w:sz w:val="22"/>
                <w:szCs w:val="22"/>
              </w:rPr>
              <w:t>Wed 3 October</w:t>
            </w:r>
            <w:r w:rsidRPr="00492375">
              <w:rPr>
                <w:sz w:val="22"/>
                <w:szCs w:val="22"/>
              </w:rPr>
              <w:t xml:space="preserve"> </w:t>
            </w:r>
          </w:p>
          <w:p w14:paraId="2EF88F1B" w14:textId="65F048DA" w:rsidR="00257D24" w:rsidRPr="00492375" w:rsidRDefault="00257D24" w:rsidP="00173AFA">
            <w:pPr>
              <w:rPr>
                <w:sz w:val="22"/>
                <w:szCs w:val="22"/>
              </w:rPr>
            </w:pPr>
            <w:r w:rsidRPr="00492375">
              <w:rPr>
                <w:sz w:val="22"/>
                <w:szCs w:val="22"/>
              </w:rPr>
              <w:t xml:space="preserve">13.00 – 15.00 UTC </w:t>
            </w:r>
          </w:p>
        </w:tc>
        <w:tc>
          <w:tcPr>
            <w:tcW w:w="9411" w:type="dxa"/>
          </w:tcPr>
          <w:p w14:paraId="6BB30249" w14:textId="7CBD88C4" w:rsidR="00492375" w:rsidRDefault="00492375" w:rsidP="00173AFA">
            <w:pPr>
              <w:rPr>
                <w:rFonts w:cstheme="minorHAnsi"/>
                <w:b/>
                <w:sz w:val="22"/>
                <w:szCs w:val="22"/>
              </w:rPr>
            </w:pPr>
            <w:r w:rsidRPr="00492375">
              <w:rPr>
                <w:rFonts w:cstheme="minorHAnsi"/>
                <w:b/>
                <w:sz w:val="22"/>
                <w:szCs w:val="22"/>
              </w:rPr>
              <w:t>Charter Questions to be addressed:</w:t>
            </w:r>
          </w:p>
          <w:p w14:paraId="5CFE91B3" w14:textId="63EF3AE3" w:rsidR="00257D24" w:rsidRPr="00492375" w:rsidRDefault="00257D24" w:rsidP="00173AFA">
            <w:pPr>
              <w:rPr>
                <w:rFonts w:cstheme="minorHAnsi"/>
                <w:sz w:val="22"/>
                <w:szCs w:val="22"/>
              </w:rPr>
            </w:pPr>
            <w:r w:rsidRPr="00492375">
              <w:rPr>
                <w:rFonts w:cstheme="minorHAnsi"/>
                <w:sz w:val="22"/>
                <w:szCs w:val="22"/>
              </w:rPr>
              <w:t>h)     Applicability of Data Processing Requirements</w:t>
            </w:r>
          </w:p>
          <w:p w14:paraId="2D286F8D" w14:textId="77777777" w:rsidR="00257D24" w:rsidRPr="00492375" w:rsidRDefault="00257D24" w:rsidP="00173AFA">
            <w:pPr>
              <w:rPr>
                <w:rFonts w:cstheme="minorHAnsi"/>
                <w:sz w:val="22"/>
                <w:szCs w:val="22"/>
              </w:rPr>
            </w:pPr>
            <w:r w:rsidRPr="00492375">
              <w:rPr>
                <w:rFonts w:cstheme="minorHAnsi"/>
                <w:sz w:val="22"/>
                <w:szCs w:val="22"/>
              </w:rPr>
              <w:t xml:space="preserve">h3) Should Contracted Parties be allowed or required to treat legal and natural persons differently, and what mechanism is needed to ensure reliable determination of status?  </w:t>
            </w:r>
          </w:p>
          <w:p w14:paraId="034C39E9" w14:textId="77777777" w:rsidR="00257D24" w:rsidRPr="00492375" w:rsidRDefault="00257D24" w:rsidP="00173AFA">
            <w:pPr>
              <w:rPr>
                <w:rFonts w:cstheme="minorHAnsi"/>
                <w:sz w:val="22"/>
                <w:szCs w:val="22"/>
              </w:rPr>
            </w:pPr>
            <w:r w:rsidRPr="00492375">
              <w:rPr>
                <w:rFonts w:cstheme="minorHAnsi"/>
                <w:sz w:val="22"/>
                <w:szCs w:val="22"/>
              </w:rPr>
              <w:t xml:space="preserve">h4) Is there a legal basis for Contracted Parties to treat legal and natural persons differently? </w:t>
            </w:r>
          </w:p>
          <w:p w14:paraId="6E3CDDB6" w14:textId="1E565046" w:rsidR="00257D24" w:rsidRPr="00492375" w:rsidRDefault="00257D24" w:rsidP="00173AFA">
            <w:pPr>
              <w:rPr>
                <w:sz w:val="22"/>
                <w:szCs w:val="22"/>
              </w:rPr>
            </w:pPr>
            <w:r w:rsidRPr="00492375">
              <w:rPr>
                <w:rFonts w:cstheme="minorHAnsi"/>
                <w:sz w:val="22"/>
                <w:szCs w:val="22"/>
              </w:rPr>
              <w:t>h5) What are the risks associated with differentiation of registrant status as legal or natural persons across multiple jurisdictions? (See EDPB letter of 5 July 2018).</w:t>
            </w:r>
          </w:p>
        </w:tc>
      </w:tr>
      <w:tr w:rsidR="00257D24" w:rsidRPr="00492375" w14:paraId="46B5FAC1" w14:textId="77777777" w:rsidTr="00257D24">
        <w:tc>
          <w:tcPr>
            <w:tcW w:w="2194" w:type="dxa"/>
            <w:shd w:val="clear" w:color="auto" w:fill="F2F2F2" w:themeFill="background1" w:themeFillShade="F2"/>
          </w:tcPr>
          <w:p w14:paraId="7C3BB23C" w14:textId="6296E858" w:rsidR="00257D24" w:rsidRPr="00492375" w:rsidRDefault="00257D24" w:rsidP="00173AFA">
            <w:pPr>
              <w:rPr>
                <w:b/>
                <w:sz w:val="22"/>
                <w:szCs w:val="22"/>
              </w:rPr>
            </w:pPr>
            <w:r w:rsidRPr="00492375">
              <w:rPr>
                <w:b/>
                <w:sz w:val="22"/>
                <w:szCs w:val="22"/>
              </w:rPr>
              <w:t>EDPB Advice</w:t>
            </w:r>
          </w:p>
        </w:tc>
        <w:tc>
          <w:tcPr>
            <w:tcW w:w="9411" w:type="dxa"/>
          </w:tcPr>
          <w:p w14:paraId="5A9F81CF" w14:textId="77777777" w:rsidR="00257D24" w:rsidRPr="00492375" w:rsidRDefault="00257D24" w:rsidP="00257D24">
            <w:pPr>
              <w:rPr>
                <w:b/>
                <w:sz w:val="22"/>
                <w:szCs w:val="22"/>
              </w:rPr>
            </w:pPr>
            <w:r w:rsidRPr="00492375">
              <w:rPr>
                <w:b/>
                <w:sz w:val="22"/>
                <w:szCs w:val="22"/>
              </w:rPr>
              <w:t>3. Registration of legal persons</w:t>
            </w:r>
          </w:p>
          <w:p w14:paraId="3443C6D4" w14:textId="77777777" w:rsidR="00257D24" w:rsidRPr="00492375" w:rsidRDefault="00257D24" w:rsidP="00257D24">
            <w:pPr>
              <w:rPr>
                <w:b/>
                <w:sz w:val="22"/>
                <w:szCs w:val="22"/>
              </w:rPr>
            </w:pPr>
          </w:p>
          <w:p w14:paraId="1592D4FF" w14:textId="00D0E6DF" w:rsidR="00257D24" w:rsidRPr="00492375" w:rsidRDefault="00257D24" w:rsidP="00257D24">
            <w:pPr>
              <w:rPr>
                <w:sz w:val="22"/>
                <w:szCs w:val="22"/>
              </w:rPr>
            </w:pPr>
            <w:r w:rsidRPr="00492375">
              <w:rPr>
                <w:sz w:val="22"/>
                <w:szCs w:val="22"/>
              </w:rPr>
              <w:t>In its letter of 10 May 2018, ICANN asks whether the proposed interim compliance model should</w:t>
            </w:r>
            <w:r w:rsidRPr="00492375">
              <w:rPr>
                <w:sz w:val="22"/>
                <w:szCs w:val="22"/>
              </w:rPr>
              <w:t xml:space="preserve"> </w:t>
            </w:r>
            <w:r w:rsidRPr="00492375">
              <w:rPr>
                <w:sz w:val="22"/>
                <w:szCs w:val="22"/>
              </w:rPr>
              <w:t>apply to domain name registrations that include personal data associated with a registration of a</w:t>
            </w:r>
            <w:r w:rsidRPr="00492375">
              <w:rPr>
                <w:sz w:val="22"/>
                <w:szCs w:val="22"/>
              </w:rPr>
              <w:t xml:space="preserve"> </w:t>
            </w:r>
            <w:r w:rsidRPr="00492375">
              <w:rPr>
                <w:sz w:val="22"/>
                <w:szCs w:val="22"/>
              </w:rPr>
              <w:t>legal person.</w:t>
            </w:r>
          </w:p>
          <w:p w14:paraId="3D01FDFF" w14:textId="77777777" w:rsidR="00257D24" w:rsidRPr="00492375" w:rsidRDefault="00257D24" w:rsidP="00257D24">
            <w:pPr>
              <w:rPr>
                <w:sz w:val="22"/>
                <w:szCs w:val="22"/>
              </w:rPr>
            </w:pPr>
          </w:p>
          <w:p w14:paraId="6C681A04" w14:textId="1810D533" w:rsidR="00257D24" w:rsidRPr="00492375" w:rsidRDefault="00257D24" w:rsidP="00257D24">
            <w:pPr>
              <w:rPr>
                <w:sz w:val="22"/>
                <w:szCs w:val="22"/>
              </w:rPr>
            </w:pPr>
            <w:r w:rsidRPr="00492375">
              <w:rPr>
                <w:sz w:val="22"/>
                <w:szCs w:val="22"/>
              </w:rPr>
              <w:t>The GDPR does not apply to the processing of personal data which concerns legal persons and in</w:t>
            </w:r>
            <w:r w:rsidRPr="00492375">
              <w:rPr>
                <w:sz w:val="22"/>
                <w:szCs w:val="22"/>
              </w:rPr>
              <w:t xml:space="preserve"> </w:t>
            </w:r>
            <w:r w:rsidRPr="00492375">
              <w:rPr>
                <w:sz w:val="22"/>
                <w:szCs w:val="22"/>
              </w:rPr>
              <w:t>particular undertakings established as legal persons, including the name and the form of the legal</w:t>
            </w:r>
            <w:r w:rsidRPr="00492375">
              <w:rPr>
                <w:sz w:val="22"/>
                <w:szCs w:val="22"/>
              </w:rPr>
              <w:t xml:space="preserve"> </w:t>
            </w:r>
            <w:r w:rsidRPr="00492375">
              <w:rPr>
                <w:sz w:val="22"/>
                <w:szCs w:val="22"/>
              </w:rPr>
              <w:t>person and the contact details of the legal person. While the contact details of a legal person are</w:t>
            </w:r>
            <w:r w:rsidRPr="00492375">
              <w:rPr>
                <w:sz w:val="22"/>
                <w:szCs w:val="22"/>
              </w:rPr>
              <w:t xml:space="preserve"> </w:t>
            </w:r>
            <w:r w:rsidRPr="00492375">
              <w:rPr>
                <w:sz w:val="22"/>
                <w:szCs w:val="22"/>
              </w:rPr>
              <w:t>outside the scope of the GDPR, the contact details concerning natural persons are within the scope</w:t>
            </w:r>
            <w:r w:rsidRPr="00492375">
              <w:rPr>
                <w:sz w:val="22"/>
                <w:szCs w:val="22"/>
              </w:rPr>
              <w:t xml:space="preserve"> </w:t>
            </w:r>
            <w:r w:rsidRPr="00492375">
              <w:rPr>
                <w:sz w:val="22"/>
                <w:szCs w:val="22"/>
              </w:rPr>
              <w:t>of the GDPR, as well as any other information relating to an identified or identifiable natural</w:t>
            </w:r>
          </w:p>
          <w:p w14:paraId="70BAF9D2" w14:textId="77777777" w:rsidR="00257D24" w:rsidRPr="00492375" w:rsidRDefault="00257D24" w:rsidP="00257D24">
            <w:pPr>
              <w:rPr>
                <w:sz w:val="22"/>
                <w:szCs w:val="22"/>
              </w:rPr>
            </w:pPr>
            <w:r w:rsidRPr="00492375">
              <w:rPr>
                <w:sz w:val="22"/>
                <w:szCs w:val="22"/>
              </w:rPr>
              <w:t xml:space="preserve">person. </w:t>
            </w:r>
          </w:p>
          <w:p w14:paraId="500EDC8F" w14:textId="77777777" w:rsidR="00257D24" w:rsidRPr="00492375" w:rsidRDefault="00257D24" w:rsidP="00257D24">
            <w:pPr>
              <w:rPr>
                <w:sz w:val="22"/>
                <w:szCs w:val="22"/>
              </w:rPr>
            </w:pPr>
          </w:p>
          <w:p w14:paraId="3BC3EB21" w14:textId="20A15C91" w:rsidR="00257D24" w:rsidRPr="00492375" w:rsidRDefault="00257D24" w:rsidP="00257D24">
            <w:pPr>
              <w:rPr>
                <w:sz w:val="22"/>
                <w:szCs w:val="22"/>
              </w:rPr>
            </w:pPr>
            <w:r w:rsidRPr="00492375">
              <w:rPr>
                <w:sz w:val="22"/>
                <w:szCs w:val="22"/>
              </w:rPr>
              <w:t>The mere fact that a registrant is a legal person does not necessarily justify unlimited publication</w:t>
            </w:r>
            <w:r w:rsidRPr="00492375">
              <w:rPr>
                <w:sz w:val="22"/>
                <w:szCs w:val="22"/>
              </w:rPr>
              <w:t xml:space="preserve"> </w:t>
            </w:r>
            <w:r w:rsidRPr="00492375">
              <w:rPr>
                <w:sz w:val="22"/>
                <w:szCs w:val="22"/>
              </w:rPr>
              <w:t>of personal data relating to natural persons who work for or represent that organization, such as</w:t>
            </w:r>
            <w:r w:rsidRPr="00492375">
              <w:rPr>
                <w:sz w:val="22"/>
                <w:szCs w:val="22"/>
              </w:rPr>
              <w:t xml:space="preserve"> </w:t>
            </w:r>
            <w:r w:rsidRPr="00492375">
              <w:rPr>
                <w:sz w:val="22"/>
                <w:szCs w:val="22"/>
              </w:rPr>
              <w:t>natural persons who manage administrative or technical issues on behalf of the registrant.</w:t>
            </w:r>
          </w:p>
          <w:p w14:paraId="6620135F" w14:textId="77777777" w:rsidR="00257D24" w:rsidRPr="00492375" w:rsidRDefault="00257D24" w:rsidP="00257D24">
            <w:pPr>
              <w:rPr>
                <w:sz w:val="22"/>
                <w:szCs w:val="22"/>
              </w:rPr>
            </w:pPr>
          </w:p>
          <w:p w14:paraId="08C9398E" w14:textId="7937BCCC" w:rsidR="00257D24" w:rsidRPr="00492375" w:rsidRDefault="00257D24" w:rsidP="00257D24">
            <w:pPr>
              <w:rPr>
                <w:sz w:val="22"/>
                <w:szCs w:val="22"/>
              </w:rPr>
            </w:pPr>
            <w:r w:rsidRPr="00492375">
              <w:rPr>
                <w:sz w:val="22"/>
                <w:szCs w:val="22"/>
              </w:rPr>
              <w:t>For example, the publication of the personal email address of a technical contact person consisting</w:t>
            </w:r>
            <w:r w:rsidRPr="00492375">
              <w:rPr>
                <w:sz w:val="22"/>
                <w:szCs w:val="22"/>
              </w:rPr>
              <w:t xml:space="preserve"> </w:t>
            </w:r>
            <w:r w:rsidRPr="00492375">
              <w:rPr>
                <w:sz w:val="22"/>
                <w:szCs w:val="22"/>
              </w:rPr>
              <w:t>of can reveal information regarding their current employer as well as their role within the organization. Together with the address of the registrant, it may also reveal information about his or her place of work.</w:t>
            </w:r>
          </w:p>
          <w:p w14:paraId="2AB1A247" w14:textId="77777777" w:rsidR="00257D24" w:rsidRPr="00492375" w:rsidRDefault="00257D24" w:rsidP="00257D24">
            <w:pPr>
              <w:rPr>
                <w:sz w:val="22"/>
                <w:szCs w:val="22"/>
              </w:rPr>
            </w:pPr>
          </w:p>
          <w:p w14:paraId="1E29DAA7" w14:textId="0958271B" w:rsidR="00257D24" w:rsidRPr="00492375" w:rsidRDefault="00257D24" w:rsidP="00173AFA">
            <w:pPr>
              <w:rPr>
                <w:sz w:val="22"/>
                <w:szCs w:val="22"/>
              </w:rPr>
            </w:pPr>
            <w:r w:rsidRPr="00492375">
              <w:rPr>
                <w:sz w:val="22"/>
                <w:szCs w:val="22"/>
              </w:rPr>
              <w:t xml:space="preserve">In light of these considerations, the EDPB considers that personal data identifying individual employees (or third parties) acting on behalf of the registrant should not be made </w:t>
            </w:r>
            <w:proofErr w:type="spellStart"/>
            <w:r w:rsidRPr="00492375">
              <w:rPr>
                <w:sz w:val="22"/>
                <w:szCs w:val="22"/>
              </w:rPr>
              <w:t>publically</w:t>
            </w:r>
            <w:proofErr w:type="spellEnd"/>
            <w:r w:rsidRPr="00492375">
              <w:rPr>
                <w:sz w:val="22"/>
                <w:szCs w:val="22"/>
              </w:rPr>
              <w:t xml:space="preserve"> available by default in the context of WHOIS. If the registrant provides (or the registrar ensures) generic contact email information (e.g. admin@domain.com), the EDPB does not consider that the publication of such data in the context of WHOIS would be unlawful as such.</w:t>
            </w:r>
          </w:p>
        </w:tc>
      </w:tr>
      <w:tr w:rsidR="00C11411" w:rsidRPr="00492375" w14:paraId="23BC56DE" w14:textId="77777777" w:rsidTr="00257D24">
        <w:tc>
          <w:tcPr>
            <w:tcW w:w="2194" w:type="dxa"/>
            <w:shd w:val="clear" w:color="auto" w:fill="F2F2F2" w:themeFill="background1" w:themeFillShade="F2"/>
          </w:tcPr>
          <w:p w14:paraId="16020B67" w14:textId="38A6BFE8" w:rsidR="00C11411" w:rsidRPr="00492375" w:rsidRDefault="0027377D" w:rsidP="00173AFA">
            <w:pPr>
              <w:rPr>
                <w:b/>
                <w:sz w:val="22"/>
                <w:szCs w:val="22"/>
              </w:rPr>
            </w:pPr>
            <w:r>
              <w:rPr>
                <w:b/>
                <w:sz w:val="22"/>
                <w:szCs w:val="22"/>
              </w:rPr>
              <w:lastRenderedPageBreak/>
              <w:t>Relevant Temporary Specification Sections</w:t>
            </w:r>
          </w:p>
        </w:tc>
        <w:tc>
          <w:tcPr>
            <w:tcW w:w="9411" w:type="dxa"/>
          </w:tcPr>
          <w:p w14:paraId="2A4F5393" w14:textId="77777777" w:rsidR="0027377D" w:rsidRPr="003411A1" w:rsidRDefault="0027377D" w:rsidP="003411A1">
            <w:pPr>
              <w:rPr>
                <w:rFonts w:cstheme="minorHAnsi"/>
                <w:b/>
                <w:sz w:val="22"/>
                <w:szCs w:val="22"/>
              </w:rPr>
            </w:pPr>
            <w:r w:rsidRPr="003411A1">
              <w:rPr>
                <w:rFonts w:cstheme="minorHAnsi"/>
                <w:b/>
                <w:sz w:val="22"/>
                <w:szCs w:val="22"/>
              </w:rPr>
              <w:t xml:space="preserve">Appendix A - </w:t>
            </w:r>
            <w:r w:rsidRPr="003411A1">
              <w:rPr>
                <w:rFonts w:cstheme="minorHAnsi"/>
                <w:b/>
                <w:bCs/>
                <w:sz w:val="22"/>
                <w:szCs w:val="22"/>
              </w:rPr>
              <w:t>Requirements for Processing Personal Data in Public RDDS Where Processing is Subject to the GDPR</w:t>
            </w:r>
          </w:p>
          <w:p w14:paraId="4A0BC1A2" w14:textId="77777777" w:rsidR="0027377D" w:rsidRPr="003411A1" w:rsidRDefault="0027377D" w:rsidP="003411A1">
            <w:pPr>
              <w:pStyle w:val="NormalWeb"/>
              <w:spacing w:before="0" w:beforeAutospacing="0" w:after="0" w:afterAutospacing="0"/>
              <w:rPr>
                <w:rFonts w:asciiTheme="minorHAnsi" w:hAnsiTheme="minorHAnsi" w:cstheme="minorHAnsi"/>
                <w:color w:val="333333"/>
                <w:sz w:val="22"/>
                <w:szCs w:val="22"/>
              </w:rPr>
            </w:pPr>
          </w:p>
          <w:p w14:paraId="2DBCDB41" w14:textId="4F705A7E" w:rsidR="0027377D" w:rsidRPr="003411A1" w:rsidRDefault="0027377D" w:rsidP="003411A1">
            <w:pPr>
              <w:pStyle w:val="NormalWeb"/>
              <w:spacing w:before="0" w:beforeAutospacing="0" w:after="0" w:afterAutospacing="0"/>
              <w:rPr>
                <w:rFonts w:asciiTheme="minorHAnsi" w:hAnsiTheme="minorHAnsi" w:cstheme="minorHAnsi"/>
                <w:color w:val="333333"/>
                <w:sz w:val="22"/>
                <w:szCs w:val="22"/>
              </w:rPr>
            </w:pPr>
            <w:r w:rsidRPr="003411A1">
              <w:rPr>
                <w:rFonts w:asciiTheme="minorHAnsi" w:hAnsiTheme="minorHAnsi" w:cstheme="minorHAnsi"/>
                <w:color w:val="333333"/>
                <w:sz w:val="22"/>
                <w:szCs w:val="22"/>
              </w:rPr>
              <w:t>2.3. In responses to domain name queries, Registrar and Registry Operator MUST treat the following</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Registrant</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fields as "redacted" unless the Registered Name Holder has provided Consent to publish the Registered Name Holder's data:</w:t>
            </w:r>
          </w:p>
          <w:p w14:paraId="41340FAD"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Registry</w:t>
            </w:r>
            <w:r w:rsidRPr="003411A1">
              <w:rPr>
                <w:rStyle w:val="apple-converted-space"/>
                <w:rFonts w:cstheme="minorHAnsi"/>
                <w:color w:val="333333"/>
                <w:sz w:val="22"/>
                <w:szCs w:val="22"/>
              </w:rPr>
              <w:t> </w:t>
            </w: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ID</w:t>
            </w:r>
          </w:p>
          <w:p w14:paraId="054A2922"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Name</w:t>
            </w:r>
          </w:p>
          <w:p w14:paraId="0918A332"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Street</w:t>
            </w:r>
          </w:p>
          <w:p w14:paraId="11395E3A"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City</w:t>
            </w:r>
          </w:p>
          <w:p w14:paraId="60E09F39"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Postal Code</w:t>
            </w:r>
          </w:p>
          <w:p w14:paraId="24494AD7"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Phone</w:t>
            </w:r>
          </w:p>
          <w:p w14:paraId="2AC8DA9F"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Phone Ext</w:t>
            </w:r>
          </w:p>
          <w:p w14:paraId="7677C84C" w14:textId="77777777"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Fax</w:t>
            </w:r>
          </w:p>
          <w:p w14:paraId="795A0654" w14:textId="0A28CD64" w:rsidR="0027377D" w:rsidRPr="003411A1" w:rsidRDefault="0027377D" w:rsidP="003411A1">
            <w:pPr>
              <w:numPr>
                <w:ilvl w:val="0"/>
                <w:numId w:val="2"/>
              </w:numPr>
              <w:ind w:left="1020"/>
              <w:rPr>
                <w:rFonts w:cstheme="minorHAnsi"/>
                <w:color w:val="333333"/>
                <w:sz w:val="22"/>
                <w:szCs w:val="22"/>
              </w:rPr>
            </w:pPr>
            <w:r w:rsidRPr="003411A1">
              <w:rPr>
                <w:rFonts w:cstheme="minorHAnsi"/>
                <w:color w:val="333333"/>
                <w:sz w:val="22"/>
                <w:szCs w:val="22"/>
              </w:rPr>
              <w:t>Registrant</w:t>
            </w:r>
            <w:r w:rsidRPr="003411A1">
              <w:rPr>
                <w:rStyle w:val="apple-converted-space"/>
                <w:rFonts w:cstheme="minorHAnsi"/>
                <w:color w:val="333333"/>
                <w:sz w:val="22"/>
                <w:szCs w:val="22"/>
              </w:rPr>
              <w:t> </w:t>
            </w:r>
            <w:r w:rsidRPr="003411A1">
              <w:rPr>
                <w:rFonts w:cstheme="minorHAnsi"/>
                <w:color w:val="333333"/>
                <w:sz w:val="22"/>
                <w:szCs w:val="22"/>
              </w:rPr>
              <w:t>Fax Ext</w:t>
            </w:r>
          </w:p>
          <w:p w14:paraId="5A5C2FFF" w14:textId="20430B17" w:rsidR="003411A1" w:rsidRPr="003411A1" w:rsidRDefault="003411A1" w:rsidP="003411A1">
            <w:pPr>
              <w:rPr>
                <w:rFonts w:cstheme="minorHAnsi"/>
                <w:color w:val="333333"/>
                <w:sz w:val="22"/>
                <w:szCs w:val="22"/>
              </w:rPr>
            </w:pPr>
          </w:p>
          <w:p w14:paraId="7CADA901" w14:textId="77777777" w:rsidR="003411A1" w:rsidRPr="003411A1" w:rsidRDefault="003411A1" w:rsidP="003411A1">
            <w:pPr>
              <w:pStyle w:val="NormalWeb"/>
              <w:spacing w:before="0" w:beforeAutospacing="0" w:after="0" w:afterAutospacing="0"/>
              <w:rPr>
                <w:rFonts w:asciiTheme="minorHAnsi" w:hAnsiTheme="minorHAnsi" w:cstheme="minorHAnsi"/>
                <w:color w:val="333333"/>
                <w:sz w:val="22"/>
                <w:szCs w:val="22"/>
              </w:rPr>
            </w:pPr>
            <w:r w:rsidRPr="003411A1">
              <w:rPr>
                <w:rFonts w:asciiTheme="minorHAnsi" w:hAnsiTheme="minorHAnsi" w:cstheme="minorHAnsi"/>
                <w:color w:val="333333"/>
                <w:sz w:val="22"/>
                <w:szCs w:val="22"/>
              </w:rPr>
              <w:t>2.4. In responses to domain name queries, Registrar and Registry Operator MUST treat the following fields as "redacted" unless the contact (e.g., Admin, Tech) has provided Consent to publish the contact's data:</w:t>
            </w:r>
          </w:p>
          <w:p w14:paraId="2D3984C0"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Registry Admin/Tech/Other ID</w:t>
            </w:r>
          </w:p>
          <w:p w14:paraId="12A6771F"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Name</w:t>
            </w:r>
          </w:p>
          <w:p w14:paraId="17348AAD"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Admin/Tech/Other Organization</w:t>
            </w:r>
          </w:p>
          <w:p w14:paraId="55B8BAFB"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Street</w:t>
            </w:r>
          </w:p>
          <w:p w14:paraId="2AEA0880"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City</w:t>
            </w:r>
          </w:p>
          <w:p w14:paraId="6F54DDC1"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State/Province</w:t>
            </w:r>
          </w:p>
          <w:p w14:paraId="25CC2B5A"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Admin/Tech/Other Postal Code</w:t>
            </w:r>
          </w:p>
          <w:p w14:paraId="24A7E773"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Admin/Tech/Other Country</w:t>
            </w:r>
          </w:p>
          <w:p w14:paraId="5866F2C1"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Phone</w:t>
            </w:r>
          </w:p>
          <w:p w14:paraId="007BB700"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Phone Ext</w:t>
            </w:r>
          </w:p>
          <w:p w14:paraId="25282928" w14:textId="77777777" w:rsidR="003411A1" w:rsidRP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Fax</w:t>
            </w:r>
          </w:p>
          <w:p w14:paraId="10BFB92E" w14:textId="3D0CB073" w:rsidR="003411A1" w:rsidRDefault="003411A1" w:rsidP="003411A1">
            <w:pPr>
              <w:numPr>
                <w:ilvl w:val="0"/>
                <w:numId w:val="3"/>
              </w:numPr>
              <w:ind w:left="1020"/>
              <w:rPr>
                <w:rFonts w:cstheme="minorHAnsi"/>
                <w:color w:val="333333"/>
                <w:sz w:val="22"/>
                <w:szCs w:val="22"/>
              </w:rPr>
            </w:pPr>
            <w:r w:rsidRPr="003411A1">
              <w:rPr>
                <w:rFonts w:cstheme="minorHAnsi"/>
                <w:color w:val="333333"/>
                <w:sz w:val="22"/>
                <w:szCs w:val="22"/>
              </w:rPr>
              <w:t>Admin/Tech/</w:t>
            </w:r>
            <w:proofErr w:type="gramStart"/>
            <w:r w:rsidRPr="003411A1">
              <w:rPr>
                <w:rFonts w:cstheme="minorHAnsi"/>
                <w:color w:val="333333"/>
                <w:sz w:val="22"/>
                <w:szCs w:val="22"/>
              </w:rPr>
              <w:t>Other</w:t>
            </w:r>
            <w:proofErr w:type="gramEnd"/>
            <w:r w:rsidRPr="003411A1">
              <w:rPr>
                <w:rFonts w:cstheme="minorHAnsi"/>
                <w:color w:val="333333"/>
                <w:sz w:val="22"/>
                <w:szCs w:val="22"/>
              </w:rPr>
              <w:t xml:space="preserve"> Fax Ext</w:t>
            </w:r>
          </w:p>
          <w:p w14:paraId="2AD9FF19" w14:textId="77777777" w:rsidR="003411A1" w:rsidRPr="003411A1" w:rsidRDefault="003411A1" w:rsidP="003411A1">
            <w:pPr>
              <w:ind w:left="1020"/>
              <w:rPr>
                <w:rFonts w:cstheme="minorHAnsi"/>
                <w:color w:val="333333"/>
                <w:sz w:val="22"/>
                <w:szCs w:val="22"/>
              </w:rPr>
            </w:pPr>
          </w:p>
          <w:p w14:paraId="262FC9EE" w14:textId="77777777" w:rsidR="003411A1" w:rsidRPr="003411A1" w:rsidRDefault="003411A1" w:rsidP="003411A1">
            <w:pPr>
              <w:pStyle w:val="NormalWeb"/>
              <w:spacing w:before="0" w:beforeAutospacing="0" w:after="0" w:afterAutospacing="0"/>
              <w:rPr>
                <w:rFonts w:asciiTheme="minorHAnsi" w:hAnsiTheme="minorHAnsi" w:cstheme="minorHAnsi"/>
                <w:color w:val="333333"/>
                <w:sz w:val="22"/>
                <w:szCs w:val="22"/>
              </w:rPr>
            </w:pPr>
            <w:bookmarkStart w:id="0" w:name="appendixA-2.5"/>
            <w:bookmarkEnd w:id="0"/>
            <w:r w:rsidRPr="003411A1">
              <w:rPr>
                <w:rFonts w:asciiTheme="minorHAnsi" w:hAnsiTheme="minorHAnsi" w:cstheme="minorHAnsi"/>
                <w:color w:val="333333"/>
                <w:sz w:val="22"/>
                <w:szCs w:val="22"/>
              </w:rPr>
              <w:t>2.5. In responses to domain name queries, in the value of the "Email" field of every contact (e.g.,</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Registrant, Admin, Tech):</w:t>
            </w:r>
          </w:p>
          <w:p w14:paraId="126271BD" w14:textId="77777777" w:rsidR="003411A1" w:rsidRPr="003411A1" w:rsidRDefault="003411A1" w:rsidP="003411A1">
            <w:pPr>
              <w:pStyle w:val="NormalWeb"/>
              <w:spacing w:before="0" w:beforeAutospacing="0" w:after="0" w:afterAutospacing="0"/>
              <w:rPr>
                <w:rFonts w:asciiTheme="minorHAnsi" w:hAnsiTheme="minorHAnsi" w:cstheme="minorHAnsi"/>
                <w:color w:val="333333"/>
                <w:sz w:val="22"/>
                <w:szCs w:val="22"/>
              </w:rPr>
            </w:pPr>
            <w:bookmarkStart w:id="1" w:name="appendixA-2.5.1"/>
            <w:bookmarkEnd w:id="1"/>
            <w:r w:rsidRPr="003411A1">
              <w:rPr>
                <w:rFonts w:asciiTheme="minorHAnsi" w:hAnsiTheme="minorHAnsi" w:cstheme="minorHAnsi"/>
                <w:color w:val="333333"/>
                <w:sz w:val="22"/>
                <w:szCs w:val="22"/>
              </w:rPr>
              <w:lastRenderedPageBreak/>
              <w:t xml:space="preserve">2.5.1. Registrar MUST provide an email address or a web form to facilitate email communication with the relevant </w:t>
            </w:r>
            <w:proofErr w:type="gramStart"/>
            <w:r w:rsidRPr="003411A1">
              <w:rPr>
                <w:rFonts w:asciiTheme="minorHAnsi" w:hAnsiTheme="minorHAnsi" w:cstheme="minorHAnsi"/>
                <w:color w:val="333333"/>
                <w:sz w:val="22"/>
                <w:szCs w:val="22"/>
              </w:rPr>
              <w:t>contact, but</w:t>
            </w:r>
            <w:proofErr w:type="gramEnd"/>
            <w:r w:rsidRPr="003411A1">
              <w:rPr>
                <w:rFonts w:asciiTheme="minorHAnsi" w:hAnsiTheme="minorHAnsi" w:cstheme="minorHAnsi"/>
                <w:color w:val="333333"/>
                <w:sz w:val="22"/>
                <w:szCs w:val="22"/>
              </w:rPr>
              <w:t xml:space="preserve"> MUST NOT identify the contact email address or the contact itself.</w:t>
            </w:r>
          </w:p>
          <w:p w14:paraId="65B21951" w14:textId="77777777" w:rsidR="003411A1" w:rsidRPr="003411A1" w:rsidRDefault="003411A1" w:rsidP="003411A1">
            <w:pPr>
              <w:pStyle w:val="NormalWeb"/>
              <w:spacing w:before="0" w:beforeAutospacing="0" w:after="0" w:afterAutospacing="0"/>
              <w:rPr>
                <w:rFonts w:asciiTheme="minorHAnsi" w:hAnsiTheme="minorHAnsi" w:cstheme="minorHAnsi"/>
                <w:color w:val="333333"/>
                <w:sz w:val="22"/>
                <w:szCs w:val="22"/>
              </w:rPr>
            </w:pPr>
            <w:bookmarkStart w:id="2" w:name="appendixA-2.5.1.1"/>
            <w:bookmarkEnd w:id="2"/>
            <w:r w:rsidRPr="003411A1">
              <w:rPr>
                <w:rFonts w:asciiTheme="minorHAnsi" w:hAnsiTheme="minorHAnsi" w:cstheme="minorHAnsi"/>
                <w:color w:val="333333"/>
                <w:sz w:val="22"/>
                <w:szCs w:val="22"/>
              </w:rPr>
              <w:t>2.5.1.1. The email address and the</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URL</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to the web form MUST provide functionality to forward communications received to the email address of the applicable contact.</w:t>
            </w:r>
          </w:p>
          <w:p w14:paraId="7C821CB7" w14:textId="77777777" w:rsidR="003411A1" w:rsidRPr="003411A1" w:rsidRDefault="003411A1" w:rsidP="003411A1">
            <w:pPr>
              <w:pStyle w:val="NormalWeb"/>
              <w:spacing w:before="0" w:beforeAutospacing="0" w:after="0" w:afterAutospacing="0"/>
              <w:rPr>
                <w:rFonts w:asciiTheme="minorHAnsi" w:hAnsiTheme="minorHAnsi" w:cstheme="minorHAnsi"/>
                <w:color w:val="333333"/>
                <w:sz w:val="22"/>
                <w:szCs w:val="22"/>
              </w:rPr>
            </w:pPr>
            <w:bookmarkStart w:id="3" w:name="appendixA-2.5.1.2"/>
            <w:bookmarkEnd w:id="3"/>
            <w:r w:rsidRPr="003411A1">
              <w:rPr>
                <w:rFonts w:asciiTheme="minorHAnsi" w:hAnsiTheme="minorHAnsi" w:cstheme="minorHAnsi"/>
                <w:color w:val="333333"/>
                <w:sz w:val="22"/>
                <w:szCs w:val="22"/>
              </w:rPr>
              <w:t>2.5.1.2. Registrar MAY implement commercially reasonable safeguards to filter out spam and other form of abusive communications.</w:t>
            </w:r>
          </w:p>
          <w:p w14:paraId="26948A60" w14:textId="77777777" w:rsidR="003411A1" w:rsidRPr="003411A1" w:rsidRDefault="003411A1" w:rsidP="003411A1">
            <w:pPr>
              <w:pStyle w:val="NormalWeb"/>
              <w:spacing w:before="0" w:beforeAutospacing="0" w:after="0" w:afterAutospacing="0"/>
              <w:rPr>
                <w:rFonts w:asciiTheme="minorHAnsi" w:hAnsiTheme="minorHAnsi" w:cstheme="minorHAnsi"/>
                <w:color w:val="333333"/>
                <w:sz w:val="22"/>
                <w:szCs w:val="22"/>
              </w:rPr>
            </w:pPr>
            <w:bookmarkStart w:id="4" w:name="appendixA-2.5.1.3"/>
            <w:bookmarkEnd w:id="4"/>
            <w:r w:rsidRPr="003411A1">
              <w:rPr>
                <w:rFonts w:asciiTheme="minorHAnsi" w:hAnsiTheme="minorHAnsi" w:cstheme="minorHAnsi"/>
                <w:color w:val="333333"/>
                <w:sz w:val="22"/>
                <w:szCs w:val="22"/>
              </w:rPr>
              <w:t>2.5.1.3. It MUST NOT be feasible to extract or derive the email address of the contact from the email address and the</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URL</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to the web form provided to facilitate email communication with the relevant contact.</w:t>
            </w:r>
          </w:p>
          <w:p w14:paraId="2B8D3BF3" w14:textId="77777777" w:rsidR="003411A1" w:rsidRPr="003411A1" w:rsidRDefault="003411A1" w:rsidP="003411A1">
            <w:pPr>
              <w:pStyle w:val="NormalWeb"/>
              <w:spacing w:before="0" w:beforeAutospacing="0" w:after="0" w:afterAutospacing="0"/>
              <w:rPr>
                <w:rFonts w:asciiTheme="minorHAnsi" w:hAnsiTheme="minorHAnsi" w:cstheme="minorHAnsi"/>
                <w:color w:val="333333"/>
                <w:sz w:val="22"/>
                <w:szCs w:val="22"/>
              </w:rPr>
            </w:pPr>
            <w:bookmarkStart w:id="5" w:name="appendixA-2.5.2"/>
            <w:bookmarkEnd w:id="5"/>
            <w:r w:rsidRPr="003411A1">
              <w:rPr>
                <w:rFonts w:asciiTheme="minorHAnsi" w:hAnsiTheme="minorHAnsi" w:cstheme="minorHAnsi"/>
                <w:color w:val="333333"/>
                <w:sz w:val="22"/>
                <w:szCs w:val="22"/>
              </w:rPr>
              <w:t>2.5.2. Registry Operator MUST provide a message substantially similar to the following: "Please query the RDDS service of the Registrar of Record identified in this output for information on how to contact the</w:t>
            </w:r>
            <w:r w:rsidRPr="003411A1">
              <w:rPr>
                <w:rStyle w:val="apple-converted-space"/>
                <w:rFonts w:asciiTheme="minorHAnsi" w:hAnsiTheme="minorHAnsi" w:cstheme="minorHAnsi"/>
                <w:color w:val="333333"/>
                <w:sz w:val="22"/>
                <w:szCs w:val="22"/>
              </w:rPr>
              <w:t> </w:t>
            </w:r>
            <w:r w:rsidRPr="003411A1">
              <w:rPr>
                <w:rFonts w:asciiTheme="minorHAnsi" w:hAnsiTheme="minorHAnsi" w:cstheme="minorHAnsi"/>
                <w:color w:val="333333"/>
                <w:sz w:val="22"/>
                <w:szCs w:val="22"/>
              </w:rPr>
              <w:t>Registrant, Admin, or Tech contact of the queried domain name."</w:t>
            </w:r>
          </w:p>
          <w:p w14:paraId="246A621F" w14:textId="77777777" w:rsidR="003411A1" w:rsidRPr="003411A1" w:rsidRDefault="003411A1" w:rsidP="003411A1">
            <w:pPr>
              <w:rPr>
                <w:rFonts w:cstheme="minorHAnsi"/>
                <w:color w:val="333333"/>
                <w:sz w:val="22"/>
                <w:szCs w:val="22"/>
              </w:rPr>
            </w:pPr>
          </w:p>
          <w:p w14:paraId="49C264FB" w14:textId="176AC95E" w:rsidR="0027377D" w:rsidRPr="003411A1" w:rsidRDefault="0027377D" w:rsidP="003411A1">
            <w:pPr>
              <w:rPr>
                <w:rFonts w:cstheme="minorHAnsi"/>
                <w:color w:val="000000"/>
                <w:sz w:val="22"/>
                <w:szCs w:val="22"/>
              </w:rPr>
            </w:pPr>
            <w:r w:rsidRPr="003411A1">
              <w:rPr>
                <w:rFonts w:cstheme="minorHAnsi"/>
                <w:color w:val="000000"/>
                <w:sz w:val="22"/>
                <w:szCs w:val="22"/>
              </w:rPr>
              <w:t>(….)</w:t>
            </w:r>
          </w:p>
          <w:p w14:paraId="770881B2" w14:textId="77777777" w:rsidR="0027377D" w:rsidRPr="003411A1" w:rsidRDefault="0027377D" w:rsidP="003411A1">
            <w:pPr>
              <w:rPr>
                <w:rFonts w:cstheme="minorHAnsi"/>
                <w:color w:val="000000"/>
                <w:sz w:val="22"/>
                <w:szCs w:val="22"/>
              </w:rPr>
            </w:pPr>
          </w:p>
          <w:p w14:paraId="5475D3C5" w14:textId="4ED6EE5F" w:rsidR="0027377D" w:rsidRPr="003411A1" w:rsidRDefault="0027377D" w:rsidP="003411A1">
            <w:pPr>
              <w:rPr>
                <w:rFonts w:cstheme="minorHAnsi"/>
                <w:color w:val="000000"/>
                <w:sz w:val="22"/>
                <w:szCs w:val="22"/>
              </w:rPr>
            </w:pPr>
            <w:bookmarkStart w:id="6" w:name="_GoBack"/>
            <w:r w:rsidRPr="003411A1">
              <w:rPr>
                <w:rFonts w:cstheme="minorHAnsi"/>
                <w:b/>
                <w:bCs/>
                <w:color w:val="000000"/>
                <w:sz w:val="22"/>
                <w:szCs w:val="22"/>
              </w:rPr>
              <w:t xml:space="preserve">3. </w:t>
            </w:r>
            <w:r w:rsidRPr="003411A1">
              <w:rPr>
                <w:rFonts w:cstheme="minorHAnsi"/>
                <w:b/>
                <w:bCs/>
                <w:color w:val="000000"/>
                <w:sz w:val="22"/>
                <w:szCs w:val="22"/>
              </w:rPr>
              <w:t>Additional Provisions Concerning Processing Personal Data in Public RDDS Where Processing is not Subject to the GDPR</w:t>
            </w:r>
          </w:p>
          <w:p w14:paraId="677C39A5" w14:textId="380CF57C" w:rsidR="0027377D" w:rsidRPr="003411A1" w:rsidRDefault="0027377D" w:rsidP="003411A1">
            <w:pPr>
              <w:rPr>
                <w:rFonts w:cstheme="minorHAnsi"/>
                <w:color w:val="000000"/>
                <w:sz w:val="22"/>
                <w:szCs w:val="22"/>
              </w:rPr>
            </w:pPr>
            <w:r w:rsidRPr="003411A1">
              <w:rPr>
                <w:rFonts w:cstheme="minorHAnsi"/>
                <w:color w:val="000000"/>
                <w:sz w:val="22"/>
                <w:szCs w:val="22"/>
              </w:rPr>
              <w:t>Registry Operator and Registrar MAY apply the requirements in Section 2 of this Appendix (</w:t>
            </w:r>
            <w:proofErr w:type="spellStart"/>
            <w:r w:rsidRPr="003411A1">
              <w:rPr>
                <w:rFonts w:cstheme="minorHAnsi"/>
                <w:color w:val="000000"/>
                <w:sz w:val="22"/>
                <w:szCs w:val="22"/>
              </w:rPr>
              <w:t>i</w:t>
            </w:r>
            <w:proofErr w:type="spellEnd"/>
            <w:r w:rsidRPr="003411A1">
              <w:rPr>
                <w:rFonts w:cstheme="minorHAnsi"/>
                <w:color w:val="000000"/>
                <w:sz w:val="22"/>
                <w:szCs w:val="22"/>
              </w:rPr>
              <w:t>) where it has a commercially reasonable purpose to do so,</w:t>
            </w:r>
            <w:r w:rsidRPr="003411A1">
              <w:rPr>
                <w:rFonts w:cstheme="minorHAnsi"/>
                <w:color w:val="000000"/>
                <w:sz w:val="22"/>
                <w:szCs w:val="22"/>
              </w:rPr>
              <w:t xml:space="preserve"> </w:t>
            </w:r>
            <w:r w:rsidRPr="003411A1">
              <w:rPr>
                <w:rFonts w:cstheme="minorHAnsi"/>
                <w:color w:val="000000"/>
                <w:sz w:val="22"/>
                <w:szCs w:val="22"/>
              </w:rPr>
              <w:t>or (ii) where it is not technically feasible to limit application of the requirements as provided in Section 2.1 of this Appendix.</w:t>
            </w:r>
            <w:bookmarkEnd w:id="6"/>
          </w:p>
        </w:tc>
      </w:tr>
      <w:tr w:rsidR="00257D24" w:rsidRPr="00492375" w14:paraId="611F5127" w14:textId="77777777" w:rsidTr="00257D24">
        <w:tc>
          <w:tcPr>
            <w:tcW w:w="2194" w:type="dxa"/>
            <w:shd w:val="clear" w:color="auto" w:fill="F2F2F2" w:themeFill="background1" w:themeFillShade="F2"/>
          </w:tcPr>
          <w:p w14:paraId="79537B53" w14:textId="63919096" w:rsidR="00257D24" w:rsidRPr="00492375" w:rsidRDefault="00257D24" w:rsidP="00173AFA">
            <w:pPr>
              <w:rPr>
                <w:b/>
                <w:sz w:val="22"/>
                <w:szCs w:val="22"/>
              </w:rPr>
            </w:pPr>
            <w:r w:rsidRPr="00492375">
              <w:rPr>
                <w:b/>
                <w:sz w:val="22"/>
                <w:szCs w:val="22"/>
              </w:rPr>
              <w:lastRenderedPageBreak/>
              <w:t>Appendix A Google Doc Input</w:t>
            </w:r>
          </w:p>
        </w:tc>
        <w:tc>
          <w:tcPr>
            <w:tcW w:w="9411" w:type="dxa"/>
          </w:tcPr>
          <w:p w14:paraId="1E9BFA1B" w14:textId="77777777" w:rsidR="00257D24" w:rsidRPr="00492375" w:rsidRDefault="00257D24" w:rsidP="00257D24">
            <w:pPr>
              <w:rPr>
                <w:rFonts w:eastAsia="Times New Roman"/>
                <w:sz w:val="22"/>
                <w:szCs w:val="22"/>
              </w:rPr>
            </w:pPr>
            <w:r w:rsidRPr="00492375">
              <w:rPr>
                <w:rFonts w:ascii="Calibri" w:hAnsi="Calibri" w:cs="Calibri"/>
                <w:color w:val="000000"/>
                <w:sz w:val="22"/>
                <w:szCs w:val="22"/>
              </w:rPr>
              <w:t>What changes, if any, need to be made in order to address the EDPB advice?</w:t>
            </w:r>
          </w:p>
          <w:p w14:paraId="60760E3C" w14:textId="77777777" w:rsidR="00C11411" w:rsidRDefault="00C11411" w:rsidP="00257D24">
            <w:pPr>
              <w:pStyle w:val="NormalWeb"/>
              <w:spacing w:before="0" w:beforeAutospacing="0" w:after="0" w:afterAutospacing="0"/>
              <w:rPr>
                <w:rFonts w:ascii="Calibri" w:hAnsi="Calibri" w:cs="Calibri"/>
                <w:color w:val="000000"/>
                <w:sz w:val="22"/>
                <w:szCs w:val="22"/>
              </w:rPr>
            </w:pPr>
          </w:p>
          <w:p w14:paraId="702784E0" w14:textId="1AC70777" w:rsidR="00257D24" w:rsidRPr="00492375" w:rsidRDefault="00257D24" w:rsidP="00257D24">
            <w:pPr>
              <w:pStyle w:val="NormalWeb"/>
              <w:spacing w:before="0" w:beforeAutospacing="0" w:after="0" w:afterAutospacing="0"/>
              <w:rPr>
                <w:sz w:val="22"/>
                <w:szCs w:val="22"/>
              </w:rPr>
            </w:pPr>
            <w:r w:rsidRPr="00492375">
              <w:rPr>
                <w:rFonts w:ascii="Calibri" w:hAnsi="Calibri" w:cs="Calibri"/>
                <w:color w:val="000000"/>
                <w:sz w:val="22"/>
                <w:szCs w:val="22"/>
              </w:rPr>
              <w:t xml:space="preserve">Margie - BC:  The new policy should treat legal and natural persons differently. </w:t>
            </w:r>
          </w:p>
          <w:p w14:paraId="37216CC7" w14:textId="77777777" w:rsidR="00257D24" w:rsidRPr="00492375" w:rsidRDefault="00257D24" w:rsidP="00257D24">
            <w:pPr>
              <w:pStyle w:val="NormalWeb"/>
              <w:spacing w:before="0" w:beforeAutospacing="0" w:after="0" w:afterAutospacing="0"/>
              <w:rPr>
                <w:sz w:val="22"/>
                <w:szCs w:val="22"/>
              </w:rPr>
            </w:pPr>
            <w:r w:rsidRPr="00492375">
              <w:rPr>
                <w:rFonts w:ascii="Calibri" w:hAnsi="Calibri" w:cs="Calibri"/>
                <w:color w:val="000000"/>
                <w:sz w:val="22"/>
                <w:szCs w:val="22"/>
              </w:rPr>
              <w:t>1</w:t>
            </w:r>
            <w:proofErr w:type="gramStart"/>
            <w:r w:rsidRPr="00492375">
              <w:rPr>
                <w:rFonts w:ascii="Calibri" w:hAnsi="Calibri" w:cs="Calibri"/>
                <w:color w:val="000000"/>
                <w:sz w:val="22"/>
                <w:szCs w:val="22"/>
              </w:rPr>
              <w:t>-  As</w:t>
            </w:r>
            <w:proofErr w:type="gramEnd"/>
            <w:r w:rsidRPr="00492375">
              <w:rPr>
                <w:rFonts w:ascii="Calibri" w:hAnsi="Calibri" w:cs="Calibri"/>
                <w:color w:val="000000"/>
                <w:sz w:val="22"/>
                <w:szCs w:val="22"/>
              </w:rPr>
              <w:t xml:space="preserve"> suggested by Benedict- adding a requirement that the Registrant indicate whether it is a legal or natural person.</w:t>
            </w:r>
          </w:p>
          <w:p w14:paraId="1856DB3F" w14:textId="77777777" w:rsidR="00257D24" w:rsidRPr="00492375" w:rsidRDefault="00257D24" w:rsidP="00257D24">
            <w:pPr>
              <w:pStyle w:val="NormalWeb"/>
              <w:spacing w:before="0" w:beforeAutospacing="0" w:after="0" w:afterAutospacing="0"/>
              <w:rPr>
                <w:sz w:val="22"/>
                <w:szCs w:val="22"/>
              </w:rPr>
            </w:pPr>
            <w:r w:rsidRPr="00492375">
              <w:rPr>
                <w:rFonts w:ascii="Calibri" w:hAnsi="Calibri" w:cs="Calibri"/>
                <w:color w:val="000000"/>
                <w:sz w:val="22"/>
                <w:szCs w:val="22"/>
              </w:rPr>
              <w:t>2- If a legal person - require a notice that it should use role email addresses, and if there is an intent to use a natural person, obtain consent for the use of the personal data</w:t>
            </w:r>
          </w:p>
          <w:p w14:paraId="5725C844" w14:textId="77777777" w:rsidR="00257D24" w:rsidRPr="00492375" w:rsidRDefault="00257D24" w:rsidP="00257D24">
            <w:pPr>
              <w:pStyle w:val="NormalWeb"/>
              <w:spacing w:before="0" w:beforeAutospacing="0" w:after="0" w:afterAutospacing="0"/>
              <w:rPr>
                <w:sz w:val="22"/>
                <w:szCs w:val="22"/>
              </w:rPr>
            </w:pPr>
            <w:r w:rsidRPr="00492375">
              <w:rPr>
                <w:rFonts w:ascii="Calibri" w:hAnsi="Calibri" w:cs="Calibri"/>
                <w:color w:val="000000"/>
                <w:sz w:val="22"/>
                <w:szCs w:val="22"/>
              </w:rPr>
              <w:t>3- all of the contact data of the legal person appears unredacted in the WHOIS data fields</w:t>
            </w:r>
          </w:p>
          <w:p w14:paraId="0A0D74F9" w14:textId="77777777" w:rsidR="00C11411" w:rsidRDefault="00C11411" w:rsidP="00257D24">
            <w:pPr>
              <w:rPr>
                <w:rFonts w:ascii="Calibri" w:hAnsi="Calibri" w:cs="Calibri"/>
                <w:color w:val="000000"/>
                <w:sz w:val="22"/>
                <w:szCs w:val="22"/>
              </w:rPr>
            </w:pPr>
          </w:p>
          <w:p w14:paraId="12AF10AC" w14:textId="2C0D01DE" w:rsidR="00257D24" w:rsidRPr="00492375" w:rsidRDefault="00257D24" w:rsidP="00257D24">
            <w:pPr>
              <w:rPr>
                <w:sz w:val="22"/>
                <w:szCs w:val="22"/>
              </w:rPr>
            </w:pPr>
            <w:r w:rsidRPr="00492375">
              <w:rPr>
                <w:rFonts w:ascii="Calibri" w:hAnsi="Calibri" w:cs="Calibri"/>
                <w:color w:val="000000"/>
                <w:sz w:val="22"/>
                <w:szCs w:val="22"/>
              </w:rPr>
              <w:t xml:space="preserve">Alex - IPC: Agree with input from Margie--BC.  Legal person registrants should be able to--and required to-- self-identify and be informed that data privacy protections apply only to natural persons, not legal persons.  For contact information for legal persons, they should be informed and encouraged to use non-personal data (e.g. “Administrator” instead of a person’s name for e-mail </w:t>
            </w:r>
            <w:proofErr w:type="gramStart"/>
            <w:r w:rsidRPr="00492375">
              <w:rPr>
                <w:rFonts w:ascii="Calibri" w:hAnsi="Calibri" w:cs="Calibri"/>
                <w:color w:val="000000"/>
                <w:sz w:val="22"/>
                <w:szCs w:val="22"/>
              </w:rPr>
              <w:t>contact )</w:t>
            </w:r>
            <w:proofErr w:type="gramEnd"/>
            <w:r w:rsidRPr="00492375">
              <w:rPr>
                <w:rFonts w:ascii="Calibri" w:hAnsi="Calibri" w:cs="Calibri"/>
                <w:color w:val="000000"/>
                <w:sz w:val="22"/>
                <w:szCs w:val="22"/>
              </w:rPr>
              <w:t xml:space="preserve">.  But if they choose to use personal data for such contact information, then they must declare that they have </w:t>
            </w:r>
            <w:r w:rsidRPr="00492375">
              <w:rPr>
                <w:rFonts w:ascii="Calibri" w:hAnsi="Calibri" w:cs="Calibri"/>
                <w:color w:val="000000"/>
                <w:sz w:val="22"/>
                <w:szCs w:val="22"/>
              </w:rPr>
              <w:lastRenderedPageBreak/>
              <w:t xml:space="preserve">obtained the free consent of the relevant individual to use such individual’s personal data </w:t>
            </w:r>
            <w:r w:rsidRPr="00492375">
              <w:rPr>
                <w:rFonts w:ascii="Calibri" w:hAnsi="Calibri" w:cs="Calibri"/>
                <w:color w:val="000000"/>
                <w:sz w:val="22"/>
                <w:szCs w:val="22"/>
                <w:u w:val="single"/>
              </w:rPr>
              <w:t>and</w:t>
            </w:r>
            <w:r w:rsidRPr="00492375">
              <w:rPr>
                <w:rFonts w:ascii="Calibri" w:hAnsi="Calibri" w:cs="Calibri"/>
                <w:color w:val="000000"/>
                <w:sz w:val="22"/>
                <w:szCs w:val="22"/>
              </w:rPr>
              <w:t xml:space="preserve"> to make it publicly available.  With the foregoing procedures in place, </w:t>
            </w:r>
            <w:r w:rsidRPr="00492375">
              <w:rPr>
                <w:rFonts w:ascii="Calibri" w:hAnsi="Calibri" w:cs="Calibri"/>
                <w:color w:val="000000"/>
                <w:sz w:val="22"/>
                <w:szCs w:val="22"/>
                <w:u w:val="single"/>
              </w:rPr>
              <w:t>all</w:t>
            </w:r>
            <w:r w:rsidRPr="00492375">
              <w:rPr>
                <w:rFonts w:ascii="Calibri" w:hAnsi="Calibri" w:cs="Calibri"/>
                <w:color w:val="000000"/>
                <w:sz w:val="22"/>
                <w:szCs w:val="22"/>
              </w:rPr>
              <w:t xml:space="preserve"> registration data of legal person registrants should be required to appear and be unredacted in WHOIS data fields.</w:t>
            </w:r>
          </w:p>
        </w:tc>
      </w:tr>
      <w:tr w:rsidR="00257D24" w:rsidRPr="00492375" w14:paraId="1D16E36C" w14:textId="77777777" w:rsidTr="00257D24">
        <w:tc>
          <w:tcPr>
            <w:tcW w:w="2194" w:type="dxa"/>
            <w:shd w:val="clear" w:color="auto" w:fill="F2F2F2" w:themeFill="background1" w:themeFillShade="F2"/>
          </w:tcPr>
          <w:p w14:paraId="47240974" w14:textId="5F25DA2F" w:rsidR="00257D24" w:rsidRPr="00492375" w:rsidRDefault="00257D24" w:rsidP="00173AFA">
            <w:pPr>
              <w:rPr>
                <w:b/>
                <w:sz w:val="22"/>
                <w:szCs w:val="22"/>
              </w:rPr>
            </w:pPr>
            <w:r w:rsidRPr="00492375">
              <w:rPr>
                <w:b/>
                <w:sz w:val="22"/>
                <w:szCs w:val="22"/>
              </w:rPr>
              <w:lastRenderedPageBreak/>
              <w:t>Relevant Discussion Summary Index</w:t>
            </w:r>
          </w:p>
        </w:tc>
        <w:tc>
          <w:tcPr>
            <w:tcW w:w="9411" w:type="dxa"/>
          </w:tcPr>
          <w:p w14:paraId="614AC0F0" w14:textId="4AF85F8E" w:rsidR="00257D24" w:rsidRPr="00492375" w:rsidRDefault="00257D24" w:rsidP="00257D24">
            <w:pPr>
              <w:rPr>
                <w:rFonts w:ascii="Calibri" w:hAnsi="Calibri" w:cs="Calibri"/>
                <w:color w:val="000000"/>
                <w:sz w:val="22"/>
                <w:szCs w:val="22"/>
              </w:rPr>
            </w:pPr>
            <w:hyperlink r:id="rId5" w:history="1">
              <w:r w:rsidRPr="00492375">
                <w:rPr>
                  <w:rStyle w:val="Hyperlink"/>
                  <w:rFonts w:ascii="Calibri" w:hAnsi="Calibri" w:cs="Calibri"/>
                  <w:sz w:val="22"/>
                  <w:szCs w:val="22"/>
                </w:rPr>
                <w:t>Appendix A</w:t>
              </w:r>
            </w:hyperlink>
          </w:p>
          <w:p w14:paraId="4C8B7511" w14:textId="056A3D5A" w:rsidR="00257D24" w:rsidRPr="00492375" w:rsidRDefault="00257D24" w:rsidP="00257D24">
            <w:pPr>
              <w:rPr>
                <w:rFonts w:ascii="Calibri" w:hAnsi="Calibri" w:cs="Calibri"/>
                <w:color w:val="000000"/>
                <w:sz w:val="22"/>
                <w:szCs w:val="22"/>
              </w:rPr>
            </w:pPr>
          </w:p>
        </w:tc>
      </w:tr>
    </w:tbl>
    <w:p w14:paraId="11C49CDA" w14:textId="77777777" w:rsidR="00D21F29" w:rsidRDefault="00D21F29"/>
    <w:sectPr w:rsidR="00D21F29" w:rsidSect="00257D2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B59"/>
    <w:multiLevelType w:val="multilevel"/>
    <w:tmpl w:val="552A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054CA5"/>
    <w:multiLevelType w:val="multilevel"/>
    <w:tmpl w:val="52E6C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748E1"/>
    <w:multiLevelType w:val="multilevel"/>
    <w:tmpl w:val="623C2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24"/>
    <w:rsid w:val="00257D24"/>
    <w:rsid w:val="0027377D"/>
    <w:rsid w:val="003411A1"/>
    <w:rsid w:val="00492375"/>
    <w:rsid w:val="007F1FED"/>
    <w:rsid w:val="00C11411"/>
    <w:rsid w:val="00D21F29"/>
    <w:rsid w:val="00F5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C0E2"/>
  <w15:chartTrackingRefBased/>
  <w15:docId w15:val="{D4548DCE-6C06-DB4B-9351-E4778D957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7D24"/>
    <w:rPr>
      <w:color w:val="0563C1" w:themeColor="hyperlink"/>
      <w:u w:val="single"/>
    </w:rPr>
  </w:style>
  <w:style w:type="paragraph" w:styleId="NormalWeb">
    <w:name w:val="Normal (Web)"/>
    <w:basedOn w:val="Normal"/>
    <w:uiPriority w:val="99"/>
    <w:semiHidden/>
    <w:unhideWhenUsed/>
    <w:rsid w:val="00257D24"/>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57D24"/>
    <w:rPr>
      <w:color w:val="605E5C"/>
      <w:shd w:val="clear" w:color="auto" w:fill="E1DFDD"/>
    </w:rPr>
  </w:style>
  <w:style w:type="character" w:styleId="FollowedHyperlink">
    <w:name w:val="FollowedHyperlink"/>
    <w:basedOn w:val="DefaultParagraphFont"/>
    <w:uiPriority w:val="99"/>
    <w:semiHidden/>
    <w:unhideWhenUsed/>
    <w:rsid w:val="00257D24"/>
    <w:rPr>
      <w:color w:val="954F72" w:themeColor="followedHyperlink"/>
      <w:u w:val="single"/>
    </w:rPr>
  </w:style>
  <w:style w:type="character" w:styleId="Strong">
    <w:name w:val="Strong"/>
    <w:basedOn w:val="DefaultParagraphFont"/>
    <w:uiPriority w:val="22"/>
    <w:qFormat/>
    <w:rsid w:val="0027377D"/>
    <w:rPr>
      <w:b/>
      <w:bCs/>
    </w:rPr>
  </w:style>
  <w:style w:type="character" w:customStyle="1" w:styleId="apple-converted-space">
    <w:name w:val="apple-converted-space"/>
    <w:basedOn w:val="DefaultParagraphFont"/>
    <w:rsid w:val="00273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556">
      <w:bodyDiv w:val="1"/>
      <w:marLeft w:val="0"/>
      <w:marRight w:val="0"/>
      <w:marTop w:val="0"/>
      <w:marBottom w:val="0"/>
      <w:divBdr>
        <w:top w:val="none" w:sz="0" w:space="0" w:color="auto"/>
        <w:left w:val="none" w:sz="0" w:space="0" w:color="auto"/>
        <w:bottom w:val="none" w:sz="0" w:space="0" w:color="auto"/>
        <w:right w:val="none" w:sz="0" w:space="0" w:color="auto"/>
      </w:divBdr>
    </w:div>
    <w:div w:id="76023569">
      <w:bodyDiv w:val="1"/>
      <w:marLeft w:val="0"/>
      <w:marRight w:val="0"/>
      <w:marTop w:val="0"/>
      <w:marBottom w:val="0"/>
      <w:divBdr>
        <w:top w:val="none" w:sz="0" w:space="0" w:color="auto"/>
        <w:left w:val="none" w:sz="0" w:space="0" w:color="auto"/>
        <w:bottom w:val="none" w:sz="0" w:space="0" w:color="auto"/>
        <w:right w:val="none" w:sz="0" w:space="0" w:color="auto"/>
      </w:divBdr>
    </w:div>
    <w:div w:id="383910244">
      <w:bodyDiv w:val="1"/>
      <w:marLeft w:val="0"/>
      <w:marRight w:val="0"/>
      <w:marTop w:val="0"/>
      <w:marBottom w:val="0"/>
      <w:divBdr>
        <w:top w:val="none" w:sz="0" w:space="0" w:color="auto"/>
        <w:left w:val="none" w:sz="0" w:space="0" w:color="auto"/>
        <w:bottom w:val="none" w:sz="0" w:space="0" w:color="auto"/>
        <w:right w:val="none" w:sz="0" w:space="0" w:color="auto"/>
      </w:divBdr>
    </w:div>
    <w:div w:id="638657278">
      <w:bodyDiv w:val="1"/>
      <w:marLeft w:val="0"/>
      <w:marRight w:val="0"/>
      <w:marTop w:val="0"/>
      <w:marBottom w:val="0"/>
      <w:divBdr>
        <w:top w:val="none" w:sz="0" w:space="0" w:color="auto"/>
        <w:left w:val="none" w:sz="0" w:space="0" w:color="auto"/>
        <w:bottom w:val="none" w:sz="0" w:space="0" w:color="auto"/>
        <w:right w:val="none" w:sz="0" w:space="0" w:color="auto"/>
      </w:divBdr>
    </w:div>
    <w:div w:id="1097558385">
      <w:bodyDiv w:val="1"/>
      <w:marLeft w:val="0"/>
      <w:marRight w:val="0"/>
      <w:marTop w:val="0"/>
      <w:marBottom w:val="0"/>
      <w:divBdr>
        <w:top w:val="none" w:sz="0" w:space="0" w:color="auto"/>
        <w:left w:val="none" w:sz="0" w:space="0" w:color="auto"/>
        <w:bottom w:val="none" w:sz="0" w:space="0" w:color="auto"/>
        <w:right w:val="none" w:sz="0" w:space="0" w:color="auto"/>
      </w:divBdr>
      <w:divsChild>
        <w:div w:id="6025002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715870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4004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icann.org/download/attachments/90774547/EPDP%20Team%20DSI%20Appendix%20A%20-%20upd%2012sept18%20.docx?version=1&amp;modificationDate=1536771257000&amp;api=v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2018-10-02T18:19:00Z</dcterms:created>
  <dcterms:modified xsi:type="dcterms:W3CDTF">2018-10-02T19:10:00Z</dcterms:modified>
</cp:coreProperties>
</file>