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4D5CB" w14:textId="79497A6D" w:rsidR="00542E2B" w:rsidRPr="00542E2B" w:rsidRDefault="00542E2B" w:rsidP="00542E2B">
      <w:pPr>
        <w:rPr>
          <w:rFonts w:asciiTheme="minorHAnsi" w:hAnsiTheme="minorHAnsi" w:cstheme="minorHAnsi"/>
          <w:i/>
          <w:iCs/>
        </w:rPr>
      </w:pPr>
      <w:r w:rsidRPr="00542E2B">
        <w:rPr>
          <w:rFonts w:asciiTheme="minorHAnsi" w:hAnsiTheme="minorHAnsi" w:cstheme="minorHAnsi"/>
          <w:b/>
          <w:bCs/>
        </w:rPr>
        <w:t xml:space="preserve">Building Block </w:t>
      </w:r>
      <w:r>
        <w:rPr>
          <w:rFonts w:asciiTheme="minorHAnsi" w:hAnsiTheme="minorHAnsi" w:cstheme="minorHAnsi"/>
          <w:b/>
          <w:bCs/>
        </w:rPr>
        <w:t>d</w:t>
      </w:r>
      <w:r w:rsidRPr="00542E2B">
        <w:rPr>
          <w:rFonts w:asciiTheme="minorHAnsi" w:hAnsiTheme="minorHAnsi" w:cstheme="minorHAnsi"/>
          <w:b/>
          <w:bCs/>
        </w:rPr>
        <w:t>)</w:t>
      </w:r>
      <w:r>
        <w:rPr>
          <w:rFonts w:asciiTheme="minorHAnsi" w:hAnsiTheme="minorHAnsi" w:cstheme="minorHAnsi"/>
          <w:i/>
          <w:iCs/>
        </w:rPr>
        <w:t xml:space="preserve"> </w:t>
      </w:r>
      <w:r>
        <w:rPr>
          <w:rFonts w:asciiTheme="minorHAnsi" w:hAnsiTheme="minorHAnsi" w:cstheme="minorHAnsi"/>
          <w:i/>
          <w:iCs/>
        </w:rPr>
        <w:tab/>
      </w:r>
      <w:r w:rsidRPr="00542E2B">
        <w:rPr>
          <w:rFonts w:asciiTheme="minorHAnsi" w:hAnsiTheme="minorHAnsi" w:cstheme="minorHAnsi"/>
          <w:i/>
          <w:iCs/>
        </w:rPr>
        <w:t>(Acceptable Use Policy</w:t>
      </w:r>
      <w:r>
        <w:rPr>
          <w:rStyle w:val="FootnoteReference"/>
          <w:rFonts w:cstheme="minorHAnsi"/>
          <w:i/>
          <w:iCs/>
        </w:rPr>
        <w:footnoteReference w:id="1"/>
      </w:r>
      <w:r>
        <w:rPr>
          <w:rFonts w:asciiTheme="minorHAnsi" w:hAnsiTheme="minorHAnsi" w:cstheme="minorHAnsi"/>
          <w:i/>
          <w:iCs/>
        </w:rPr>
        <w:t xml:space="preserve"> - Requestor</w:t>
      </w:r>
      <w:r w:rsidRPr="00542E2B">
        <w:rPr>
          <w:rFonts w:asciiTheme="minorHAnsi" w:hAnsiTheme="minorHAnsi" w:cstheme="minorHAnsi"/>
          <w:i/>
          <w:iCs/>
        </w:rPr>
        <w:t>)</w:t>
      </w:r>
    </w:p>
    <w:p w14:paraId="0F6AA551" w14:textId="77777777" w:rsidR="00542E2B" w:rsidRDefault="00542E2B" w:rsidP="00542E2B">
      <w:pPr>
        <w:rPr>
          <w:rFonts w:asciiTheme="minorHAnsi" w:hAnsiTheme="minorHAnsi" w:cstheme="minorHAnsi"/>
        </w:rPr>
      </w:pPr>
    </w:p>
    <w:p w14:paraId="0954BC5E" w14:textId="77777777" w:rsidR="00542E2B" w:rsidRPr="006E5D41" w:rsidRDefault="00542E2B" w:rsidP="00542E2B">
      <w:pPr>
        <w:keepNext/>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330A42">
        <w:rPr>
          <w:rFonts w:asciiTheme="minorHAnsi" w:hAnsiTheme="minorHAnsi" w:cstheme="minorHAnsi"/>
          <w:i/>
          <w:iCs/>
          <w:highlight w:val="yellow"/>
        </w:rPr>
        <w:t>Staff support team comment: d) From use case template: EPDP Team to further define / clarify who and how auditing is expected to be carried out.</w:t>
      </w:r>
    </w:p>
    <w:p w14:paraId="12CB0E82" w14:textId="77777777" w:rsidR="00542E2B" w:rsidRDefault="00542E2B" w:rsidP="00542E2B">
      <w:pPr>
        <w:rPr>
          <w:rFonts w:asciiTheme="minorHAnsi" w:hAnsiTheme="minorHAnsi" w:cstheme="minorHAnsi"/>
        </w:rPr>
      </w:pPr>
    </w:p>
    <w:p w14:paraId="12F85916" w14:textId="77777777" w:rsidR="00542E2B" w:rsidRDefault="00542E2B" w:rsidP="00542E2B">
      <w:pPr>
        <w:rPr>
          <w:rFonts w:asciiTheme="minorHAnsi" w:hAnsiTheme="minorHAnsi" w:cstheme="minorHAnsi"/>
        </w:rPr>
      </w:pPr>
      <w:r>
        <w:rPr>
          <w:rFonts w:asciiTheme="minorHAnsi" w:hAnsiTheme="minorHAnsi" w:cstheme="minorHAnsi"/>
        </w:rPr>
        <w:t>The EPDP Team recommends that the following requirements are applicable to the requestor and must be confirmed &amp; enforced by [TBC]:</w:t>
      </w:r>
    </w:p>
    <w:p w14:paraId="5C7E5BE2" w14:textId="77777777" w:rsidR="00542E2B" w:rsidRDefault="00542E2B" w:rsidP="00542E2B">
      <w:pPr>
        <w:rPr>
          <w:rFonts w:asciiTheme="minorHAnsi" w:hAnsiTheme="minorHAnsi" w:cstheme="minorHAnsi"/>
        </w:rPr>
      </w:pPr>
    </w:p>
    <w:p w14:paraId="7697E476" w14:textId="77777777" w:rsidR="00542E2B" w:rsidRPr="004C2B83" w:rsidRDefault="00542E2B" w:rsidP="00542E2B">
      <w:pPr>
        <w:numPr>
          <w:ilvl w:val="0"/>
          <w:numId w:val="4"/>
        </w:numPr>
        <w:rPr>
          <w:rFonts w:ascii="Calibri" w:eastAsia="Calibri" w:hAnsi="Calibri" w:cs="Calibri"/>
        </w:rPr>
      </w:pPr>
      <w:r w:rsidRPr="004C2B83">
        <w:rPr>
          <w:rFonts w:ascii="Calibri" w:eastAsia="Calibri" w:hAnsi="Calibri" w:cs="Calibri"/>
        </w:rPr>
        <w:t>Must only request data from the current RDS data set (no data about the domain name registration’s history);</w:t>
      </w:r>
    </w:p>
    <w:p w14:paraId="3C246A45" w14:textId="77777777" w:rsidR="00542E2B" w:rsidRPr="004C2B83" w:rsidRDefault="00542E2B" w:rsidP="00542E2B">
      <w:pPr>
        <w:numPr>
          <w:ilvl w:val="0"/>
          <w:numId w:val="4"/>
        </w:numPr>
        <w:rPr>
          <w:rFonts w:ascii="Calibri" w:eastAsia="Calibri" w:hAnsi="Calibri" w:cs="Calibri"/>
        </w:rPr>
      </w:pPr>
      <w:r w:rsidRPr="004C2B83">
        <w:rPr>
          <w:rFonts w:ascii="Calibri" w:eastAsia="Calibri" w:hAnsi="Calibri" w:cs="Calibri"/>
        </w:rPr>
        <w:t>Must provide representations with each unique request for data of its corresponding purpose and legal basis for their processing which will be subject to auditing (no bulk access)</w:t>
      </w:r>
      <w:r>
        <w:rPr>
          <w:rFonts w:ascii="Calibri" w:eastAsia="Calibri" w:hAnsi="Calibri" w:cs="Calibri"/>
        </w:rPr>
        <w:t>;</w:t>
      </w:r>
    </w:p>
    <w:p w14:paraId="5C0DA604" w14:textId="77777777" w:rsidR="00542E2B" w:rsidRPr="004C2B83" w:rsidRDefault="00542E2B" w:rsidP="00542E2B">
      <w:pPr>
        <w:numPr>
          <w:ilvl w:val="0"/>
          <w:numId w:val="4"/>
        </w:numPr>
        <w:rPr>
          <w:rFonts w:ascii="Calibri" w:eastAsia="Calibri" w:hAnsi="Calibri" w:cs="Calibri"/>
        </w:rPr>
      </w:pPr>
      <w:r w:rsidRPr="004C2B83">
        <w:rPr>
          <w:rFonts w:ascii="Calibri" w:eastAsia="Calibri" w:hAnsi="Calibri" w:cs="Calibri"/>
        </w:rPr>
        <w:t>Must only use the data for the purpose requested</w:t>
      </w:r>
      <w:r>
        <w:rPr>
          <w:rFonts w:ascii="Calibri" w:eastAsia="Calibri" w:hAnsi="Calibri" w:cs="Calibri"/>
        </w:rPr>
        <w:t>;</w:t>
      </w:r>
    </w:p>
    <w:p w14:paraId="12A6D633" w14:textId="77777777" w:rsidR="00542E2B" w:rsidRDefault="00542E2B" w:rsidP="00542E2B">
      <w:pPr>
        <w:pStyle w:val="ListParagraph"/>
        <w:numPr>
          <w:ilvl w:val="0"/>
          <w:numId w:val="4"/>
        </w:numPr>
        <w:rPr>
          <w:rFonts w:eastAsia="Calibri" w:cs="Calibri"/>
          <w:sz w:val="24"/>
        </w:rPr>
      </w:pPr>
      <w:r w:rsidRPr="004C2B83">
        <w:rPr>
          <w:rFonts w:eastAsia="Calibri" w:cs="Calibri"/>
          <w:sz w:val="24"/>
        </w:rPr>
        <w:t>Must handle the data subject’s personal data in compliance with data protection laws such as GDPR</w:t>
      </w:r>
      <w:r>
        <w:rPr>
          <w:rFonts w:eastAsia="Calibri" w:cs="Calibri"/>
          <w:sz w:val="24"/>
        </w:rPr>
        <w:t>;</w:t>
      </w:r>
    </w:p>
    <w:p w14:paraId="257427D7" w14:textId="77777777" w:rsidR="00542E2B" w:rsidRDefault="00542E2B" w:rsidP="00542E2B">
      <w:pPr>
        <w:pStyle w:val="ListParagraph"/>
        <w:numPr>
          <w:ilvl w:val="0"/>
          <w:numId w:val="4"/>
        </w:numPr>
        <w:rPr>
          <w:rFonts w:eastAsia="Calibri" w:cs="Calibri"/>
          <w:sz w:val="24"/>
        </w:rPr>
      </w:pPr>
      <w:r w:rsidRPr="00F500E9">
        <w:rPr>
          <w:rFonts w:eastAsia="Calibri" w:cs="Calibri"/>
          <w:sz w:val="24"/>
        </w:rPr>
        <w:t>Must provide representations about use of requested data which will be subject to auditing</w:t>
      </w:r>
      <w:r>
        <w:rPr>
          <w:rFonts w:eastAsia="Calibri" w:cs="Calibri"/>
          <w:sz w:val="24"/>
        </w:rPr>
        <w:t>;</w:t>
      </w:r>
    </w:p>
    <w:p w14:paraId="74291741" w14:textId="77777777" w:rsidR="00542E2B" w:rsidRPr="007C5954" w:rsidRDefault="00542E2B" w:rsidP="00542E2B">
      <w:pPr>
        <w:pStyle w:val="ListParagraph"/>
        <w:numPr>
          <w:ilvl w:val="0"/>
          <w:numId w:val="4"/>
        </w:numPr>
        <w:rPr>
          <w:rFonts w:eastAsia="Calibri" w:cs="Calibri"/>
          <w:sz w:val="24"/>
        </w:rPr>
      </w:pPr>
      <w:r w:rsidRPr="007C5954">
        <w:rPr>
          <w:rFonts w:eastAsia="Calibri" w:cs="Calibri"/>
          <w:sz w:val="24"/>
        </w:rPr>
        <w:t>[Other]</w:t>
      </w:r>
    </w:p>
    <w:p w14:paraId="676E02A2" w14:textId="77777777" w:rsidR="00542E2B" w:rsidRDefault="00542E2B" w:rsidP="00542E2B">
      <w:pPr>
        <w:rPr>
          <w:rFonts w:asciiTheme="minorHAnsi" w:hAnsiTheme="minorHAnsi" w:cstheme="minorHAnsi"/>
        </w:rPr>
      </w:pPr>
    </w:p>
    <w:p w14:paraId="026801F5" w14:textId="77777777" w:rsidR="00542E2B" w:rsidRDefault="00542E2B" w:rsidP="00542E2B">
      <w:pPr>
        <w:rPr>
          <w:rFonts w:asciiTheme="minorHAnsi" w:hAnsiTheme="minorHAnsi" w:cstheme="minorHAnsi"/>
        </w:rPr>
      </w:pPr>
      <w:r>
        <w:rPr>
          <w:rFonts w:asciiTheme="minorHAnsi" w:hAnsiTheme="minorHAnsi" w:cstheme="minorHAnsi"/>
        </w:rPr>
        <w:t>[Additional requirements in the case of the following purpose [state purpose] are:</w:t>
      </w:r>
    </w:p>
    <w:p w14:paraId="6B1FC634" w14:textId="77777777" w:rsidR="00542E2B" w:rsidRDefault="00542E2B" w:rsidP="00542E2B">
      <w:pPr>
        <w:rPr>
          <w:rFonts w:asciiTheme="minorHAnsi" w:hAnsiTheme="minorHAnsi" w:cstheme="minorHAnsi"/>
        </w:rPr>
      </w:pPr>
      <w:r>
        <w:rPr>
          <w:rFonts w:asciiTheme="minorHAnsi" w:hAnsiTheme="minorHAnsi" w:cstheme="minorHAnsi"/>
        </w:rPr>
        <w:t>TBC based on review of use cases]</w:t>
      </w:r>
    </w:p>
    <w:p w14:paraId="3D03AD8F" w14:textId="77777777" w:rsidR="00542E2B" w:rsidRDefault="00542E2B" w:rsidP="00542E2B">
      <w:pPr>
        <w:rPr>
          <w:rFonts w:asciiTheme="minorHAnsi" w:hAnsiTheme="minorHAnsi" w:cstheme="minorHAnsi"/>
        </w:rPr>
      </w:pPr>
    </w:p>
    <w:p w14:paraId="51260A4F" w14:textId="77777777" w:rsidR="00542E2B" w:rsidRDefault="00542E2B" w:rsidP="00542E2B">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2235AB">
        <w:rPr>
          <w:rFonts w:asciiTheme="minorHAnsi" w:hAnsiTheme="minorHAnsi" w:cstheme="minorHAnsi"/>
          <w:i/>
          <w:iCs/>
        </w:rPr>
        <w:t xml:space="preserve">Comments / concerns / questions to be considered in relation to </w:t>
      </w:r>
      <w:r>
        <w:rPr>
          <w:rFonts w:asciiTheme="minorHAnsi" w:hAnsiTheme="minorHAnsi" w:cstheme="minorHAnsi"/>
          <w:i/>
          <w:iCs/>
        </w:rPr>
        <w:t>building block d)</w:t>
      </w:r>
      <w:r w:rsidRPr="002235AB">
        <w:rPr>
          <w:rFonts w:asciiTheme="minorHAnsi" w:hAnsiTheme="minorHAnsi" w:cstheme="minorHAnsi"/>
          <w:i/>
          <w:iCs/>
        </w:rPr>
        <w:t>:</w:t>
      </w:r>
      <w:r>
        <w:rPr>
          <w:rFonts w:asciiTheme="minorHAnsi" w:hAnsiTheme="minorHAnsi" w:cstheme="minorHAnsi"/>
          <w:i/>
          <w:iCs/>
        </w:rPr>
        <w:t xml:space="preserve"> </w:t>
      </w:r>
    </w:p>
    <w:p w14:paraId="3B665DDA" w14:textId="77777777" w:rsidR="00542E2B" w:rsidRDefault="00542E2B" w:rsidP="00542E2B">
      <w:pPr>
        <w:pStyle w:val="ListParagraph"/>
        <w:numPr>
          <w:ilvl w:val="0"/>
          <w:numId w:val="5"/>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Re. b), consider including reference to RAA definition of bulk access (</w:t>
      </w:r>
      <w:r w:rsidRPr="00264E7C">
        <w:rPr>
          <w:rFonts w:asciiTheme="minorHAnsi" w:hAnsiTheme="minorHAnsi" w:cstheme="minorHAnsi"/>
          <w:i/>
          <w:iCs/>
          <w:sz w:val="24"/>
        </w:rPr>
        <w:t>Section 3.3.6</w:t>
      </w:r>
      <w:r>
        <w:rPr>
          <w:rFonts w:asciiTheme="minorHAnsi" w:hAnsiTheme="minorHAnsi" w:cstheme="minorHAnsi"/>
          <w:i/>
          <w:iCs/>
          <w:sz w:val="24"/>
        </w:rPr>
        <w:t>).</w:t>
      </w:r>
    </w:p>
    <w:p w14:paraId="612B5646" w14:textId="77777777" w:rsidR="00542E2B" w:rsidRDefault="00542E2B" w:rsidP="00542E2B">
      <w:pPr>
        <w:pStyle w:val="ListParagraph"/>
        <w:numPr>
          <w:ilvl w:val="0"/>
          <w:numId w:val="5"/>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 xml:space="preserve">Re. </w:t>
      </w:r>
      <w:r w:rsidRPr="00264E7C">
        <w:rPr>
          <w:rFonts w:asciiTheme="minorHAnsi" w:hAnsiTheme="minorHAnsi" w:cstheme="minorHAnsi"/>
          <w:i/>
          <w:iCs/>
          <w:sz w:val="24"/>
        </w:rPr>
        <w:t>c)</w:t>
      </w:r>
      <w:r>
        <w:rPr>
          <w:rFonts w:asciiTheme="minorHAnsi" w:hAnsiTheme="minorHAnsi" w:cstheme="minorHAnsi"/>
          <w:i/>
          <w:iCs/>
          <w:sz w:val="24"/>
        </w:rPr>
        <w:t xml:space="preserve">, further specificity would need to be provided. Consider that GDPR </w:t>
      </w:r>
      <w:r w:rsidRPr="00264E7C">
        <w:rPr>
          <w:rFonts w:asciiTheme="minorHAnsi" w:hAnsiTheme="minorHAnsi" w:cstheme="minorHAnsi"/>
          <w:i/>
          <w:iCs/>
          <w:sz w:val="24"/>
        </w:rPr>
        <w:t xml:space="preserve">Art 42/43 Certification and the flipside of De-accreditation and Decertification </w:t>
      </w:r>
      <w:r>
        <w:rPr>
          <w:rFonts w:asciiTheme="minorHAnsi" w:hAnsiTheme="minorHAnsi" w:cstheme="minorHAnsi"/>
          <w:i/>
          <w:iCs/>
          <w:sz w:val="24"/>
        </w:rPr>
        <w:t xml:space="preserve">as a mechanism </w:t>
      </w:r>
      <w:r w:rsidRPr="00264E7C">
        <w:rPr>
          <w:rFonts w:asciiTheme="minorHAnsi" w:hAnsiTheme="minorHAnsi" w:cstheme="minorHAnsi"/>
          <w:i/>
          <w:iCs/>
          <w:sz w:val="24"/>
        </w:rPr>
        <w:t>to ensure the fidelity of safeguards.</w:t>
      </w:r>
    </w:p>
    <w:p w14:paraId="5699B2B7" w14:textId="77777777" w:rsidR="00542E2B" w:rsidRDefault="00542E2B" w:rsidP="00542E2B">
      <w:pPr>
        <w:pStyle w:val="ListParagraph"/>
        <w:numPr>
          <w:ilvl w:val="0"/>
          <w:numId w:val="5"/>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Re. c), consider updating as follows and striking e) (“</w:t>
      </w:r>
      <w:r w:rsidRPr="00264E7C">
        <w:rPr>
          <w:rFonts w:asciiTheme="minorHAnsi" w:hAnsiTheme="minorHAnsi" w:cstheme="minorHAnsi"/>
          <w:i/>
          <w:iCs/>
          <w:sz w:val="24"/>
        </w:rPr>
        <w:t>"Must represent that requestor will only use the data for the purpose requested").</w:t>
      </w:r>
    </w:p>
    <w:p w14:paraId="6169F6E9" w14:textId="77777777" w:rsidR="00542E2B" w:rsidRDefault="00542E2B" w:rsidP="00542E2B">
      <w:pPr>
        <w:pStyle w:val="ListParagraph"/>
        <w:numPr>
          <w:ilvl w:val="0"/>
          <w:numId w:val="5"/>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 xml:space="preserve">Re. d), is this necessary as compliance with the law is a given? </w:t>
      </w:r>
    </w:p>
    <w:p w14:paraId="39324015" w14:textId="77777777" w:rsidR="00542E2B" w:rsidRPr="0052638C" w:rsidRDefault="00542E2B" w:rsidP="00542E2B">
      <w:pPr>
        <w:pStyle w:val="ListParagraph"/>
        <w:numPr>
          <w:ilvl w:val="0"/>
          <w:numId w:val="5"/>
        </w:num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Pr>
          <w:rFonts w:asciiTheme="minorHAnsi" w:hAnsiTheme="minorHAnsi" w:cstheme="minorHAnsi"/>
          <w:i/>
          <w:iCs/>
          <w:sz w:val="24"/>
        </w:rPr>
        <w:t xml:space="preserve">Re. d), Consider changing “such as GDPR” to “including the GDPR”. </w:t>
      </w:r>
    </w:p>
    <w:p w14:paraId="3A3C5A66" w14:textId="77777777" w:rsidR="00542E2B" w:rsidRDefault="00542E2B" w:rsidP="00C542B8">
      <w:pPr>
        <w:rPr>
          <w:rFonts w:asciiTheme="minorHAnsi" w:hAnsiTheme="minorHAnsi" w:cstheme="minorHAnsi"/>
          <w:b/>
          <w:bCs/>
          <w:i/>
          <w:iCs/>
        </w:rPr>
      </w:pPr>
    </w:p>
    <w:p w14:paraId="7BB5BC88" w14:textId="438C6CF2" w:rsidR="00C542B8" w:rsidRPr="00C542B8" w:rsidRDefault="00C542B8" w:rsidP="00C542B8">
      <w:pPr>
        <w:rPr>
          <w:rFonts w:asciiTheme="minorHAnsi" w:hAnsiTheme="minorHAnsi" w:cstheme="minorHAnsi"/>
          <w:i/>
          <w:iCs/>
        </w:rPr>
      </w:pPr>
      <w:r w:rsidRPr="00C542B8">
        <w:rPr>
          <w:rFonts w:asciiTheme="minorHAnsi" w:hAnsiTheme="minorHAnsi" w:cstheme="minorHAnsi"/>
          <w:b/>
          <w:bCs/>
          <w:i/>
          <w:iCs/>
        </w:rPr>
        <w:t>Building Block h)</w:t>
      </w:r>
      <w:r>
        <w:rPr>
          <w:rFonts w:asciiTheme="minorHAnsi" w:hAnsiTheme="minorHAnsi" w:cstheme="minorHAnsi"/>
          <w:i/>
          <w:iCs/>
        </w:rPr>
        <w:t xml:space="preserve"> </w:t>
      </w:r>
      <w:r>
        <w:rPr>
          <w:rFonts w:asciiTheme="minorHAnsi" w:hAnsiTheme="minorHAnsi" w:cstheme="minorHAnsi"/>
          <w:i/>
          <w:iCs/>
        </w:rPr>
        <w:tab/>
      </w:r>
      <w:r w:rsidRPr="00C542B8">
        <w:rPr>
          <w:rFonts w:asciiTheme="minorHAnsi" w:hAnsiTheme="minorHAnsi" w:cstheme="minorHAnsi"/>
          <w:i/>
          <w:iCs/>
        </w:rPr>
        <w:t>(Acceptable Use Policy</w:t>
      </w:r>
      <w:r>
        <w:rPr>
          <w:rStyle w:val="FootnoteReference"/>
          <w:rFonts w:cstheme="minorHAnsi"/>
          <w:i/>
          <w:iCs/>
        </w:rPr>
        <w:footnoteReference w:id="2"/>
      </w:r>
      <w:r w:rsidR="00542E2B">
        <w:rPr>
          <w:rFonts w:asciiTheme="minorHAnsi" w:hAnsiTheme="minorHAnsi" w:cstheme="minorHAnsi"/>
          <w:i/>
          <w:iCs/>
        </w:rPr>
        <w:t xml:space="preserve"> - entity disclosing the data</w:t>
      </w:r>
      <w:r w:rsidRPr="00C542B8">
        <w:rPr>
          <w:rFonts w:asciiTheme="minorHAnsi" w:hAnsiTheme="minorHAnsi" w:cstheme="minorHAnsi"/>
          <w:i/>
          <w:iCs/>
        </w:rPr>
        <w:t>)</w:t>
      </w:r>
    </w:p>
    <w:p w14:paraId="060EAB11" w14:textId="77777777" w:rsidR="00C542B8" w:rsidRDefault="00C542B8" w:rsidP="00C542B8">
      <w:pPr>
        <w:rPr>
          <w:rFonts w:asciiTheme="minorHAnsi" w:hAnsiTheme="minorHAnsi" w:cstheme="minorHAnsi"/>
        </w:rPr>
      </w:pPr>
    </w:p>
    <w:p w14:paraId="7BC54FD0" w14:textId="77777777" w:rsidR="00C542B8" w:rsidRDefault="00C542B8" w:rsidP="00C542B8">
      <w:pPr>
        <w:keepNext/>
        <w:pBdr>
          <w:top w:val="single" w:sz="4" w:space="1" w:color="auto"/>
          <w:left w:val="single" w:sz="4" w:space="4" w:color="auto"/>
          <w:bottom w:val="single" w:sz="4" w:space="1" w:color="auto"/>
          <w:right w:val="single" w:sz="4" w:space="4" w:color="auto"/>
        </w:pBdr>
        <w:rPr>
          <w:rFonts w:asciiTheme="minorHAnsi" w:hAnsiTheme="minorHAnsi" w:cstheme="minorHAnsi"/>
          <w:highlight w:val="yellow"/>
        </w:rPr>
      </w:pPr>
      <w:r w:rsidRPr="00330A42">
        <w:rPr>
          <w:rFonts w:asciiTheme="minorHAnsi" w:hAnsiTheme="minorHAnsi" w:cstheme="minorHAnsi"/>
          <w:i/>
          <w:iCs/>
          <w:highlight w:val="yellow"/>
        </w:rPr>
        <w:t xml:space="preserve">Staff support team comment: </w:t>
      </w:r>
    </w:p>
    <w:p w14:paraId="5B93D7F2" w14:textId="77777777" w:rsidR="00C542B8" w:rsidRDefault="00C542B8" w:rsidP="00C542B8">
      <w:pPr>
        <w:keepNext/>
        <w:pBdr>
          <w:top w:val="single" w:sz="4" w:space="1" w:color="auto"/>
          <w:left w:val="single" w:sz="4" w:space="4" w:color="auto"/>
          <w:bottom w:val="single" w:sz="4" w:space="1" w:color="auto"/>
          <w:right w:val="single" w:sz="4" w:space="4" w:color="auto"/>
        </w:pBdr>
        <w:rPr>
          <w:rFonts w:ascii="Calibri" w:hAnsi="Calibri" w:cs="Calibri"/>
          <w:color w:val="000000"/>
          <w:highlight w:val="yellow"/>
        </w:rPr>
      </w:pPr>
      <w:r>
        <w:rPr>
          <w:rFonts w:asciiTheme="minorHAnsi" w:hAnsiTheme="minorHAnsi" w:cstheme="minorHAnsi"/>
          <w:highlight w:val="yellow"/>
        </w:rPr>
        <w:t xml:space="preserve">Re. d), </w:t>
      </w:r>
      <w:r w:rsidRPr="00DE7868">
        <w:rPr>
          <w:rFonts w:ascii="Calibri" w:hAnsi="Calibri" w:cs="Calibri"/>
          <w:color w:val="000000"/>
          <w:highlight w:val="yellow"/>
        </w:rPr>
        <w:t xml:space="preserve">Must all requests be logged? What information must be logged? Who would be able to access the logs? EPDP Team may want to consider the guidance the European Data Protection Board provided on this issue in its 5 July 2018 letter. (“The EDPB considers that, unless there is an explicit prohibition in national law, appropriate logging mechanisms should be in place to log </w:t>
      </w:r>
      <w:r w:rsidRPr="00DE7868">
        <w:rPr>
          <w:rFonts w:ascii="Calibri" w:hAnsi="Calibri" w:cs="Calibri"/>
          <w:color w:val="000000"/>
          <w:highlight w:val="yellow"/>
        </w:rPr>
        <w:lastRenderedPageBreak/>
        <w:t>any access to nonpublic personal data processed in the context of WHOIS. In this context, such logging is considered required as part of the security obligation of controllers (article 32), as well as the obligation and in order to be able to demonstrate compliance with the GDPR (accountability) (article 5(2</w:t>
      </w:r>
      <w:proofErr w:type="gramStart"/>
      <w:r w:rsidRPr="00DE7868">
        <w:rPr>
          <w:rFonts w:ascii="Calibri" w:hAnsi="Calibri" w:cs="Calibri"/>
          <w:color w:val="000000"/>
          <w:highlight w:val="yellow"/>
        </w:rPr>
        <w:t>))…</w:t>
      </w:r>
      <w:proofErr w:type="gramEnd"/>
      <w:r w:rsidRPr="00DE7868">
        <w:rPr>
          <w:rFonts w:ascii="Calibri" w:hAnsi="Calibri" w:cs="Calibri"/>
          <w:color w:val="000000"/>
          <w:highlight w:val="yellow"/>
        </w:rPr>
        <w:t xml:space="preserve"> It is up to ICANN and other controllers participating in the WHOIS system to ensure that logging information is not disclosed to unauthorized entities, in particular with a view of not jeopardizing legitimate law enforcement activities.”)</w:t>
      </w:r>
    </w:p>
    <w:p w14:paraId="3B7B0556" w14:textId="77777777" w:rsidR="00704436" w:rsidRDefault="00704436" w:rsidP="00C542B8">
      <w:pPr>
        <w:keepNext/>
        <w:pBdr>
          <w:top w:val="single" w:sz="4" w:space="1" w:color="auto"/>
          <w:left w:val="single" w:sz="4" w:space="4" w:color="auto"/>
          <w:bottom w:val="single" w:sz="4" w:space="1" w:color="auto"/>
          <w:right w:val="single" w:sz="4" w:space="4" w:color="auto"/>
        </w:pBdr>
        <w:rPr>
          <w:rFonts w:ascii="Calibri" w:hAnsi="Calibri" w:cs="Calibri"/>
          <w:color w:val="000000"/>
          <w:highlight w:val="yellow"/>
        </w:rPr>
      </w:pPr>
    </w:p>
    <w:p w14:paraId="51D042A5" w14:textId="06BA7DDC" w:rsidR="00C542B8" w:rsidRPr="00100E75" w:rsidRDefault="00C542B8" w:rsidP="00C542B8">
      <w:pPr>
        <w:keepNext/>
        <w:pBdr>
          <w:top w:val="single" w:sz="4" w:space="1" w:color="auto"/>
          <w:left w:val="single" w:sz="4" w:space="4" w:color="auto"/>
          <w:bottom w:val="single" w:sz="4" w:space="1" w:color="auto"/>
          <w:right w:val="single" w:sz="4" w:space="4" w:color="auto"/>
        </w:pBdr>
        <w:rPr>
          <w:rFonts w:ascii="Calibri" w:hAnsi="Calibri" w:cs="Calibri"/>
          <w:color w:val="000000"/>
          <w:highlight w:val="yellow"/>
        </w:rPr>
      </w:pPr>
      <w:bookmarkStart w:id="0" w:name="_GoBack"/>
      <w:bookmarkEnd w:id="0"/>
      <w:r>
        <w:rPr>
          <w:rFonts w:ascii="Calibri" w:hAnsi="Calibri" w:cs="Calibri"/>
          <w:color w:val="000000"/>
          <w:highlight w:val="yellow"/>
        </w:rPr>
        <w:t xml:space="preserve">Re. e), </w:t>
      </w:r>
      <w:r w:rsidRPr="00100E75">
        <w:rPr>
          <w:rFonts w:ascii="Calibri" w:hAnsi="Calibri" w:cs="Calibri"/>
          <w:color w:val="000000"/>
          <w:highlight w:val="yellow"/>
        </w:rPr>
        <w:t>Does this imply that the data subject is informed every time a balancing test is carried out with respect to his/her data?</w:t>
      </w:r>
    </w:p>
    <w:p w14:paraId="3D9984B7" w14:textId="77777777" w:rsidR="00C542B8" w:rsidRDefault="00C542B8" w:rsidP="00C542B8">
      <w:pPr>
        <w:rPr>
          <w:rFonts w:asciiTheme="minorHAnsi" w:hAnsiTheme="minorHAnsi" w:cstheme="minorHAnsi"/>
        </w:rPr>
      </w:pPr>
    </w:p>
    <w:p w14:paraId="458532FA" w14:textId="77777777" w:rsidR="00C542B8" w:rsidRDefault="00C542B8" w:rsidP="00C542B8">
      <w:pPr>
        <w:rPr>
          <w:rFonts w:asciiTheme="minorHAnsi" w:hAnsiTheme="minorHAnsi" w:cstheme="minorHAnsi"/>
        </w:rPr>
      </w:pPr>
      <w:r>
        <w:rPr>
          <w:rFonts w:asciiTheme="minorHAnsi" w:hAnsiTheme="minorHAnsi" w:cstheme="minorHAnsi"/>
        </w:rPr>
        <w:t>The EPDP Team recommends that the following requirements are applicable to the entity disclosing the data and must be confirmed &amp; enforced by [TBC]:</w:t>
      </w:r>
    </w:p>
    <w:p w14:paraId="22017A23" w14:textId="77777777" w:rsidR="00C542B8" w:rsidRDefault="00C542B8" w:rsidP="00C542B8">
      <w:pPr>
        <w:rPr>
          <w:rFonts w:asciiTheme="minorHAnsi" w:hAnsiTheme="minorHAnsi" w:cstheme="minorHAnsi"/>
        </w:rPr>
      </w:pPr>
    </w:p>
    <w:p w14:paraId="2DB757F9" w14:textId="77777777" w:rsidR="00C542B8" w:rsidRPr="004C2B83" w:rsidRDefault="00C542B8" w:rsidP="00C542B8">
      <w:pPr>
        <w:numPr>
          <w:ilvl w:val="0"/>
          <w:numId w:val="2"/>
        </w:numPr>
        <w:rPr>
          <w:rFonts w:ascii="Calibri" w:eastAsia="Calibri" w:hAnsi="Calibri" w:cs="Calibri"/>
        </w:rPr>
      </w:pPr>
      <w:r w:rsidRPr="004C2B83">
        <w:rPr>
          <w:rFonts w:ascii="Calibri" w:eastAsia="Calibri" w:hAnsi="Calibri" w:cs="Calibri"/>
        </w:rPr>
        <w:t>Must only supply the necessary data requested by the requestor;</w:t>
      </w:r>
    </w:p>
    <w:p w14:paraId="6DB6BB54" w14:textId="77777777" w:rsidR="00C542B8" w:rsidRPr="004C2B83" w:rsidRDefault="00C542B8" w:rsidP="00C542B8">
      <w:pPr>
        <w:numPr>
          <w:ilvl w:val="0"/>
          <w:numId w:val="2"/>
        </w:numPr>
        <w:rPr>
          <w:rFonts w:ascii="Calibri" w:eastAsia="Calibri" w:hAnsi="Calibri" w:cs="Calibri"/>
        </w:rPr>
      </w:pPr>
      <w:r w:rsidRPr="004C2B83">
        <w:rPr>
          <w:rFonts w:ascii="Calibri" w:eastAsia="Calibri" w:hAnsi="Calibri" w:cs="Calibri"/>
        </w:rPr>
        <w:t>Must return current data in response to a request;</w:t>
      </w:r>
    </w:p>
    <w:p w14:paraId="163D777C" w14:textId="77777777" w:rsidR="00C542B8" w:rsidRPr="004C2B83" w:rsidRDefault="00C542B8" w:rsidP="00C542B8">
      <w:pPr>
        <w:numPr>
          <w:ilvl w:val="0"/>
          <w:numId w:val="2"/>
        </w:numPr>
        <w:rPr>
          <w:rFonts w:ascii="Calibri" w:eastAsia="Calibri" w:hAnsi="Calibri" w:cs="Calibri"/>
        </w:rPr>
      </w:pPr>
      <w:r w:rsidRPr="004C2B83">
        <w:rPr>
          <w:rFonts w:ascii="Calibri" w:eastAsia="Calibri" w:hAnsi="Calibri" w:cs="Calibri"/>
        </w:rPr>
        <w:t>Must process data in compliance with data protection laws such as GDPR</w:t>
      </w:r>
      <w:r>
        <w:rPr>
          <w:rFonts w:ascii="Calibri" w:eastAsia="Calibri" w:hAnsi="Calibri" w:cs="Calibri"/>
        </w:rPr>
        <w:t>;</w:t>
      </w:r>
    </w:p>
    <w:p w14:paraId="4F1D8E29" w14:textId="77777777" w:rsidR="00C542B8" w:rsidRDefault="00C542B8" w:rsidP="00C542B8">
      <w:pPr>
        <w:numPr>
          <w:ilvl w:val="0"/>
          <w:numId w:val="2"/>
        </w:numPr>
        <w:rPr>
          <w:rFonts w:ascii="Calibri" w:eastAsia="Calibri" w:hAnsi="Calibri" w:cs="Calibri"/>
        </w:rPr>
      </w:pPr>
      <w:r w:rsidRPr="004C2B83">
        <w:rPr>
          <w:rFonts w:ascii="Calibri" w:eastAsia="Calibri" w:hAnsi="Calibri" w:cs="Calibri"/>
        </w:rPr>
        <w:t>Must log requests</w:t>
      </w:r>
      <w:r>
        <w:rPr>
          <w:rFonts w:ascii="Calibri" w:eastAsia="Calibri" w:hAnsi="Calibri" w:cs="Calibri"/>
        </w:rPr>
        <w:t>;</w:t>
      </w:r>
    </w:p>
    <w:p w14:paraId="3BE3AAFD" w14:textId="77777777" w:rsidR="00C542B8" w:rsidRPr="004C2B83" w:rsidRDefault="00C542B8" w:rsidP="00C542B8">
      <w:pPr>
        <w:numPr>
          <w:ilvl w:val="0"/>
          <w:numId w:val="2"/>
        </w:numPr>
        <w:rPr>
          <w:rFonts w:ascii="Calibri" w:eastAsia="Calibri" w:hAnsi="Calibri" w:cs="Calibri"/>
        </w:rPr>
      </w:pPr>
      <w:r>
        <w:rPr>
          <w:rFonts w:ascii="Calibri" w:eastAsia="Calibri" w:hAnsi="Calibri" w:cs="Calibri"/>
        </w:rPr>
        <w:t>Where applicable, m</w:t>
      </w:r>
      <w:r w:rsidRPr="004C2B83">
        <w:rPr>
          <w:rFonts w:ascii="Calibri" w:eastAsia="Calibri" w:hAnsi="Calibri" w:cs="Calibri"/>
        </w:rPr>
        <w:t xml:space="preserve">ust define and perform a balancing test before </w:t>
      </w:r>
      <w:r>
        <w:rPr>
          <w:rFonts w:ascii="Calibri" w:eastAsia="Calibri" w:hAnsi="Calibri" w:cs="Calibri"/>
        </w:rPr>
        <w:t>processing the data</w:t>
      </w:r>
      <w:r w:rsidRPr="004C2B83">
        <w:rPr>
          <w:rFonts w:ascii="Calibri" w:eastAsia="Calibri" w:hAnsi="Calibri" w:cs="Calibri"/>
        </w:rPr>
        <w:t>. The data subject should be able to challenge –with proper substantiation- the balancing test with rights to object and to erasure</w:t>
      </w:r>
      <w:r>
        <w:rPr>
          <w:rFonts w:ascii="Calibri" w:eastAsia="Calibri" w:hAnsi="Calibri" w:cs="Calibri"/>
        </w:rPr>
        <w:t>;</w:t>
      </w:r>
      <w:r w:rsidRPr="004C2B83">
        <w:rPr>
          <w:rFonts w:ascii="Calibri" w:eastAsia="Calibri" w:hAnsi="Calibri" w:cs="Calibri"/>
        </w:rPr>
        <w:t xml:space="preserve"> </w:t>
      </w:r>
    </w:p>
    <w:p w14:paraId="28237B90" w14:textId="77777777" w:rsidR="00C542B8" w:rsidRDefault="00C542B8" w:rsidP="00C542B8">
      <w:pPr>
        <w:numPr>
          <w:ilvl w:val="0"/>
          <w:numId w:val="2"/>
        </w:numPr>
        <w:rPr>
          <w:rFonts w:ascii="Calibri" w:eastAsia="Calibri" w:hAnsi="Calibri" w:cs="Calibri"/>
        </w:rPr>
      </w:pPr>
      <w:r w:rsidRPr="004C2B83">
        <w:rPr>
          <w:rFonts w:ascii="Calibri" w:eastAsia="Calibri" w:hAnsi="Calibri" w:cs="Calibri"/>
        </w:rPr>
        <w:t>Must disclose to the Registered Name Holder (data subject), on reasonable request, confirmation of the processing of personal data relating to them, per relevant data protection laws such as GDPR</w:t>
      </w:r>
      <w:r>
        <w:rPr>
          <w:rFonts w:ascii="Calibri" w:eastAsia="Calibri" w:hAnsi="Calibri" w:cs="Calibri"/>
        </w:rPr>
        <w:t>;</w:t>
      </w:r>
    </w:p>
    <w:p w14:paraId="7447FA02" w14:textId="77777777" w:rsidR="00C542B8" w:rsidRPr="005E152B" w:rsidRDefault="00C542B8" w:rsidP="00C542B8">
      <w:pPr>
        <w:numPr>
          <w:ilvl w:val="0"/>
          <w:numId w:val="2"/>
        </w:numPr>
        <w:rPr>
          <w:rFonts w:ascii="Calibri" w:eastAsia="Calibri" w:hAnsi="Calibri" w:cs="Calibri"/>
        </w:rPr>
      </w:pPr>
      <w:r w:rsidRPr="004C2B83">
        <w:rPr>
          <w:rFonts w:ascii="Calibri" w:eastAsia="Calibri" w:hAnsi="Calibri" w:cs="Calibri"/>
        </w:rPr>
        <w:t>Any system designed for disclosing of</w:t>
      </w:r>
      <w:r>
        <w:rPr>
          <w:rFonts w:ascii="Calibri" w:eastAsia="Calibri" w:hAnsi="Calibri" w:cs="Calibri"/>
        </w:rPr>
        <w:t xml:space="preserve"> non-public registration data</w:t>
      </w:r>
      <w:r w:rsidRPr="004C2B83">
        <w:rPr>
          <w:rFonts w:ascii="Calibri" w:eastAsia="Calibri" w:hAnsi="Calibri" w:cs="Calibri"/>
        </w:rPr>
        <w:t xml:space="preserve"> </w:t>
      </w:r>
      <w:r>
        <w:rPr>
          <w:rFonts w:ascii="Calibri" w:eastAsia="Calibri" w:hAnsi="Calibri" w:cs="Calibri"/>
        </w:rPr>
        <w:t>to Law Enforcement Authorities</w:t>
      </w:r>
      <w:r w:rsidRPr="004C2B83">
        <w:rPr>
          <w:rFonts w:ascii="Calibri" w:eastAsia="Calibri" w:hAnsi="Calibri" w:cs="Calibri"/>
        </w:rPr>
        <w:t xml:space="preserve"> must include a mechanism for</w:t>
      </w:r>
      <w:r>
        <w:rPr>
          <w:rFonts w:ascii="Calibri" w:eastAsia="Calibri" w:hAnsi="Calibri" w:cs="Calibri"/>
        </w:rPr>
        <w:t xml:space="preserve"> </w:t>
      </w:r>
      <w:r w:rsidRPr="004C2B83">
        <w:rPr>
          <w:rFonts w:ascii="Calibri" w:eastAsia="Calibri" w:hAnsi="Calibri" w:cs="Calibri"/>
        </w:rPr>
        <w:t>implementing the need for confidentiality for ongoing investigations.</w:t>
      </w:r>
    </w:p>
    <w:p w14:paraId="084F0F7F" w14:textId="77777777" w:rsidR="00C542B8" w:rsidRDefault="00C542B8" w:rsidP="00C542B8">
      <w:pPr>
        <w:rPr>
          <w:rFonts w:asciiTheme="minorHAnsi" w:hAnsiTheme="minorHAnsi" w:cstheme="minorHAnsi"/>
          <w:b/>
          <w:bCs/>
        </w:rPr>
      </w:pPr>
    </w:p>
    <w:p w14:paraId="5C123CD9" w14:textId="77777777" w:rsidR="00C542B8" w:rsidRDefault="00C542B8" w:rsidP="00C542B8">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2235AB">
        <w:rPr>
          <w:rFonts w:asciiTheme="minorHAnsi" w:hAnsiTheme="minorHAnsi" w:cstheme="minorHAnsi"/>
          <w:i/>
          <w:iCs/>
        </w:rPr>
        <w:t xml:space="preserve">Comments / concerns / questions to be considered in relation to </w:t>
      </w:r>
      <w:r>
        <w:rPr>
          <w:rFonts w:asciiTheme="minorHAnsi" w:hAnsiTheme="minorHAnsi" w:cstheme="minorHAnsi"/>
          <w:i/>
          <w:iCs/>
        </w:rPr>
        <w:t>building block h)</w:t>
      </w:r>
      <w:r w:rsidRPr="002235AB">
        <w:rPr>
          <w:rFonts w:asciiTheme="minorHAnsi" w:hAnsiTheme="minorHAnsi" w:cstheme="minorHAnsi"/>
          <w:i/>
          <w:iCs/>
        </w:rPr>
        <w:t>:</w:t>
      </w:r>
      <w:r>
        <w:rPr>
          <w:rFonts w:asciiTheme="minorHAnsi" w:hAnsiTheme="minorHAnsi" w:cstheme="minorHAnsi"/>
          <w:i/>
          <w:iCs/>
        </w:rPr>
        <w:t xml:space="preserve"> </w:t>
      </w:r>
    </w:p>
    <w:p w14:paraId="42B53623" w14:textId="77777777" w:rsidR="00C542B8" w:rsidRDefault="00C542B8" w:rsidP="00C542B8">
      <w:pPr>
        <w:pStyle w:val="ListParagraph"/>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Can this topic be addressed without confirming who the entity/entities disclosing the data is?</w:t>
      </w:r>
    </w:p>
    <w:p w14:paraId="3CEAA65F" w14:textId="77777777" w:rsidR="00C542B8" w:rsidRDefault="00C542B8" w:rsidP="00C542B8">
      <w:pPr>
        <w:pStyle w:val="ListParagraph"/>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sidRPr="00EA2FB0">
        <w:rPr>
          <w:rFonts w:asciiTheme="minorHAnsi" w:hAnsiTheme="minorHAnsi" w:cstheme="minorHAnsi"/>
          <w:i/>
          <w:iCs/>
          <w:sz w:val="24"/>
        </w:rPr>
        <w:t xml:space="preserve">How can these requirements be enforced? </w:t>
      </w:r>
    </w:p>
    <w:p w14:paraId="10FD5332" w14:textId="77777777" w:rsidR="00C542B8" w:rsidRDefault="00C542B8" w:rsidP="00C542B8">
      <w:pPr>
        <w:pStyle w:val="ListParagraph"/>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Re. e), consider that yes, data subjects should be informed,</w:t>
      </w:r>
      <w:r w:rsidRPr="00EA2FB0">
        <w:rPr>
          <w:rFonts w:asciiTheme="minorHAnsi" w:hAnsiTheme="minorHAnsi" w:cstheme="minorHAnsi"/>
          <w:i/>
          <w:iCs/>
          <w:sz w:val="24"/>
        </w:rPr>
        <w:t xml:space="preserve"> with the exception of sensitive LEA investigations</w:t>
      </w:r>
      <w:r>
        <w:rPr>
          <w:rFonts w:asciiTheme="minorHAnsi" w:hAnsiTheme="minorHAnsi" w:cstheme="minorHAnsi"/>
          <w:i/>
          <w:iCs/>
          <w:sz w:val="24"/>
        </w:rPr>
        <w:t xml:space="preserve">. Consider generalizing this section as in its current form it may be too GDPR centric. </w:t>
      </w:r>
    </w:p>
    <w:p w14:paraId="616D5FFB" w14:textId="77777777" w:rsidR="00C542B8" w:rsidRDefault="00C542B8" w:rsidP="00C542B8">
      <w:pPr>
        <w:pStyle w:val="ListParagraph"/>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Consider adding h) “</w:t>
      </w:r>
      <w:r w:rsidRPr="006D5936">
        <w:rPr>
          <w:rFonts w:asciiTheme="minorHAnsi" w:hAnsiTheme="minorHAnsi" w:cstheme="minorHAnsi"/>
          <w:i/>
          <w:iCs/>
          <w:sz w:val="24"/>
        </w:rPr>
        <w:t>h) Must provide [non personal] non-public data for data subjects that are legal persons or otherwise not subject to data protection laws.</w:t>
      </w:r>
      <w:r>
        <w:rPr>
          <w:rFonts w:asciiTheme="minorHAnsi" w:hAnsiTheme="minorHAnsi" w:cstheme="minorHAnsi"/>
          <w:i/>
          <w:iCs/>
          <w:sz w:val="24"/>
        </w:rPr>
        <w:t>”</w:t>
      </w:r>
    </w:p>
    <w:p w14:paraId="3C081094" w14:textId="77777777" w:rsidR="00C542B8" w:rsidRPr="00564783" w:rsidRDefault="00C542B8" w:rsidP="00C542B8">
      <w:pPr>
        <w:pStyle w:val="ListParagraph"/>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i/>
          <w:iCs/>
          <w:sz w:val="24"/>
        </w:rPr>
      </w:pPr>
      <w:r>
        <w:rPr>
          <w:rFonts w:asciiTheme="minorHAnsi" w:hAnsiTheme="minorHAnsi" w:cstheme="minorHAnsi"/>
          <w:i/>
          <w:iCs/>
          <w:sz w:val="24"/>
        </w:rPr>
        <w:t xml:space="preserve">Consider having the </w:t>
      </w:r>
      <w:r w:rsidRPr="00564783">
        <w:rPr>
          <w:rFonts w:asciiTheme="minorHAnsi" w:hAnsiTheme="minorHAnsi" w:cstheme="minorHAnsi"/>
          <w:i/>
          <w:iCs/>
          <w:sz w:val="24"/>
        </w:rPr>
        <w:t>policy should acknowledge that the SSAD be built to accommodate accredited groups, and that there should be a framework for recognizing groups that are accredited.</w:t>
      </w:r>
      <w:r>
        <w:rPr>
          <w:rFonts w:asciiTheme="minorHAnsi" w:hAnsiTheme="minorHAnsi" w:cstheme="minorHAnsi"/>
          <w:i/>
          <w:iCs/>
          <w:sz w:val="24"/>
        </w:rPr>
        <w:t xml:space="preserve"> The EDPB could then review this overall concept but may not need to have a role to review each accredited group? </w:t>
      </w:r>
    </w:p>
    <w:p w14:paraId="4C42FB17" w14:textId="0D0FCF7E" w:rsidR="000B7A30" w:rsidRDefault="000B7A30"/>
    <w:p w14:paraId="3297CA20" w14:textId="0431EDB1" w:rsidR="00F8610C" w:rsidRDefault="00F8610C"/>
    <w:p w14:paraId="0A785E65" w14:textId="46C9F9EB" w:rsidR="00F8610C" w:rsidRDefault="00F8610C"/>
    <w:p w14:paraId="4D85932C" w14:textId="186BE0EB" w:rsidR="00F8610C" w:rsidRDefault="00F8610C"/>
    <w:p w14:paraId="7DA05A5B" w14:textId="0BB73DBD" w:rsidR="00F8610C" w:rsidRDefault="00F8610C"/>
    <w:p w14:paraId="0C5AF3AF" w14:textId="3BBB9DAF" w:rsidR="00F8610C" w:rsidRDefault="00F8610C" w:rsidP="00F8610C">
      <w:pPr>
        <w:pBdr>
          <w:top w:val="nil"/>
          <w:left w:val="nil"/>
          <w:bottom w:val="nil"/>
          <w:right w:val="nil"/>
          <w:between w:val="nil"/>
        </w:pBdr>
        <w:rPr>
          <w:b/>
          <w:color w:val="000000"/>
        </w:rPr>
      </w:pPr>
      <w:r>
        <w:rPr>
          <w:rFonts w:ascii="Calibri" w:eastAsia="Calibri" w:hAnsi="Calibri" w:cs="Calibri"/>
          <w:b/>
        </w:rPr>
        <w:t xml:space="preserve">From SSAD Worksheet: </w:t>
      </w:r>
      <w:r>
        <w:rPr>
          <w:rFonts w:ascii="Calibri" w:eastAsia="Calibri" w:hAnsi="Calibri" w:cs="Calibri"/>
          <w:b/>
        </w:rPr>
        <w:t>Acceptable Use Policy</w:t>
      </w:r>
    </w:p>
    <w:p w14:paraId="18434822" w14:textId="77777777" w:rsidR="00F8610C" w:rsidRDefault="00F8610C" w:rsidP="00F8610C">
      <w:pPr>
        <w:rPr>
          <w:rFonts w:ascii="Calibri" w:eastAsia="Calibri" w:hAnsi="Calibri" w:cs="Calibri"/>
          <w:b/>
        </w:rPr>
      </w:pPr>
    </w:p>
    <w:p w14:paraId="683305BC" w14:textId="77777777" w:rsidR="00F8610C" w:rsidRDefault="00F8610C" w:rsidP="00F8610C">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Define the policy requirements around: </w:t>
      </w:r>
    </w:p>
    <w:p w14:paraId="086FDEC8" w14:textId="77777777" w:rsidR="00F8610C" w:rsidRDefault="00F8610C" w:rsidP="00F8610C">
      <w:pPr>
        <w:rPr>
          <w:rFonts w:ascii="Calibri" w:eastAsia="Calibri" w:hAnsi="Calibri" w:cs="Calibri"/>
        </w:rPr>
      </w:pPr>
    </w:p>
    <w:p w14:paraId="46C25E32" w14:textId="77777777" w:rsidR="00F8610C" w:rsidRDefault="00F8610C" w:rsidP="00F8610C">
      <w:pPr>
        <w:ind w:left="720"/>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How should a code of conduct (if any) be developed, continuously evolve and be enforced?</w:t>
      </w:r>
    </w:p>
    <w:p w14:paraId="29A47F34" w14:textId="77777777" w:rsidR="00F8610C" w:rsidRDefault="00F8610C" w:rsidP="00F8610C">
      <w:pPr>
        <w:ind w:left="720"/>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 xml:space="preserve">If ICANN and its contracted parties develop a code of conduct for third parties with legitimate interest, what </w:t>
      </w:r>
      <w:proofErr w:type="gramStart"/>
      <w:r>
        <w:rPr>
          <w:rFonts w:ascii="Calibri" w:eastAsia="Calibri" w:hAnsi="Calibri" w:cs="Calibri"/>
        </w:rPr>
        <w:t>features</w:t>
      </w:r>
      <w:proofErr w:type="gramEnd"/>
      <w:r>
        <w:rPr>
          <w:rFonts w:ascii="Calibri" w:eastAsia="Calibri" w:hAnsi="Calibri" w:cs="Calibri"/>
        </w:rPr>
        <w:t xml:space="preserve"> and needs should be considered?</w:t>
      </w:r>
    </w:p>
    <w:p w14:paraId="26B0BBF8" w14:textId="77777777" w:rsidR="00F8610C" w:rsidRDefault="00F8610C" w:rsidP="00F8610C">
      <w:pPr>
        <w:ind w:left="720"/>
        <w:rPr>
          <w:rFonts w:ascii="Calibri" w:eastAsia="Calibri" w:hAnsi="Calibri" w:cs="Calibri"/>
        </w:rPr>
      </w:pPr>
      <w:r>
        <w:rPr>
          <w:rFonts w:ascii="Calibri" w:eastAsia="Calibri" w:hAnsi="Calibri" w:cs="Calibri"/>
        </w:rPr>
        <w:t>3.</w:t>
      </w:r>
      <w:r>
        <w:rPr>
          <w:sz w:val="14"/>
          <w:szCs w:val="14"/>
        </w:rPr>
        <w:t xml:space="preserve">     </w:t>
      </w:r>
      <w:r>
        <w:rPr>
          <w:rFonts w:ascii="Calibri" w:eastAsia="Calibri" w:hAnsi="Calibri" w:cs="Calibri"/>
        </w:rPr>
        <w:t>Are there additional data flows that must be documented outside of what was documented in Phase 1?</w:t>
      </w:r>
    </w:p>
    <w:p w14:paraId="6527D6E8" w14:textId="77777777" w:rsidR="00F8610C" w:rsidRDefault="00F8610C" w:rsidP="00F8610C">
      <w:pPr>
        <w:ind w:left="720"/>
        <w:rPr>
          <w:rFonts w:ascii="Calibri" w:eastAsia="Calibri" w:hAnsi="Calibri" w:cs="Calibri"/>
        </w:rPr>
      </w:pPr>
      <w:r>
        <w:rPr>
          <w:rFonts w:ascii="Calibri" w:eastAsia="Calibri" w:hAnsi="Calibri" w:cs="Calibri"/>
        </w:rPr>
        <w:t>Can a Code of Conduct model compliment or be used with what is implemented from EPDP-Phase 1 Recommendation #18?</w:t>
      </w:r>
    </w:p>
    <w:p w14:paraId="446C7CDD" w14:textId="77777777" w:rsidR="00F8610C" w:rsidRDefault="00F8610C" w:rsidP="00F8610C">
      <w:pPr>
        <w:rPr>
          <w:rFonts w:ascii="Calibri" w:eastAsia="Calibri" w:hAnsi="Calibri" w:cs="Calibri"/>
        </w:rPr>
      </w:pPr>
    </w:p>
    <w:p w14:paraId="10FF0A6C" w14:textId="77777777" w:rsidR="00F8610C" w:rsidRDefault="00F8610C" w:rsidP="00F8610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233F8670" w14:textId="77777777" w:rsidR="00F8610C" w:rsidRDefault="00F8610C" w:rsidP="00F8610C">
      <w:pPr>
        <w:rPr>
          <w:rFonts w:ascii="Calibri" w:eastAsia="Calibri" w:hAnsi="Calibri" w:cs="Calibri"/>
        </w:rPr>
      </w:pPr>
    </w:p>
    <w:p w14:paraId="571528D0" w14:textId="77777777" w:rsidR="00F8610C" w:rsidRDefault="00F8610C" w:rsidP="00F8610C">
      <w:pPr>
        <w:rPr>
          <w:rFonts w:ascii="Calibri" w:eastAsia="Calibri" w:hAnsi="Calibri" w:cs="Calibri"/>
        </w:rPr>
      </w:pPr>
      <w:r>
        <w:rPr>
          <w:rFonts w:ascii="Calibri" w:eastAsia="Calibri" w:hAnsi="Calibri" w:cs="Calibri"/>
          <w:i/>
        </w:rPr>
        <w:t>P1-Charter-c</w:t>
      </w:r>
    </w:p>
    <w:p w14:paraId="61CBA141" w14:textId="77777777" w:rsidR="00F8610C" w:rsidRDefault="00F8610C" w:rsidP="00F8610C">
      <w:pPr>
        <w:rPr>
          <w:rFonts w:ascii="Calibri" w:eastAsia="Calibri" w:hAnsi="Calibri" w:cs="Calibri"/>
        </w:rPr>
      </w:pPr>
      <w:r>
        <w:rPr>
          <w:rFonts w:ascii="Calibri" w:eastAsia="Calibri" w:hAnsi="Calibri" w:cs="Calibri"/>
        </w:rPr>
        <w:t>c1) What rules/policies will govern users' access to the data?</w:t>
      </w:r>
    </w:p>
    <w:p w14:paraId="5BF637D1" w14:textId="77777777" w:rsidR="00F8610C" w:rsidRDefault="00F8610C" w:rsidP="00F8610C">
      <w:pPr>
        <w:rPr>
          <w:rFonts w:ascii="Calibri" w:eastAsia="Calibri" w:hAnsi="Calibri" w:cs="Calibri"/>
        </w:rPr>
      </w:pPr>
      <w:r>
        <w:rPr>
          <w:rFonts w:ascii="Calibri" w:eastAsia="Calibri" w:hAnsi="Calibri" w:cs="Calibri"/>
        </w:rPr>
        <w:t>c2) What rules/policies will govern users' use of the data once accessed?</w:t>
      </w:r>
    </w:p>
    <w:p w14:paraId="0FC83AC6" w14:textId="77777777" w:rsidR="00F8610C" w:rsidRDefault="00F8610C" w:rsidP="00F8610C">
      <w:pPr>
        <w:rPr>
          <w:rFonts w:ascii="Calibri" w:eastAsia="Calibri" w:hAnsi="Calibri" w:cs="Calibri"/>
        </w:rPr>
      </w:pPr>
      <w:r>
        <w:rPr>
          <w:rFonts w:ascii="Calibri" w:eastAsia="Calibri" w:hAnsi="Calibri" w:cs="Calibri"/>
        </w:rPr>
        <w:t>c3) Who will be responsible for establishing and enforcing these rules/policies?</w:t>
      </w:r>
    </w:p>
    <w:p w14:paraId="0F837C59" w14:textId="77777777" w:rsidR="00F8610C" w:rsidRDefault="00F8610C" w:rsidP="00F8610C">
      <w:pPr>
        <w:rPr>
          <w:rFonts w:ascii="Calibri" w:eastAsia="Calibri" w:hAnsi="Calibri" w:cs="Calibri"/>
        </w:rPr>
      </w:pPr>
      <w:r>
        <w:rPr>
          <w:rFonts w:ascii="Calibri" w:eastAsia="Calibri" w:hAnsi="Calibri" w:cs="Calibri"/>
        </w:rPr>
        <w:t>c4) What, if any, sanctions or penalties will a user face for abusing the data, including future</w:t>
      </w:r>
    </w:p>
    <w:p w14:paraId="42462192" w14:textId="77777777" w:rsidR="00F8610C" w:rsidRDefault="00F8610C" w:rsidP="00F8610C">
      <w:pPr>
        <w:rPr>
          <w:rFonts w:ascii="Calibri" w:eastAsia="Calibri" w:hAnsi="Calibri" w:cs="Calibri"/>
        </w:rPr>
      </w:pPr>
      <w:r>
        <w:rPr>
          <w:rFonts w:ascii="Calibri" w:eastAsia="Calibri" w:hAnsi="Calibri" w:cs="Calibri"/>
        </w:rPr>
        <w:t>restrictions on access or compensation to data subjects whose data has been abused in</w:t>
      </w:r>
    </w:p>
    <w:p w14:paraId="1782C392" w14:textId="77777777" w:rsidR="00F8610C" w:rsidRDefault="00F8610C" w:rsidP="00F8610C">
      <w:pPr>
        <w:rPr>
          <w:rFonts w:ascii="Calibri" w:eastAsia="Calibri" w:hAnsi="Calibri" w:cs="Calibri"/>
        </w:rPr>
      </w:pPr>
      <w:r>
        <w:rPr>
          <w:rFonts w:ascii="Calibri" w:eastAsia="Calibri" w:hAnsi="Calibri" w:cs="Calibri"/>
        </w:rPr>
        <w:t xml:space="preserve">addition to any sanctions already provided in applicable </w:t>
      </w:r>
      <w:proofErr w:type="gramStart"/>
      <w:r>
        <w:rPr>
          <w:rFonts w:ascii="Calibri" w:eastAsia="Calibri" w:hAnsi="Calibri" w:cs="Calibri"/>
        </w:rPr>
        <w:t>law?</w:t>
      </w:r>
      <w:proofErr w:type="gramEnd"/>
    </w:p>
    <w:p w14:paraId="0E95703D" w14:textId="77777777" w:rsidR="00F8610C" w:rsidRDefault="00F8610C" w:rsidP="00F8610C">
      <w:pPr>
        <w:rPr>
          <w:rFonts w:ascii="Calibri" w:eastAsia="Calibri" w:hAnsi="Calibri" w:cs="Calibri"/>
        </w:rPr>
      </w:pPr>
      <w:r>
        <w:rPr>
          <w:rFonts w:ascii="Calibri" w:eastAsia="Calibri" w:hAnsi="Calibri" w:cs="Calibri"/>
        </w:rPr>
        <w:t>c5) What kinds of insights will Contracted Parties have into what data is accessed and how it is used?</w:t>
      </w:r>
    </w:p>
    <w:p w14:paraId="15FF907B" w14:textId="77777777" w:rsidR="00F8610C" w:rsidRDefault="00F8610C" w:rsidP="00F8610C">
      <w:pPr>
        <w:rPr>
          <w:rFonts w:ascii="Calibri" w:eastAsia="Calibri" w:hAnsi="Calibri" w:cs="Calibri"/>
        </w:rPr>
      </w:pPr>
      <w:r>
        <w:rPr>
          <w:rFonts w:ascii="Calibri" w:eastAsia="Calibri" w:hAnsi="Calibri" w:cs="Calibri"/>
        </w:rPr>
        <w:t>c6) What rights do data subjects have in ascertaining when and how their data is accessed and used?</w:t>
      </w:r>
    </w:p>
    <w:p w14:paraId="08567AA1" w14:textId="77777777" w:rsidR="00F8610C" w:rsidRDefault="00F8610C" w:rsidP="00F8610C">
      <w:pPr>
        <w:rPr>
          <w:rFonts w:ascii="Calibri" w:eastAsia="Calibri" w:hAnsi="Calibri" w:cs="Calibri"/>
        </w:rPr>
      </w:pPr>
      <w:r>
        <w:rPr>
          <w:rFonts w:ascii="Calibri" w:eastAsia="Calibri" w:hAnsi="Calibri" w:cs="Calibri"/>
        </w:rPr>
        <w:t xml:space="preserve">c7) How can a </w:t>
      </w:r>
      <w:proofErr w:type="gramStart"/>
      <w:r>
        <w:rPr>
          <w:rFonts w:ascii="Calibri" w:eastAsia="Calibri" w:hAnsi="Calibri" w:cs="Calibri"/>
        </w:rPr>
        <w:t>third party</w:t>
      </w:r>
      <w:proofErr w:type="gramEnd"/>
      <w:r>
        <w:rPr>
          <w:rFonts w:ascii="Calibri" w:eastAsia="Calibri" w:hAnsi="Calibri" w:cs="Calibri"/>
        </w:rPr>
        <w:t xml:space="preserve"> access model accommodate differing requirements for data subject notification of data disclosure?</w:t>
      </w:r>
    </w:p>
    <w:p w14:paraId="78AB31F3" w14:textId="77777777" w:rsidR="00F8610C" w:rsidRDefault="00F8610C" w:rsidP="00F8610C">
      <w:pPr>
        <w:rPr>
          <w:rFonts w:ascii="Calibri" w:eastAsia="Calibri" w:hAnsi="Calibri" w:cs="Calibri"/>
        </w:rPr>
      </w:pPr>
    </w:p>
    <w:p w14:paraId="5AA831B5" w14:textId="77777777" w:rsidR="00F8610C" w:rsidRDefault="00F8610C" w:rsidP="00F8610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187E578" w14:textId="77777777" w:rsidR="00F8610C" w:rsidRDefault="00F8610C" w:rsidP="00F8610C"/>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F8610C" w14:paraId="0CA70109" w14:textId="77777777" w:rsidTr="00DF0719">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557AD19B" w14:textId="77777777" w:rsidR="00F8610C" w:rsidRDefault="00F8610C" w:rsidP="00DF0719">
            <w:pPr>
              <w:pStyle w:val="Heading2"/>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63C81D2C" w14:textId="77777777" w:rsidR="00F8610C" w:rsidRDefault="00F8610C" w:rsidP="00DF0719">
            <w:pPr>
              <w:pStyle w:val="Heading2"/>
              <w:spacing w:after="40"/>
            </w:pPr>
            <w:bookmarkStart w:id="1" w:name="_biuzjui3dcnx" w:colFirst="0" w:colLast="0"/>
            <w:bookmarkEnd w:id="1"/>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F13FB93" w14:textId="77777777" w:rsidR="00F8610C" w:rsidRDefault="00F8610C" w:rsidP="00DF0719">
            <w:pPr>
              <w:pStyle w:val="Heading2"/>
              <w:spacing w:after="40"/>
            </w:pPr>
            <w:bookmarkStart w:id="2" w:name="_dhuyk0fft670" w:colFirst="0" w:colLast="0"/>
            <w:bookmarkEnd w:id="2"/>
            <w:r>
              <w:rPr>
                <w:b/>
                <w:color w:val="000000"/>
                <w:sz w:val="24"/>
                <w:szCs w:val="24"/>
              </w:rPr>
              <w:t>Required because</w:t>
            </w:r>
          </w:p>
        </w:tc>
      </w:tr>
      <w:tr w:rsidR="00F8610C" w14:paraId="617C7B39" w14:textId="77777777" w:rsidTr="00DF0719">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7DDF6672" w14:textId="77777777" w:rsidR="00F8610C" w:rsidRDefault="00F8610C" w:rsidP="00DF0719">
            <w:pPr>
              <w:rPr>
                <w:rFonts w:ascii="Calibri" w:eastAsia="Calibri" w:hAnsi="Calibri" w:cs="Calibri"/>
              </w:rPr>
            </w:pPr>
            <w:r>
              <w:rPr>
                <w:rFonts w:ascii="Calibri" w:eastAsia="Calibri" w:hAnsi="Calibri" w:cs="Calibri"/>
              </w:rPr>
              <w:t>GDPR Article 40, Code of Conduct</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E6A1BBF" w14:textId="77777777" w:rsidR="00F8610C" w:rsidRDefault="00F8610C" w:rsidP="00DF0719">
            <w:pPr>
              <w:rPr>
                <w:rFonts w:ascii="Calibri" w:eastAsia="Calibri" w:hAnsi="Calibri" w:cs="Calibri"/>
              </w:rPr>
            </w:pPr>
            <w:hyperlink r:id="rId7">
              <w:r>
                <w:rPr>
                  <w:rFonts w:ascii="Calibri" w:eastAsia="Calibri" w:hAnsi="Calibri" w:cs="Calibri"/>
                  <w:color w:val="1155CC"/>
                  <w:u w:val="single"/>
                </w:rPr>
                <w:t>https://gdpr-info.eu/art-40-gdpr/</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7B763CD" w14:textId="77777777" w:rsidR="00F8610C" w:rsidRDefault="00F8610C" w:rsidP="00DF0719"/>
        </w:tc>
      </w:tr>
      <w:tr w:rsidR="00F8610C" w14:paraId="7A0B1B8B" w14:textId="77777777" w:rsidTr="00DF0719">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7F902C0B" w14:textId="77777777" w:rsidR="00F8610C" w:rsidRDefault="00F8610C" w:rsidP="00DF0719">
            <w:pPr>
              <w:rPr>
                <w:rFonts w:ascii="Calibri" w:eastAsia="Calibri" w:hAnsi="Calibri" w:cs="Calibri"/>
              </w:rPr>
            </w:pPr>
            <w:r>
              <w:rPr>
                <w:rFonts w:ascii="Calibri" w:eastAsia="Calibri" w:hAnsi="Calibri" w:cs="Calibri"/>
              </w:rPr>
              <w:lastRenderedPageBreak/>
              <w:t>Art. 29 Working Party Letter to ICANN</w:t>
            </w:r>
          </w:p>
          <w:p w14:paraId="58F6A93E" w14:textId="77777777" w:rsidR="00F8610C" w:rsidRDefault="00F8610C" w:rsidP="00DF0719">
            <w:pPr>
              <w:rPr>
                <w:rFonts w:ascii="Calibri" w:eastAsia="Calibri" w:hAnsi="Calibri" w:cs="Calibri"/>
              </w:rPr>
            </w:pPr>
            <w:r>
              <w:rPr>
                <w:rFonts w:ascii="Calibri" w:eastAsia="Calibri" w:hAnsi="Calibri" w:cs="Calibri"/>
              </w:rPr>
              <w:t>11 April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9C7841F" w14:textId="77777777" w:rsidR="00F8610C" w:rsidRDefault="00F8610C" w:rsidP="00DF0719">
            <w:pPr>
              <w:rPr>
                <w:rFonts w:ascii="Calibri" w:eastAsia="Calibri" w:hAnsi="Calibri" w:cs="Calibri"/>
              </w:rPr>
            </w:pPr>
            <w:hyperlink r:id="rId8">
              <w:r>
                <w:rPr>
                  <w:rFonts w:ascii="Calibri" w:eastAsia="Calibri" w:hAnsi="Calibri" w:cs="Calibri"/>
                  <w:color w:val="1155CC"/>
                  <w:u w:val="single"/>
                </w:rPr>
                <w:t>https://www.icann.org/en/system/files/correspondence/jelinek-to-marby-11apr18-en.pdf</w:t>
              </w:r>
            </w:hyperlink>
            <w:r>
              <w:rPr>
                <w:rFonts w:ascii="Calibri" w:eastAsia="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6244F82" w14:textId="77777777" w:rsidR="00F8610C" w:rsidRDefault="00F8610C" w:rsidP="00DF0719"/>
        </w:tc>
      </w:tr>
      <w:tr w:rsidR="00F8610C" w14:paraId="6E1C4B4B" w14:textId="77777777" w:rsidTr="00DF0719">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172CA43A" w14:textId="77777777" w:rsidR="00F8610C" w:rsidRDefault="00F8610C" w:rsidP="00DF0719">
            <w:pPr>
              <w:rPr>
                <w:rFonts w:ascii="Calibri" w:eastAsia="Calibri" w:hAnsi="Calibri" w:cs="Calibri"/>
              </w:rPr>
            </w:pPr>
            <w:r>
              <w:rPr>
                <w:rFonts w:ascii="Calibri" w:eastAsia="Calibri" w:hAnsi="Calibri" w:cs="Calibri"/>
              </w:rPr>
              <w:t>Bird &amp; Bird - Code of Conduct and Certification Reference Material (May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26A4FAF2" w14:textId="77777777" w:rsidR="00F8610C" w:rsidRDefault="00F8610C" w:rsidP="00DF0719">
            <w:pPr>
              <w:rPr>
                <w:rFonts w:ascii="Calibri" w:eastAsia="Calibri" w:hAnsi="Calibri" w:cs="Calibri"/>
              </w:rPr>
            </w:pPr>
            <w:hyperlink r:id="rId9">
              <w:r>
                <w:rPr>
                  <w:rFonts w:ascii="Calibri" w:eastAsia="Calibri" w:hAnsi="Calibri" w:cs="Calibri"/>
                  <w:color w:val="1155CC"/>
                  <w:u w:val="single"/>
                </w:rPr>
                <w:t>https://www.twobirds.com/~/media/pdfs/gdpr-pdfs/43--guide-to-the-</w:t>
              </w:r>
              <w:proofErr w:type="spellStart"/>
              <w:r>
                <w:rPr>
                  <w:rFonts w:ascii="Calibri" w:eastAsia="Calibri" w:hAnsi="Calibri" w:cs="Calibri"/>
                  <w:color w:val="1155CC"/>
                  <w:u w:val="single"/>
                </w:rPr>
                <w:t>gdpr</w:t>
              </w:r>
              <w:proofErr w:type="spellEnd"/>
              <w:r>
                <w:rPr>
                  <w:rFonts w:ascii="Calibri" w:eastAsia="Calibri" w:hAnsi="Calibri" w:cs="Calibri"/>
                  <w:color w:val="1155CC"/>
                  <w:u w:val="single"/>
                </w:rPr>
                <w:t>--</w:t>
              </w:r>
              <w:proofErr w:type="spellStart"/>
              <w:r>
                <w:rPr>
                  <w:rFonts w:ascii="Calibri" w:eastAsia="Calibri" w:hAnsi="Calibri" w:cs="Calibri"/>
                  <w:color w:val="1155CC"/>
                  <w:u w:val="single"/>
                </w:rPr>
                <w:t>codes-of-conduct-and-certifications.pdf?la</w:t>
              </w:r>
              <w:proofErr w:type="spellEnd"/>
              <w:r>
                <w:rPr>
                  <w:rFonts w:ascii="Calibri" w:eastAsia="Calibri" w:hAnsi="Calibri" w:cs="Calibri"/>
                  <w:color w:val="1155CC"/>
                  <w:u w:val="single"/>
                </w:rPr>
                <w:t>=</w:t>
              </w:r>
              <w:proofErr w:type="spellStart"/>
              <w:r>
                <w:rPr>
                  <w:rFonts w:ascii="Calibri" w:eastAsia="Calibri" w:hAnsi="Calibri" w:cs="Calibri"/>
                  <w:color w:val="1155CC"/>
                  <w:u w:val="single"/>
                </w:rPr>
                <w:t>en</w:t>
              </w:r>
              <w:proofErr w:type="spellEnd"/>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23BE065" w14:textId="77777777" w:rsidR="00F8610C" w:rsidRDefault="00F8610C" w:rsidP="00DF0719"/>
        </w:tc>
      </w:tr>
      <w:tr w:rsidR="00F8610C" w14:paraId="0F3512DD" w14:textId="77777777" w:rsidTr="00DF0719">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4E817CD3" w14:textId="77777777" w:rsidR="00F8610C" w:rsidRDefault="00F8610C" w:rsidP="00DF0719">
            <w:pPr>
              <w:rPr>
                <w:rFonts w:ascii="Calibri" w:eastAsia="Calibri" w:hAnsi="Calibri" w:cs="Calibri"/>
              </w:rPr>
            </w:pPr>
            <w:r>
              <w:rPr>
                <w:rFonts w:ascii="Calibri" w:eastAsia="Calibri" w:hAnsi="Calibri" w:cs="Calibri"/>
              </w:rPr>
              <w:t>Example: Cloud Providers Code of Conduct (CISPE) (January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89E78CD" w14:textId="77777777" w:rsidR="00F8610C" w:rsidRDefault="00F8610C" w:rsidP="00DF0719">
            <w:pPr>
              <w:rPr>
                <w:rFonts w:ascii="Calibri" w:eastAsia="Calibri" w:hAnsi="Calibri" w:cs="Calibri"/>
              </w:rPr>
            </w:pPr>
            <w:hyperlink r:id="rId10">
              <w:r>
                <w:rPr>
                  <w:rFonts w:ascii="Calibri" w:eastAsia="Calibri" w:hAnsi="Calibri" w:cs="Calibri"/>
                  <w:color w:val="1155CC"/>
                  <w:u w:val="single"/>
                </w:rPr>
                <w:t>https://cispe.cloud/code-of-conduct/</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528D3B9F" w14:textId="77777777" w:rsidR="00F8610C" w:rsidRDefault="00F8610C" w:rsidP="00DF0719"/>
        </w:tc>
      </w:tr>
      <w:tr w:rsidR="00F8610C" w14:paraId="5BC55775" w14:textId="77777777" w:rsidTr="00DF0719">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221626F" w14:textId="77777777" w:rsidR="00F8610C" w:rsidRDefault="00F8610C" w:rsidP="00DF0719">
            <w:pPr>
              <w:rPr>
                <w:rFonts w:ascii="Calibri" w:eastAsia="Calibri" w:hAnsi="Calibri" w:cs="Calibri"/>
              </w:rPr>
            </w:pPr>
            <w:r>
              <w:rPr>
                <w:rFonts w:ascii="Calibri" w:eastAsia="Calibri" w:hAnsi="Calibri" w:cs="Calibri"/>
              </w:rPr>
              <w:t>Example: Cloud Providers Code of Conduct (EU Cloud) (November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5C9EE00" w14:textId="77777777" w:rsidR="00F8610C" w:rsidRDefault="00F8610C" w:rsidP="00DF0719">
            <w:pPr>
              <w:rPr>
                <w:rFonts w:ascii="Calibri" w:eastAsia="Calibri" w:hAnsi="Calibri" w:cs="Calibri"/>
              </w:rPr>
            </w:pPr>
            <w:hyperlink r:id="rId11">
              <w:r>
                <w:rPr>
                  <w:rFonts w:ascii="Calibri" w:eastAsia="Calibri" w:hAnsi="Calibri" w:cs="Calibri"/>
                  <w:color w:val="1155CC"/>
                  <w:u w:val="single"/>
                </w:rPr>
                <w:t>https://eucoc.cloud/en/contact/request-the-eu-cloud-code-of-conduct.html</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3EBC6040" w14:textId="77777777" w:rsidR="00F8610C" w:rsidRDefault="00F8610C" w:rsidP="00DF0719"/>
        </w:tc>
      </w:tr>
    </w:tbl>
    <w:p w14:paraId="3CB90609" w14:textId="77777777" w:rsidR="00F8610C" w:rsidRDefault="00F8610C" w:rsidP="00F8610C">
      <w:pPr>
        <w:rPr>
          <w:rFonts w:ascii="Calibri" w:eastAsia="Calibri" w:hAnsi="Calibri" w:cs="Calibri"/>
        </w:rPr>
      </w:pPr>
    </w:p>
    <w:p w14:paraId="21295BA4" w14:textId="77777777" w:rsidR="00F8610C" w:rsidRDefault="00F8610C" w:rsidP="00F8610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4AAD6A49" w14:textId="77777777" w:rsidR="00F8610C" w:rsidRDefault="00F8610C" w:rsidP="00F8610C">
      <w:pPr>
        <w:rPr>
          <w:rFonts w:ascii="Calibri" w:eastAsia="Calibri" w:hAnsi="Calibri" w:cs="Calibri"/>
        </w:rPr>
      </w:pPr>
    </w:p>
    <w:p w14:paraId="79D345D6" w14:textId="77777777" w:rsidR="00F8610C" w:rsidRDefault="00F8610C" w:rsidP="00F8610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392B2259" w14:textId="77777777" w:rsidR="00F8610C" w:rsidRDefault="00F8610C" w:rsidP="00F8610C">
      <w:pPr>
        <w:numPr>
          <w:ilvl w:val="0"/>
          <w:numId w:val="6"/>
        </w:numPr>
        <w:rPr>
          <w:rFonts w:ascii="Calibri" w:eastAsia="Calibri" w:hAnsi="Calibri" w:cs="Calibri"/>
        </w:rPr>
      </w:pPr>
      <w:r>
        <w:rPr>
          <w:rFonts w:ascii="Calibri" w:eastAsia="Calibri" w:hAnsi="Calibri" w:cs="Calibri"/>
        </w:rPr>
        <w:t>Determine full list of policy questions and deliberate each</w:t>
      </w:r>
    </w:p>
    <w:p w14:paraId="46D170B2" w14:textId="77777777" w:rsidR="00F8610C" w:rsidRDefault="00F8610C" w:rsidP="00F8610C">
      <w:pPr>
        <w:numPr>
          <w:ilvl w:val="0"/>
          <w:numId w:val="6"/>
        </w:numPr>
        <w:rPr>
          <w:rFonts w:ascii="Calibri" w:eastAsia="Calibri" w:hAnsi="Calibri" w:cs="Calibri"/>
        </w:rPr>
      </w:pPr>
      <w:r>
        <w:rPr>
          <w:rFonts w:ascii="Calibri" w:eastAsia="Calibri" w:hAnsi="Calibri" w:cs="Calibri"/>
        </w:rPr>
        <w:t>Determine possible solutions or proposed recommendation, if any</w:t>
      </w:r>
    </w:p>
    <w:p w14:paraId="6BDD37A0" w14:textId="77777777" w:rsidR="00F8610C" w:rsidRDefault="00F8610C" w:rsidP="00F8610C">
      <w:pPr>
        <w:numPr>
          <w:ilvl w:val="0"/>
          <w:numId w:val="6"/>
        </w:numPr>
        <w:rPr>
          <w:rFonts w:ascii="Calibri" w:eastAsia="Calibri" w:hAnsi="Calibri" w:cs="Calibri"/>
        </w:rPr>
      </w:pPr>
      <w:r>
        <w:rPr>
          <w:rFonts w:ascii="Calibri" w:eastAsia="Calibri" w:hAnsi="Calibri" w:cs="Calibri"/>
        </w:rPr>
        <w:t>Confirm all charter questions have been addressed and documented</w:t>
      </w:r>
    </w:p>
    <w:p w14:paraId="0FC825B3" w14:textId="77777777" w:rsidR="00F8610C" w:rsidRDefault="00F8610C"/>
    <w:sectPr w:rsidR="00F8610C"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EDB2" w14:textId="77777777" w:rsidR="0051391D" w:rsidRDefault="0051391D" w:rsidP="00C542B8">
      <w:r>
        <w:separator/>
      </w:r>
    </w:p>
  </w:endnote>
  <w:endnote w:type="continuationSeparator" w:id="0">
    <w:p w14:paraId="5AD4CED7" w14:textId="77777777" w:rsidR="0051391D" w:rsidRDefault="0051391D" w:rsidP="00C5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8E3B" w14:textId="77777777" w:rsidR="0051391D" w:rsidRDefault="0051391D" w:rsidP="00C542B8">
      <w:r>
        <w:separator/>
      </w:r>
    </w:p>
  </w:footnote>
  <w:footnote w:type="continuationSeparator" w:id="0">
    <w:p w14:paraId="08A24EED" w14:textId="77777777" w:rsidR="0051391D" w:rsidRDefault="0051391D" w:rsidP="00C542B8">
      <w:r>
        <w:continuationSeparator/>
      </w:r>
    </w:p>
  </w:footnote>
  <w:footnote w:id="1">
    <w:p w14:paraId="0ED08F0C" w14:textId="77777777" w:rsidR="00542E2B" w:rsidRPr="0061045E" w:rsidRDefault="00542E2B" w:rsidP="00542E2B">
      <w:pPr>
        <w:pStyle w:val="FootnoteText"/>
        <w:rPr>
          <w:lang w:val="en-US"/>
        </w:rPr>
      </w:pPr>
      <w:r>
        <w:rPr>
          <w:rStyle w:val="FootnoteReference"/>
        </w:rPr>
        <w:footnoteRef/>
      </w:r>
      <w:r>
        <w:t xml:space="preserve"> </w:t>
      </w:r>
      <w:r>
        <w:rPr>
          <w:lang w:val="en-US"/>
        </w:rPr>
        <w:t>Charter questions c1-7</w:t>
      </w:r>
    </w:p>
  </w:footnote>
  <w:footnote w:id="2">
    <w:p w14:paraId="1C70C2ED" w14:textId="77777777" w:rsidR="00C542B8" w:rsidRPr="0061045E" w:rsidRDefault="00C542B8" w:rsidP="00C542B8">
      <w:pPr>
        <w:pStyle w:val="FootnoteText"/>
        <w:rPr>
          <w:lang w:val="en-US"/>
        </w:rPr>
      </w:pPr>
      <w:r>
        <w:rPr>
          <w:rStyle w:val="FootnoteReference"/>
        </w:rPr>
        <w:footnoteRef/>
      </w:r>
      <w:r>
        <w:t xml:space="preserve"> </w:t>
      </w:r>
      <w:r>
        <w:rPr>
          <w:lang w:val="en-US"/>
        </w:rPr>
        <w:t>Charter questions c1-7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1867"/>
    <w:multiLevelType w:val="multilevel"/>
    <w:tmpl w:val="B2A8676A"/>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13280B12"/>
    <w:multiLevelType w:val="multilevel"/>
    <w:tmpl w:val="C7D4B0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772A20"/>
    <w:multiLevelType w:val="hybridMultilevel"/>
    <w:tmpl w:val="7CD8F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20748D"/>
    <w:multiLevelType w:val="hybridMultilevel"/>
    <w:tmpl w:val="0A768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0926DF"/>
    <w:multiLevelType w:val="hybridMultilevel"/>
    <w:tmpl w:val="02605402"/>
    <w:lvl w:ilvl="0" w:tplc="47201640">
      <w:start w:val="1"/>
      <w:numFmt w:val="lowerLetter"/>
      <w:lvlText w:val="Building Block %1)"/>
      <w:lvlJc w:val="left"/>
      <w:pPr>
        <w:ind w:left="36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012DE"/>
    <w:multiLevelType w:val="multilevel"/>
    <w:tmpl w:val="E32A4DAC"/>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82432D"/>
    <w:multiLevelType w:val="multilevel"/>
    <w:tmpl w:val="9ECC6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B8"/>
    <w:rsid w:val="000B7A30"/>
    <w:rsid w:val="00246C3B"/>
    <w:rsid w:val="00385D74"/>
    <w:rsid w:val="0051391D"/>
    <w:rsid w:val="00542E2B"/>
    <w:rsid w:val="005E720C"/>
    <w:rsid w:val="005F102F"/>
    <w:rsid w:val="00704436"/>
    <w:rsid w:val="007F1FED"/>
    <w:rsid w:val="008363A6"/>
    <w:rsid w:val="00B34569"/>
    <w:rsid w:val="00B62E20"/>
    <w:rsid w:val="00BE5129"/>
    <w:rsid w:val="00C542B8"/>
    <w:rsid w:val="00E53B3D"/>
    <w:rsid w:val="00EF35AF"/>
    <w:rsid w:val="00F10689"/>
    <w:rsid w:val="00F76A69"/>
    <w:rsid w:val="00F8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F47D"/>
  <w15:chartTrackingRefBased/>
  <w15:docId w15:val="{8FE9E7E1-ED86-7D4A-AE29-7C736BE7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2B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F8610C"/>
    <w:pPr>
      <w:keepNext/>
      <w:keepLines/>
      <w:pBdr>
        <w:top w:val="nil"/>
        <w:left w:val="nil"/>
        <w:bottom w:val="nil"/>
        <w:right w:val="nil"/>
        <w:between w:val="nil"/>
      </w:pBdr>
      <w:spacing w:before="40"/>
      <w:outlineLvl w:val="1"/>
    </w:pPr>
    <w:rPr>
      <w:rFonts w:ascii="Calibri" w:eastAsia="Calibri" w:hAnsi="Calibri" w:cs="Calibri"/>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2B8"/>
    <w:pPr>
      <w:ind w:left="720"/>
      <w:contextualSpacing/>
    </w:pPr>
    <w:rPr>
      <w:rFonts w:ascii="Calibri" w:hAnsi="Calibri" w:cstheme="minorBidi"/>
      <w:sz w:val="22"/>
    </w:rPr>
  </w:style>
  <w:style w:type="character" w:styleId="FootnoteReference">
    <w:name w:val="footnote reference"/>
    <w:basedOn w:val="DefaultParagraphFont"/>
    <w:uiPriority w:val="99"/>
    <w:unhideWhenUsed/>
    <w:qFormat/>
    <w:rsid w:val="00C542B8"/>
    <w:rPr>
      <w:rFonts w:ascii="Calibri" w:hAnsi="Calibri"/>
      <w:vertAlign w:val="superscript"/>
    </w:rPr>
  </w:style>
  <w:style w:type="paragraph" w:styleId="FootnoteText">
    <w:name w:val="footnote text"/>
    <w:basedOn w:val="Normal"/>
    <w:link w:val="FootnoteTextChar"/>
    <w:uiPriority w:val="99"/>
    <w:semiHidden/>
    <w:unhideWhenUsed/>
    <w:rsid w:val="00C542B8"/>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C542B8"/>
    <w:rPr>
      <w:sz w:val="20"/>
      <w:szCs w:val="20"/>
      <w:lang w:val="de-DE"/>
    </w:rPr>
  </w:style>
  <w:style w:type="character" w:customStyle="1" w:styleId="Heading2Char">
    <w:name w:val="Heading 2 Char"/>
    <w:basedOn w:val="DefaultParagraphFont"/>
    <w:link w:val="Heading2"/>
    <w:uiPriority w:val="9"/>
    <w:rsid w:val="00F8610C"/>
    <w:rPr>
      <w:rFonts w:ascii="Calibri" w:eastAsia="Calibri" w:hAnsi="Calibri" w:cs="Calibri"/>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correspondence/jelinek-to-marby-11apr18-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dpr-info.eu/art-40-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oc.cloud/en/contact/request-the-eu-cloud-code-of-conduct.html" TargetMode="External"/><Relationship Id="rId5" Type="http://schemas.openxmlformats.org/officeDocument/2006/relationships/footnotes" Target="footnotes.xml"/><Relationship Id="rId10" Type="http://schemas.openxmlformats.org/officeDocument/2006/relationships/hyperlink" Target="https://cispe.cloud/code-of-conduct/" TargetMode="External"/><Relationship Id="rId4" Type="http://schemas.openxmlformats.org/officeDocument/2006/relationships/webSettings" Target="webSettings.xml"/><Relationship Id="rId9" Type="http://schemas.openxmlformats.org/officeDocument/2006/relationships/hyperlink" Target="https://www.twobirds.com/~/media/pdfs/gdpr-pdfs/43--guide-to-the-gdpr--codes-of-conduct-and-certifications.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2019-09-20T14:39:00Z</dcterms:created>
  <dcterms:modified xsi:type="dcterms:W3CDTF">2019-09-20T14:39:00Z</dcterms:modified>
</cp:coreProperties>
</file>