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71D27" w:rsidRDefault="00B109F3">
      <w:bookmarkStart w:id="0" w:name="_gjdgxs" w:colFirst="0" w:colLast="0"/>
      <w:bookmarkEnd w:id="0"/>
      <w:r>
        <w:t>The EPDP Team was tasked by the GNSO Council to address the following two questions:</w:t>
      </w:r>
    </w:p>
    <w:p w14:paraId="00000002" w14:textId="77777777" w:rsidR="00071D27" w:rsidRDefault="00071D27"/>
    <w:p w14:paraId="00000003" w14:textId="77777777" w:rsidR="00071D27" w:rsidRDefault="00B109F3">
      <w:pPr>
        <w:numPr>
          <w:ilvl w:val="0"/>
          <w:numId w:val="4"/>
        </w:numPr>
        <w:pBdr>
          <w:top w:val="nil"/>
          <w:left w:val="nil"/>
          <w:bottom w:val="nil"/>
          <w:right w:val="nil"/>
          <w:between w:val="nil"/>
        </w:pBdr>
        <w:shd w:val="clear" w:color="auto" w:fill="FFFFFF"/>
        <w:rPr>
          <w:color w:val="000000"/>
        </w:rPr>
      </w:pPr>
      <w:r>
        <w:rPr>
          <w:color w:val="000000"/>
        </w:rPr>
        <w:t xml:space="preserve">Whether any updates are required to the EPDP Phase 1 recommendation on this topic (“Registrars and Registry Operators are permitted to differentiate between registrations of legal and natural persons, but are not obligated to do </w:t>
      </w:r>
      <w:proofErr w:type="gramStart"/>
      <w:r>
        <w:rPr>
          <w:color w:val="000000"/>
        </w:rPr>
        <w:t>so“</w:t>
      </w:r>
      <w:proofErr w:type="gramEnd"/>
      <w:r>
        <w:rPr>
          <w:color w:val="000000"/>
        </w:rPr>
        <w:t xml:space="preserve">); </w:t>
      </w:r>
    </w:p>
    <w:p w14:paraId="00000004" w14:textId="77777777" w:rsidR="00071D27" w:rsidRDefault="00B109F3">
      <w:pPr>
        <w:numPr>
          <w:ilvl w:val="0"/>
          <w:numId w:val="4"/>
        </w:numPr>
        <w:pBdr>
          <w:top w:val="nil"/>
          <w:left w:val="nil"/>
          <w:bottom w:val="nil"/>
          <w:right w:val="nil"/>
          <w:between w:val="nil"/>
        </w:pBdr>
        <w:shd w:val="clear" w:color="auto" w:fill="FFFFFF"/>
        <w:rPr>
          <w:color w:val="000000"/>
        </w:rPr>
      </w:pPr>
      <w:r>
        <w:rPr>
          <w:color w:val="000000"/>
        </w:rPr>
        <w:t xml:space="preserve">What guidance, if any, can be provided to Registrars and/or Registries who differentiate between registrations of legal and natural persons. </w:t>
      </w:r>
    </w:p>
    <w:p w14:paraId="00000005" w14:textId="77777777" w:rsidR="00071D27" w:rsidRDefault="00071D27">
      <w:pPr>
        <w:pBdr>
          <w:top w:val="nil"/>
          <w:left w:val="nil"/>
          <w:bottom w:val="nil"/>
          <w:right w:val="nil"/>
          <w:between w:val="nil"/>
        </w:pBdr>
        <w:shd w:val="clear" w:color="auto" w:fill="FFFFFF"/>
        <w:rPr>
          <w:color w:val="000000"/>
        </w:rPr>
      </w:pPr>
    </w:p>
    <w:p w14:paraId="00000006" w14:textId="77777777" w:rsidR="00071D27" w:rsidRDefault="00B109F3">
      <w:pPr>
        <w:pBdr>
          <w:top w:val="nil"/>
          <w:left w:val="nil"/>
          <w:bottom w:val="nil"/>
          <w:right w:val="nil"/>
          <w:between w:val="nil"/>
        </w:pBdr>
        <w:shd w:val="clear" w:color="auto" w:fill="FFFFFF"/>
        <w:rPr>
          <w:color w:val="000000"/>
        </w:rPr>
      </w:pPr>
      <w:r>
        <w:rPr>
          <w:color w:val="000000"/>
        </w:rPr>
        <w:t xml:space="preserve">In addressing these questions, the EPDP Team started with a review of all relevant information, including (1) </w:t>
      </w:r>
      <w:hyperlink r:id="rId7">
        <w:r>
          <w:rPr>
            <w:color w:val="0563C1"/>
            <w:u w:val="single"/>
          </w:rPr>
          <w:t>the study</w:t>
        </w:r>
      </w:hyperlink>
      <w:r>
        <w:rPr>
          <w:color w:val="0260BF"/>
        </w:rPr>
        <w:t xml:space="preserve"> </w:t>
      </w:r>
      <w:r>
        <w:rPr>
          <w:color w:val="000000"/>
        </w:rPr>
        <w:t>undertaken by ICANN org,</w:t>
      </w:r>
      <w:r>
        <w:rPr>
          <w:color w:val="000000"/>
          <w:vertAlign w:val="superscript"/>
        </w:rPr>
        <w:footnoteReference w:id="1"/>
      </w:r>
      <w:r>
        <w:rPr>
          <w:color w:val="000000"/>
        </w:rPr>
        <w:t xml:space="preserve"> (2) the </w:t>
      </w:r>
      <w:hyperlink r:id="rId8">
        <w:r>
          <w:rPr>
            <w:color w:val="0563C1"/>
            <w:u w:val="single"/>
          </w:rPr>
          <w:t>legal guidance</w:t>
        </w:r>
      </w:hyperlink>
      <w:r>
        <w:rPr>
          <w:color w:val="0260BF"/>
        </w:rPr>
        <w:t xml:space="preserve"> </w:t>
      </w:r>
      <w:r>
        <w:rPr>
          <w:color w:val="000000"/>
        </w:rPr>
        <w:t xml:space="preserve">provided by Bird &amp; Bird, and (3) the substantive input provided on this topic during </w:t>
      </w:r>
      <w:hyperlink r:id="rId9">
        <w:r>
          <w:rPr>
            <w:color w:val="0563C1"/>
            <w:u w:val="single"/>
          </w:rPr>
          <w:t>the public comment forum on the addendum</w:t>
        </w:r>
      </w:hyperlink>
      <w:r>
        <w:rPr>
          <w:color w:val="000000"/>
        </w:rPr>
        <w:t xml:space="preserve">. Following the review of this information, the EPDP Team identified a number of clarifying questions, that, following review by the EPDP Team’s legal committee, were submitted to the </w:t>
      </w:r>
      <w:r>
        <w:t>Bird &amp; Bird</w:t>
      </w:r>
      <w:r>
        <w:rPr>
          <w:color w:val="000000"/>
        </w:rPr>
        <w:t xml:space="preserve"> (see </w:t>
      </w:r>
      <w:hyperlink r:id="rId10">
        <w:r>
          <w:rPr>
            <w:color w:val="0563C1"/>
            <w:u w:val="single"/>
          </w:rPr>
          <w:t>https://community.icann.org/x/xQhACQ</w:t>
        </w:r>
      </w:hyperlink>
      <w:r>
        <w:rPr>
          <w:color w:val="000000"/>
        </w:rPr>
        <w:t xml:space="preserve">). </w:t>
      </w:r>
    </w:p>
    <w:p w14:paraId="00000007" w14:textId="77777777" w:rsidR="00071D27" w:rsidRDefault="00071D27">
      <w:pPr>
        <w:pBdr>
          <w:top w:val="nil"/>
          <w:left w:val="nil"/>
          <w:bottom w:val="nil"/>
          <w:right w:val="nil"/>
          <w:between w:val="nil"/>
        </w:pBdr>
        <w:shd w:val="clear" w:color="auto" w:fill="FFFFFF"/>
        <w:rPr>
          <w:color w:val="000000"/>
        </w:rPr>
      </w:pPr>
    </w:p>
    <w:p w14:paraId="00000008" w14:textId="77777777" w:rsidR="00071D27" w:rsidRDefault="00B109F3">
      <w:pPr>
        <w:pBdr>
          <w:top w:val="nil"/>
          <w:left w:val="nil"/>
          <w:bottom w:val="nil"/>
          <w:right w:val="nil"/>
          <w:between w:val="nil"/>
        </w:pBdr>
        <w:shd w:val="clear" w:color="auto" w:fill="FFFFFF"/>
        <w:rPr>
          <w:color w:val="000000"/>
        </w:rPr>
      </w:pPr>
      <w:r>
        <w:rPr>
          <w:color w:val="000000"/>
        </w:rPr>
        <w:t xml:space="preserve">As part of its approach in dealing with these two questions, the EPDP Team agreed to commence with identifying possible guidance to Registrars and/or Registries who decide to differentiate between registrations of legal and natural persons. </w:t>
      </w:r>
    </w:p>
    <w:p w14:paraId="00000009" w14:textId="77777777" w:rsidR="00071D27" w:rsidRDefault="00071D27">
      <w:pPr>
        <w:pBdr>
          <w:top w:val="nil"/>
          <w:left w:val="nil"/>
          <w:bottom w:val="nil"/>
          <w:right w:val="nil"/>
          <w:between w:val="nil"/>
        </w:pBdr>
        <w:shd w:val="clear" w:color="auto" w:fill="FFFFFF"/>
        <w:rPr>
          <w:color w:val="000000"/>
        </w:rPr>
      </w:pPr>
    </w:p>
    <w:p w14:paraId="0000000A" w14:textId="77777777" w:rsidR="00071D27" w:rsidRDefault="00B109F3">
      <w:pPr>
        <w:shd w:val="clear" w:color="auto" w:fill="FFFFFF"/>
      </w:pPr>
      <w:r>
        <w:t>Definitions (note, these are derived from previous EPDP-related work, as indicated below):</w:t>
      </w:r>
    </w:p>
    <w:p w14:paraId="0000000B" w14:textId="77777777" w:rsidR="00071D27" w:rsidRDefault="00B109F3">
      <w:pPr>
        <w:numPr>
          <w:ilvl w:val="0"/>
          <w:numId w:val="5"/>
        </w:numPr>
        <w:shd w:val="clear" w:color="auto" w:fill="FFFFFF"/>
      </w:pPr>
      <w:r>
        <w:t>EPDP-p1-IRT: “Publication”, “Publish”, and “Published” means to provide Registration Data in the publicly accessible Registration Data Directory Services.</w:t>
      </w:r>
    </w:p>
    <w:p w14:paraId="0000000C" w14:textId="77777777" w:rsidR="00071D27" w:rsidRDefault="00B109F3">
      <w:pPr>
        <w:numPr>
          <w:ilvl w:val="0"/>
          <w:numId w:val="5"/>
        </w:numPr>
        <w:shd w:val="clear" w:color="auto" w:fill="FFFFFF"/>
      </w:pPr>
      <w:r>
        <w:t>EPDP-p1-IRT: "Registration Data" means the data element values collected from a natural or legal person or generated by Registrar or Registry Operator, in either case in connection with a Registered Name in accordance with Section 7 of this Policy.</w:t>
      </w:r>
    </w:p>
    <w:p w14:paraId="0000000D" w14:textId="77777777" w:rsidR="00071D27" w:rsidRDefault="00B109F3">
      <w:pPr>
        <w:numPr>
          <w:ilvl w:val="0"/>
          <w:numId w:val="5"/>
        </w:numPr>
        <w:shd w:val="clear" w:color="auto" w:fill="FFFFFF"/>
        <w:rPr>
          <w:rFonts w:ascii="Arial" w:eastAsia="Arial" w:hAnsi="Arial" w:cs="Arial"/>
          <w:color w:val="000000"/>
          <w:sz w:val="22"/>
          <w:szCs w:val="22"/>
        </w:rPr>
      </w:pPr>
      <w:r>
        <w:t>EPDP-P1 Final Report: Disclosure: The processing action whereby the Controller accepts responsibility for release of personal information to third parties upon request.</w:t>
      </w:r>
    </w:p>
    <w:p w14:paraId="0000000E" w14:textId="77777777" w:rsidR="00071D27" w:rsidRDefault="00071D27">
      <w:pPr>
        <w:pBdr>
          <w:top w:val="nil"/>
          <w:left w:val="nil"/>
          <w:bottom w:val="nil"/>
          <w:right w:val="nil"/>
          <w:between w:val="nil"/>
        </w:pBdr>
        <w:shd w:val="clear" w:color="auto" w:fill="FFFFFF"/>
        <w:rPr>
          <w:color w:val="000000"/>
        </w:rPr>
      </w:pPr>
    </w:p>
    <w:p w14:paraId="0000000F" w14:textId="77777777" w:rsidR="00071D27" w:rsidRDefault="00B109F3">
      <w:pPr>
        <w:pBdr>
          <w:top w:val="nil"/>
          <w:left w:val="nil"/>
          <w:bottom w:val="nil"/>
          <w:right w:val="nil"/>
          <w:between w:val="nil"/>
        </w:pBdr>
        <w:shd w:val="clear" w:color="auto" w:fill="FFFFFF"/>
        <w:rPr>
          <w:color w:val="000000"/>
        </w:rPr>
      </w:pPr>
      <w:commentRangeStart w:id="3"/>
      <w:commentRangeStart w:id="4"/>
      <w:r>
        <w:rPr>
          <w:b/>
          <w:color w:val="000000"/>
        </w:rPr>
        <w:t>Background Information and EPDP Team Observations</w:t>
      </w:r>
      <w:commentRangeEnd w:id="3"/>
      <w:r>
        <w:commentReference w:id="3"/>
      </w:r>
      <w:commentRangeEnd w:id="4"/>
      <w:r w:rsidR="0065130A">
        <w:rPr>
          <w:rStyle w:val="CommentReference"/>
        </w:rPr>
        <w:commentReference w:id="4"/>
      </w:r>
    </w:p>
    <w:p w14:paraId="00000010" w14:textId="77777777" w:rsidR="00071D27" w:rsidRDefault="00B109F3">
      <w:pPr>
        <w:pBdr>
          <w:top w:val="nil"/>
          <w:left w:val="nil"/>
          <w:bottom w:val="nil"/>
          <w:right w:val="nil"/>
          <w:between w:val="nil"/>
        </w:pBdr>
        <w:shd w:val="clear" w:color="auto" w:fill="FFFFFF"/>
        <w:rPr>
          <w:color w:val="000000"/>
        </w:rPr>
      </w:pPr>
      <w:r>
        <w:rPr>
          <w:color w:val="000000"/>
        </w:rPr>
        <w:t>In developing the guidance below, the EPDP Team would like to remind the Council and broader community of the following:</w:t>
      </w:r>
    </w:p>
    <w:p w14:paraId="7591B8F3" w14:textId="31D0E2D6" w:rsidR="0065130A" w:rsidRDefault="0065130A">
      <w:pPr>
        <w:pBdr>
          <w:top w:val="nil"/>
          <w:left w:val="nil"/>
          <w:bottom w:val="nil"/>
          <w:right w:val="nil"/>
          <w:between w:val="nil"/>
        </w:pBdr>
        <w:shd w:val="clear" w:color="auto" w:fill="FFFFFF"/>
        <w:rPr>
          <w:ins w:id="5" w:author="Microsoft Office User" w:date="2021-04-13T07:22:00Z"/>
          <w:color w:val="000000"/>
        </w:rPr>
      </w:pPr>
    </w:p>
    <w:p w14:paraId="359AF77F" w14:textId="2C462451" w:rsidR="0065130A" w:rsidRPr="0065130A" w:rsidRDefault="0065130A">
      <w:pPr>
        <w:pBdr>
          <w:top w:val="nil"/>
          <w:left w:val="nil"/>
          <w:bottom w:val="nil"/>
          <w:right w:val="nil"/>
          <w:between w:val="nil"/>
        </w:pBdr>
        <w:shd w:val="clear" w:color="auto" w:fill="FFFFFF"/>
        <w:rPr>
          <w:i/>
          <w:iCs/>
          <w:color w:val="000000"/>
          <w:rPrChange w:id="6" w:author="Microsoft Office User" w:date="2021-04-13T07:22:00Z">
            <w:rPr>
              <w:color w:val="000000"/>
            </w:rPr>
          </w:rPrChange>
        </w:rPr>
      </w:pPr>
      <w:ins w:id="7" w:author="Microsoft Office User" w:date="2021-04-13T07:22:00Z">
        <w:r>
          <w:rPr>
            <w:i/>
            <w:iCs/>
            <w:color w:val="000000"/>
          </w:rPr>
          <w:t>Scope of GDPR and other data protection legislation</w:t>
        </w:r>
      </w:ins>
    </w:p>
    <w:p w14:paraId="00000012" w14:textId="6E8514E1" w:rsidR="00071D27" w:rsidRDefault="00B109F3">
      <w:pPr>
        <w:numPr>
          <w:ilvl w:val="0"/>
          <w:numId w:val="1"/>
        </w:numPr>
        <w:pBdr>
          <w:top w:val="nil"/>
          <w:left w:val="nil"/>
          <w:bottom w:val="nil"/>
          <w:right w:val="nil"/>
          <w:between w:val="nil"/>
        </w:pBdr>
        <w:shd w:val="clear" w:color="auto" w:fill="FFFFFF"/>
        <w:rPr>
          <w:ins w:id="8" w:author="Microsoft Office User" w:date="2021-04-13T07:23:00Z"/>
          <w:color w:val="000000"/>
        </w:rPr>
      </w:pPr>
      <w:r>
        <w:rPr>
          <w:color w:val="000000"/>
        </w:rPr>
        <w:t>GDPR and other data protection legislation set out requirements for protecting personal data, not non-personal data.</w:t>
      </w:r>
    </w:p>
    <w:p w14:paraId="59F93C4D" w14:textId="77777777" w:rsidR="0065130A" w:rsidDel="0065130A" w:rsidRDefault="0065130A" w:rsidP="0065130A">
      <w:pPr>
        <w:numPr>
          <w:ilvl w:val="0"/>
          <w:numId w:val="1"/>
        </w:numPr>
        <w:pBdr>
          <w:top w:val="nil"/>
          <w:left w:val="nil"/>
          <w:bottom w:val="nil"/>
          <w:right w:val="nil"/>
          <w:between w:val="nil"/>
        </w:pBdr>
        <w:shd w:val="clear" w:color="auto" w:fill="FFFFFF"/>
        <w:rPr>
          <w:del w:id="9" w:author="Microsoft Office User" w:date="2021-04-13T07:23:00Z"/>
          <w:moveTo w:id="10" w:author="Microsoft Office User" w:date="2021-04-13T07:23:00Z"/>
          <w:color w:val="000000"/>
        </w:rPr>
      </w:pPr>
      <w:moveToRangeStart w:id="11" w:author="Microsoft Office User" w:date="2021-04-13T07:23:00Z" w:name="move69191036"/>
      <w:moveTo w:id="12" w:author="Microsoft Office User" w:date="2021-04-13T07:23:00Z">
        <w:r>
          <w:rPr>
            <w:color w:val="000000"/>
          </w:rPr>
          <w:lastRenderedPageBreak/>
          <w:t xml:space="preserve">Distinguishing between legal and natural person data </w:t>
        </w:r>
        <w:r>
          <w:t>alone</w:t>
        </w:r>
        <w:r>
          <w:rPr>
            <w:color w:val="000000"/>
          </w:rPr>
          <w:t xml:space="preserve"> may not be dispositive, as the data provided by legal persons may include personal data that is protected under data protection law, such as GDPR. </w:t>
        </w:r>
      </w:moveTo>
    </w:p>
    <w:moveToRangeEnd w:id="11"/>
    <w:p w14:paraId="027EEA90" w14:textId="77777777" w:rsidR="0065130A" w:rsidRPr="0065130A" w:rsidRDefault="0065130A" w:rsidP="0065130A">
      <w:pPr>
        <w:numPr>
          <w:ilvl w:val="0"/>
          <w:numId w:val="1"/>
        </w:numPr>
        <w:pBdr>
          <w:top w:val="nil"/>
          <w:left w:val="nil"/>
          <w:bottom w:val="nil"/>
          <w:right w:val="nil"/>
          <w:between w:val="nil"/>
        </w:pBdr>
        <w:shd w:val="clear" w:color="auto" w:fill="FFFFFF"/>
        <w:rPr>
          <w:color w:val="000000"/>
        </w:rPr>
      </w:pPr>
    </w:p>
    <w:p w14:paraId="730C0AC4" w14:textId="30060800" w:rsidR="0065130A" w:rsidRDefault="0065130A" w:rsidP="0065130A">
      <w:pPr>
        <w:pBdr>
          <w:top w:val="nil"/>
          <w:left w:val="nil"/>
          <w:bottom w:val="nil"/>
          <w:right w:val="nil"/>
          <w:between w:val="nil"/>
        </w:pBdr>
        <w:shd w:val="clear" w:color="auto" w:fill="FFFFFF"/>
        <w:rPr>
          <w:ins w:id="13" w:author="Microsoft Office User" w:date="2021-04-13T07:23:00Z"/>
          <w:color w:val="000000"/>
        </w:rPr>
      </w:pPr>
    </w:p>
    <w:p w14:paraId="726DB925" w14:textId="1EE9579A" w:rsidR="0065130A" w:rsidRPr="0065130A" w:rsidRDefault="0065130A">
      <w:pPr>
        <w:pBdr>
          <w:top w:val="nil"/>
          <w:left w:val="nil"/>
          <w:bottom w:val="nil"/>
          <w:right w:val="nil"/>
          <w:between w:val="nil"/>
        </w:pBdr>
        <w:shd w:val="clear" w:color="auto" w:fill="FFFFFF"/>
        <w:rPr>
          <w:ins w:id="14" w:author="Microsoft Office User" w:date="2021-04-13T07:22:00Z"/>
          <w:i/>
          <w:iCs/>
          <w:color w:val="000000"/>
          <w:rPrChange w:id="15" w:author="Microsoft Office User" w:date="2021-04-13T07:23:00Z">
            <w:rPr>
              <w:ins w:id="16" w:author="Microsoft Office User" w:date="2021-04-13T07:22:00Z"/>
              <w:color w:val="000000"/>
            </w:rPr>
          </w:rPrChange>
        </w:rPr>
        <w:pPrChange w:id="17" w:author="Microsoft Office User" w:date="2021-04-13T07:22:00Z">
          <w:pPr>
            <w:numPr>
              <w:numId w:val="1"/>
            </w:numPr>
            <w:pBdr>
              <w:top w:val="nil"/>
              <w:left w:val="nil"/>
              <w:bottom w:val="nil"/>
              <w:right w:val="nil"/>
              <w:between w:val="nil"/>
            </w:pBdr>
            <w:shd w:val="clear" w:color="auto" w:fill="FFFFFF"/>
            <w:ind w:left="720" w:hanging="360"/>
          </w:pPr>
        </w:pPrChange>
      </w:pPr>
      <w:ins w:id="18" w:author="Microsoft Office User" w:date="2021-04-13T07:23:00Z">
        <w:r>
          <w:rPr>
            <w:i/>
            <w:iCs/>
            <w:color w:val="000000"/>
          </w:rPr>
          <w:t>Relevant EPDP Phase 1 Recommendations</w:t>
        </w:r>
      </w:ins>
    </w:p>
    <w:p w14:paraId="00000013" w14:textId="7897CFCE" w:rsidR="00071D27" w:rsidRDefault="00B109F3">
      <w:pPr>
        <w:numPr>
          <w:ilvl w:val="0"/>
          <w:numId w:val="1"/>
        </w:numPr>
        <w:pBdr>
          <w:top w:val="nil"/>
          <w:left w:val="nil"/>
          <w:bottom w:val="nil"/>
          <w:right w:val="nil"/>
          <w:between w:val="nil"/>
        </w:pBdr>
        <w:shd w:val="clear" w:color="auto" w:fill="FFFFFF"/>
        <w:rPr>
          <w:color w:val="000000"/>
        </w:rPr>
      </w:pPr>
      <w:r>
        <w:rPr>
          <w:color w:val="000000"/>
        </w:rPr>
        <w:t>Per EPDP Phase 1</w:t>
      </w:r>
      <w:r>
        <w:rPr>
          <w:color w:val="000000"/>
          <w:vertAlign w:val="superscript"/>
        </w:rPr>
        <w:footnoteReference w:id="2"/>
      </w:r>
      <w:r>
        <w:rPr>
          <w:color w:val="000000"/>
        </w:rPr>
        <w:t xml:space="preserve"> </w:t>
      </w:r>
      <w:r>
        <w:t>R</w:t>
      </w:r>
      <w:r>
        <w:rPr>
          <w:color w:val="000000"/>
        </w:rPr>
        <w:t>ecommendation #6, “as soon as commercially reasonable, Registrar must provide the opportunity for the Registered Name Holder to provide its Consent to publish redacted contact information, as well as the email address, in the RDS for the sponsoring registrar”.</w:t>
      </w:r>
    </w:p>
    <w:p w14:paraId="00000014" w14:textId="77777777" w:rsidR="00071D27" w:rsidRDefault="00B109F3">
      <w:pPr>
        <w:numPr>
          <w:ilvl w:val="0"/>
          <w:numId w:val="1"/>
        </w:numPr>
        <w:shd w:val="clear" w:color="auto" w:fill="FFFFFF"/>
      </w:pPr>
      <w:r>
        <w:t xml:space="preserve">Per the EPDP Phase 1 recommendation #17 “Registrars and Registry Operators are permitted to differentiate between registrations of legal and natural </w:t>
      </w:r>
      <w:proofErr w:type="gramStart"/>
      <w:r>
        <w:t>persons, but</w:t>
      </w:r>
      <w:proofErr w:type="gramEnd"/>
      <w:r>
        <w:t xml:space="preserve"> are not obligated to do so”. </w:t>
      </w:r>
    </w:p>
    <w:p w14:paraId="00000015" w14:textId="77395BD6" w:rsidR="00071D27" w:rsidDel="0065130A" w:rsidRDefault="00B109F3">
      <w:pPr>
        <w:numPr>
          <w:ilvl w:val="0"/>
          <w:numId w:val="1"/>
        </w:numPr>
        <w:pBdr>
          <w:top w:val="nil"/>
          <w:left w:val="nil"/>
          <w:bottom w:val="nil"/>
          <w:right w:val="nil"/>
          <w:between w:val="nil"/>
        </w:pBdr>
        <w:shd w:val="clear" w:color="auto" w:fill="FFFFFF"/>
        <w:rPr>
          <w:moveFrom w:id="24" w:author="Microsoft Office User" w:date="2021-04-13T07:23:00Z"/>
          <w:color w:val="000000"/>
        </w:rPr>
      </w:pPr>
      <w:moveFromRangeStart w:id="25" w:author="Microsoft Office User" w:date="2021-04-13T07:23:00Z" w:name="move69191036"/>
      <w:commentRangeStart w:id="26"/>
      <w:commentRangeStart w:id="27"/>
      <w:commentRangeStart w:id="28"/>
      <w:commentRangeStart w:id="29"/>
      <w:commentRangeStart w:id="30"/>
      <w:moveFrom w:id="31" w:author="Microsoft Office User" w:date="2021-04-13T07:23:00Z">
        <w:r w:rsidDel="0065130A">
          <w:rPr>
            <w:color w:val="000000"/>
          </w:rPr>
          <w:t xml:space="preserve">Distinguishing between legal and natural person data </w:t>
        </w:r>
        <w:r w:rsidDel="0065130A">
          <w:t>alone</w:t>
        </w:r>
        <w:r w:rsidDel="0065130A">
          <w:rPr>
            <w:color w:val="000000"/>
          </w:rPr>
          <w:t xml:space="preserve"> may not be dispositive, as the data provided by legal persons may include personal data that is protected under data protection law, such as GDPR. </w:t>
        </w:r>
      </w:moveFrom>
    </w:p>
    <w:p w14:paraId="7711874B" w14:textId="0888145C" w:rsidR="0065130A" w:rsidRDefault="00B109F3" w:rsidP="0065130A">
      <w:pPr>
        <w:pBdr>
          <w:top w:val="nil"/>
          <w:left w:val="nil"/>
          <w:bottom w:val="nil"/>
          <w:right w:val="nil"/>
          <w:between w:val="nil"/>
        </w:pBdr>
        <w:shd w:val="clear" w:color="auto" w:fill="FFFFFF"/>
        <w:rPr>
          <w:ins w:id="32" w:author="Microsoft Office User" w:date="2021-04-13T07:24:00Z"/>
          <w:color w:val="000000"/>
        </w:rPr>
      </w:pPr>
      <w:moveFromRangeStart w:id="33" w:author="Microsoft Office User" w:date="2021-04-13T07:24:00Z" w:name="move69191084"/>
      <w:moveFromRangeEnd w:id="25"/>
      <w:moveFrom w:id="34" w:author="Microsoft Office User" w:date="2021-04-13T07:24:00Z">
        <w:r w:rsidDel="0065130A">
          <w:rPr>
            <w:color w:val="000000"/>
          </w:rPr>
          <w:t xml:space="preserve">Registrars operate different business models (Retail, Reseller, Brand Protection, Others), and one-size-fits-all or overly prescriptive guidance does not properly consider the range of registrar business models and the various process flows the different business models may require. Instead, </w:t>
        </w:r>
        <w:r w:rsidDel="0065130A">
          <w:t>R</w:t>
        </w:r>
        <w:r w:rsidDel="0065130A">
          <w:rPr>
            <w:color w:val="000000"/>
          </w:rPr>
          <w:t xml:space="preserve">egistrars desire flexibility to implement differentiation in a manner that best suits their business model and reduces the risks associated with differentiation to an acceptable level for that particular Registrar. </w:t>
        </w:r>
      </w:moveFrom>
      <w:moveFromRangeEnd w:id="33"/>
    </w:p>
    <w:p w14:paraId="337C291C" w14:textId="10C561FC" w:rsidR="0065130A" w:rsidRPr="0065130A" w:rsidRDefault="0065130A">
      <w:pPr>
        <w:pBdr>
          <w:top w:val="nil"/>
          <w:left w:val="nil"/>
          <w:bottom w:val="nil"/>
          <w:right w:val="nil"/>
          <w:between w:val="nil"/>
        </w:pBdr>
        <w:shd w:val="clear" w:color="auto" w:fill="FFFFFF"/>
        <w:rPr>
          <w:i/>
          <w:iCs/>
          <w:color w:val="000000"/>
          <w:rPrChange w:id="35" w:author="Microsoft Office User" w:date="2021-04-13T07:24:00Z">
            <w:rPr>
              <w:color w:val="000000"/>
            </w:rPr>
          </w:rPrChange>
        </w:rPr>
        <w:pPrChange w:id="36" w:author="Microsoft Office User" w:date="2021-04-13T07:23:00Z">
          <w:pPr>
            <w:numPr>
              <w:numId w:val="1"/>
            </w:numPr>
            <w:pBdr>
              <w:top w:val="nil"/>
              <w:left w:val="nil"/>
              <w:bottom w:val="nil"/>
              <w:right w:val="nil"/>
              <w:between w:val="nil"/>
            </w:pBdr>
            <w:shd w:val="clear" w:color="auto" w:fill="FFFFFF"/>
            <w:ind w:left="720" w:hanging="360"/>
          </w:pPr>
        </w:pPrChange>
      </w:pPr>
      <w:ins w:id="37" w:author="Microsoft Office User" w:date="2021-04-13T07:24:00Z">
        <w:r>
          <w:rPr>
            <w:i/>
            <w:iCs/>
            <w:color w:val="000000"/>
          </w:rPr>
          <w:t>Relevant EPDP Phase 2 Recommendations</w:t>
        </w:r>
      </w:ins>
    </w:p>
    <w:p w14:paraId="00000017" w14:textId="082FE86E" w:rsidR="00071D27" w:rsidRDefault="00B109F3">
      <w:pPr>
        <w:numPr>
          <w:ilvl w:val="0"/>
          <w:numId w:val="1"/>
        </w:numPr>
        <w:pBdr>
          <w:top w:val="nil"/>
          <w:left w:val="nil"/>
          <w:bottom w:val="nil"/>
          <w:right w:val="nil"/>
          <w:between w:val="nil"/>
        </w:pBdr>
        <w:shd w:val="clear" w:color="auto" w:fill="FFFFFF"/>
        <w:rPr>
          <w:color w:val="000000"/>
        </w:rPr>
      </w:pPr>
      <w:r>
        <w:rPr>
          <w:color w:val="000000"/>
        </w:rPr>
        <w:t>Per Phase 2</w:t>
      </w:r>
      <w:r>
        <w:rPr>
          <w:color w:val="000000"/>
          <w:vertAlign w:val="superscript"/>
        </w:rPr>
        <w:footnoteReference w:id="3"/>
      </w:r>
      <w:r>
        <w:rPr>
          <w:color w:val="000000"/>
        </w:rPr>
        <w:t xml:space="preserve"> Final Report </w:t>
      </w:r>
      <w:r>
        <w:t>R</w:t>
      </w:r>
      <w:r>
        <w:rPr>
          <w:color w:val="000000"/>
        </w:rPr>
        <w:t xml:space="preserve">ecommendation #9.4.4, which addresses automation of SSAD processing: “the EPDP Team recommends that the following types of disclosure requests, for which legal permissibility has been indicated under GDPR for full automation (in-take as well as processing of disclosure decision) MUST be automated from the time of the launch of the SSAD (…) No personal data on registration record that has been previously disclosed by the Contracted Party.” In other words, if a Contracted Party manually reviews a disclosure request pursuant to EPDP Phase 2 Recommendation 8, and determines there is no personal data present, the Contracted Party must disclose the requested data to the third party. </w:t>
      </w:r>
      <w:commentRangeStart w:id="41"/>
      <w:commentRangeStart w:id="42"/>
      <w:commentRangeStart w:id="43"/>
      <w:r>
        <w:rPr>
          <w:color w:val="000000"/>
        </w:rPr>
        <w:t xml:space="preserve">Following disclosure, the Contracted Party must </w:t>
      </w:r>
      <w:del w:id="44" w:author="Microsoft Office User" w:date="2021-04-13T07:36:00Z">
        <w:r w:rsidDel="00B8393B">
          <w:rPr>
            <w:color w:val="000000"/>
          </w:rPr>
          <w:delText xml:space="preserve">flag </w:delText>
        </w:r>
      </w:del>
      <w:ins w:id="45" w:author="Microsoft Office User" w:date="2021-04-13T07:36:00Z">
        <w:r w:rsidR="00B8393B">
          <w:rPr>
            <w:color w:val="000000"/>
          </w:rPr>
          <w:t xml:space="preserve">mark </w:t>
        </w:r>
      </w:ins>
      <w:r>
        <w:rPr>
          <w:color w:val="000000"/>
        </w:rPr>
        <w:t>the domain name for automated disclosure for future disclosure requests associated with that domain name.</w:t>
      </w:r>
      <w:ins w:id="46" w:author="Microsoft Office User" w:date="2021-04-13T07:37:00Z">
        <w:r w:rsidR="00B8393B">
          <w:rPr>
            <w:rStyle w:val="FootnoteReference"/>
            <w:color w:val="000000"/>
          </w:rPr>
          <w:footnoteReference w:id="4"/>
        </w:r>
      </w:ins>
      <w:r>
        <w:rPr>
          <w:color w:val="000000"/>
        </w:rPr>
        <w:t xml:space="preserve"> </w:t>
      </w:r>
      <w:commentRangeEnd w:id="41"/>
      <w:r>
        <w:commentReference w:id="41"/>
      </w:r>
      <w:commentRangeEnd w:id="42"/>
      <w:commentRangeEnd w:id="43"/>
      <w:r w:rsidR="00B8393B">
        <w:rPr>
          <w:rStyle w:val="CommentReference"/>
        </w:rPr>
        <w:commentReference w:id="42"/>
      </w:r>
      <w:r>
        <w:commentReference w:id="43"/>
      </w:r>
    </w:p>
    <w:p w14:paraId="00000018" w14:textId="77777777" w:rsidR="00071D27" w:rsidRDefault="00B109F3">
      <w:pPr>
        <w:numPr>
          <w:ilvl w:val="0"/>
          <w:numId w:val="1"/>
        </w:numPr>
        <w:pBdr>
          <w:top w:val="nil"/>
          <w:left w:val="nil"/>
          <w:bottom w:val="nil"/>
          <w:right w:val="nil"/>
          <w:between w:val="nil"/>
        </w:pBdr>
        <w:shd w:val="clear" w:color="auto" w:fill="FFFFFF"/>
      </w:pPr>
      <w:r>
        <w:rPr>
          <w:color w:val="000000"/>
        </w:rPr>
        <w:t>Per Phase 2 Final Report Recommendation #8.7.1, if the Contracted Party receives a request from the SSAD Central Gateway Manager and the Contracted Party has determined this to be a valid request, “</w:t>
      </w:r>
      <w:r>
        <w:rPr>
          <w:sz w:val="23"/>
          <w:szCs w:val="23"/>
        </w:rPr>
        <w:t>if, following the evaluation of the underlying data, the Contracted Party reasonably determines that disclosing the requested data elements would not result in the disclosure of personal data, the Contracted Party MUST disclose the data, unless the disclosure is prohibited under applicable law”.</w:t>
      </w:r>
      <w:r>
        <w:rPr>
          <w:color w:val="000000"/>
        </w:rPr>
        <w:t xml:space="preserve"> </w:t>
      </w:r>
      <w:commentRangeEnd w:id="26"/>
      <w:r>
        <w:commentReference w:id="26"/>
      </w:r>
      <w:commentRangeEnd w:id="27"/>
      <w:r>
        <w:commentReference w:id="27"/>
      </w:r>
      <w:commentRangeEnd w:id="28"/>
      <w:r>
        <w:commentReference w:id="28"/>
      </w:r>
      <w:commentRangeEnd w:id="29"/>
      <w:r>
        <w:commentReference w:id="29"/>
      </w:r>
      <w:commentRangeEnd w:id="30"/>
      <w:r>
        <w:commentReference w:id="30"/>
      </w:r>
    </w:p>
    <w:p w14:paraId="00000019" w14:textId="6781CFA8" w:rsidR="00071D27" w:rsidRDefault="00071D27">
      <w:pPr>
        <w:pBdr>
          <w:top w:val="nil"/>
          <w:left w:val="nil"/>
          <w:bottom w:val="nil"/>
          <w:right w:val="nil"/>
          <w:between w:val="nil"/>
        </w:pBdr>
        <w:shd w:val="clear" w:color="auto" w:fill="FFFFFF"/>
        <w:rPr>
          <w:ins w:id="53" w:author="Microsoft Office User" w:date="2021-04-13T07:24:00Z"/>
          <w:color w:val="000000"/>
        </w:rPr>
      </w:pPr>
    </w:p>
    <w:p w14:paraId="7A084FBF" w14:textId="5BC7FBDE" w:rsidR="0065130A" w:rsidRDefault="0065130A">
      <w:pPr>
        <w:pBdr>
          <w:top w:val="nil"/>
          <w:left w:val="nil"/>
          <w:bottom w:val="nil"/>
          <w:right w:val="nil"/>
          <w:between w:val="nil"/>
        </w:pBdr>
        <w:shd w:val="clear" w:color="auto" w:fill="FFFFFF"/>
        <w:rPr>
          <w:ins w:id="54" w:author="Microsoft Office User" w:date="2021-04-13T07:24:00Z"/>
          <w:i/>
          <w:iCs/>
          <w:color w:val="000000"/>
        </w:rPr>
      </w:pPr>
      <w:ins w:id="55" w:author="Microsoft Office User" w:date="2021-04-13T07:24:00Z">
        <w:r>
          <w:rPr>
            <w:i/>
            <w:iCs/>
            <w:color w:val="000000"/>
          </w:rPr>
          <w:t>Registrar Business Models</w:t>
        </w:r>
      </w:ins>
    </w:p>
    <w:p w14:paraId="4D59BE10" w14:textId="77777777" w:rsidR="0065130A" w:rsidRDefault="0065130A">
      <w:pPr>
        <w:numPr>
          <w:ilvl w:val="0"/>
          <w:numId w:val="1"/>
        </w:numPr>
        <w:pBdr>
          <w:top w:val="nil"/>
          <w:left w:val="nil"/>
          <w:bottom w:val="nil"/>
          <w:right w:val="nil"/>
          <w:between w:val="nil"/>
        </w:pBdr>
        <w:shd w:val="clear" w:color="auto" w:fill="FFFFFF"/>
        <w:rPr>
          <w:moveTo w:id="56" w:author="Microsoft Office User" w:date="2021-04-13T07:24:00Z"/>
          <w:color w:val="000000"/>
        </w:rPr>
        <w:pPrChange w:id="57" w:author="Microsoft Office User" w:date="2021-04-13T07:24:00Z">
          <w:pPr>
            <w:numPr>
              <w:numId w:val="7"/>
            </w:numPr>
            <w:pBdr>
              <w:top w:val="nil"/>
              <w:left w:val="nil"/>
              <w:bottom w:val="nil"/>
              <w:right w:val="nil"/>
              <w:between w:val="nil"/>
            </w:pBdr>
            <w:shd w:val="clear" w:color="auto" w:fill="FFFFFF"/>
            <w:ind w:left="720" w:hanging="360"/>
          </w:pPr>
        </w:pPrChange>
      </w:pPr>
      <w:moveToRangeStart w:id="58" w:author="Microsoft Office User" w:date="2021-04-13T07:24:00Z" w:name="move69191084"/>
      <w:moveTo w:id="59" w:author="Microsoft Office User" w:date="2021-04-13T07:24:00Z">
        <w:r>
          <w:rPr>
            <w:color w:val="000000"/>
          </w:rPr>
          <w:t xml:space="preserve">Registrars operate different business models (Retail, Reseller, Brand Protection, Others), and one-size-fits-all or overly prescriptive guidance does not properly consider the range of registrar business models and the various process flows the different business models may require. Instead, </w:t>
        </w:r>
        <w:proofErr w:type="gramStart"/>
        <w:r>
          <w:t>R</w:t>
        </w:r>
        <w:r>
          <w:rPr>
            <w:color w:val="000000"/>
          </w:rPr>
          <w:t>egistrars</w:t>
        </w:r>
        <w:proofErr w:type="gramEnd"/>
        <w:r>
          <w:rPr>
            <w:color w:val="000000"/>
          </w:rPr>
          <w:t xml:space="preserve"> desire flexibility to implement differentiation in a manner that best suits their business model and reduces the risks associated with differentiation to an acceptable level for that particular Registrar. </w:t>
        </w:r>
      </w:moveTo>
    </w:p>
    <w:moveToRangeEnd w:id="58"/>
    <w:p w14:paraId="09B56831" w14:textId="77777777" w:rsidR="0065130A" w:rsidRDefault="0065130A">
      <w:pPr>
        <w:pBdr>
          <w:top w:val="nil"/>
          <w:left w:val="nil"/>
          <w:bottom w:val="nil"/>
          <w:right w:val="nil"/>
          <w:between w:val="nil"/>
        </w:pBdr>
        <w:shd w:val="clear" w:color="auto" w:fill="FFFFFF"/>
        <w:rPr>
          <w:color w:val="000000"/>
        </w:rPr>
      </w:pPr>
    </w:p>
    <w:p w14:paraId="0000001A" w14:textId="77777777" w:rsidR="00071D27" w:rsidRDefault="00B109F3">
      <w:pPr>
        <w:pBdr>
          <w:top w:val="nil"/>
          <w:left w:val="nil"/>
          <w:bottom w:val="nil"/>
          <w:right w:val="nil"/>
          <w:between w:val="nil"/>
        </w:pBdr>
        <w:shd w:val="clear" w:color="auto" w:fill="FFFFFF"/>
        <w:rPr>
          <w:b/>
          <w:color w:val="000000"/>
        </w:rPr>
      </w:pPr>
      <w:commentRangeStart w:id="60"/>
      <w:commentRangeStart w:id="61"/>
      <w:commentRangeStart w:id="62"/>
      <w:commentRangeStart w:id="63"/>
      <w:r>
        <w:rPr>
          <w:b/>
          <w:color w:val="000000"/>
        </w:rPr>
        <w:t>Proposed Guidance</w:t>
      </w:r>
      <w:commentRangeEnd w:id="60"/>
      <w:r>
        <w:commentReference w:id="60"/>
      </w:r>
      <w:commentRangeEnd w:id="61"/>
      <w:r>
        <w:commentReference w:id="61"/>
      </w:r>
      <w:commentRangeEnd w:id="62"/>
      <w:r>
        <w:commentReference w:id="62"/>
      </w:r>
      <w:commentRangeEnd w:id="63"/>
      <w:r>
        <w:commentReference w:id="63"/>
      </w:r>
    </w:p>
    <w:p w14:paraId="0000001B" w14:textId="77777777" w:rsidR="00071D27" w:rsidRDefault="00071D27">
      <w:pPr>
        <w:pBdr>
          <w:top w:val="nil"/>
          <w:left w:val="nil"/>
          <w:bottom w:val="nil"/>
          <w:right w:val="nil"/>
          <w:between w:val="nil"/>
        </w:pBdr>
        <w:shd w:val="clear" w:color="auto" w:fill="FFFFFF"/>
        <w:rPr>
          <w:color w:val="000000"/>
        </w:rPr>
      </w:pPr>
    </w:p>
    <w:p w14:paraId="0000001C" w14:textId="77777777" w:rsidR="00071D27" w:rsidRDefault="00B109F3">
      <w:pPr>
        <w:pBdr>
          <w:top w:val="nil"/>
          <w:left w:val="nil"/>
          <w:bottom w:val="nil"/>
          <w:right w:val="nil"/>
          <w:between w:val="nil"/>
        </w:pBdr>
        <w:shd w:val="clear" w:color="auto" w:fill="FFFFFF"/>
        <w:rPr>
          <w:color w:val="000000"/>
        </w:rPr>
      </w:pPr>
      <w:r>
        <w:lastRenderedPageBreak/>
        <w:t>T</w:t>
      </w:r>
      <w:r>
        <w:rPr>
          <w:color w:val="000000"/>
        </w:rPr>
        <w:t xml:space="preserve">he EPDP Team would like to put forward the following guidance to assist Registrars who want to differentiate between registrations of natural and legal persons, or those of legal persons containing personal and non-personal data. </w:t>
      </w:r>
    </w:p>
    <w:p w14:paraId="0000001D" w14:textId="77777777" w:rsidR="00071D27" w:rsidRDefault="00071D27">
      <w:pPr>
        <w:pBdr>
          <w:top w:val="nil"/>
          <w:left w:val="nil"/>
          <w:bottom w:val="nil"/>
          <w:right w:val="nil"/>
          <w:between w:val="nil"/>
        </w:pBdr>
        <w:shd w:val="clear" w:color="auto" w:fill="FFFFFF"/>
        <w:rPr>
          <w:color w:val="000000"/>
        </w:rPr>
      </w:pPr>
    </w:p>
    <w:p w14:paraId="0000001E" w14:textId="77777777" w:rsidR="00071D27" w:rsidRDefault="00B109F3">
      <w:pPr>
        <w:numPr>
          <w:ilvl w:val="0"/>
          <w:numId w:val="2"/>
        </w:numPr>
        <w:pBdr>
          <w:top w:val="nil"/>
          <w:left w:val="nil"/>
          <w:bottom w:val="nil"/>
          <w:right w:val="nil"/>
          <w:between w:val="nil"/>
        </w:pBdr>
        <w:shd w:val="clear" w:color="auto" w:fill="FFFFFF"/>
        <w:rPr>
          <w:color w:val="000000"/>
        </w:rPr>
      </w:pPr>
      <w:r>
        <w:rPr>
          <w:color w:val="000000"/>
        </w:rPr>
        <w:t xml:space="preserve">Differentiation between </w:t>
      </w:r>
      <w:commentRangeStart w:id="64"/>
      <w:commentRangeStart w:id="65"/>
      <w:commentRangeStart w:id="66"/>
      <w:r>
        <w:rPr>
          <w:color w:val="000000"/>
        </w:rPr>
        <w:t>the data sets of natural and legal persons</w:t>
      </w:r>
      <w:commentRangeEnd w:id="64"/>
      <w:r>
        <w:commentReference w:id="64"/>
      </w:r>
      <w:commentRangeEnd w:id="65"/>
      <w:r>
        <w:commentReference w:id="65"/>
      </w:r>
      <w:commentRangeEnd w:id="66"/>
      <w:r w:rsidR="00B8393B">
        <w:rPr>
          <w:rStyle w:val="CommentReference"/>
        </w:rPr>
        <w:commentReference w:id="66"/>
      </w:r>
      <w:r>
        <w:rPr>
          <w:color w:val="000000"/>
        </w:rPr>
        <w:t xml:space="preserve"> could </w:t>
      </w:r>
      <w:ins w:id="67" w:author="Laureen Kapin" w:date="2021-04-12T19:34:00Z">
        <w:r>
          <w:rPr>
            <w:color w:val="000000"/>
          </w:rPr>
          <w:t xml:space="preserve">typically </w:t>
        </w:r>
      </w:ins>
      <w:r>
        <w:rPr>
          <w:color w:val="000000"/>
        </w:rPr>
        <w:t xml:space="preserve">occur at the time of registration. However, some EPDP Team members have indicated that this may not be possible or practical in all circumstances, including for certain registrar business models.  </w:t>
      </w:r>
    </w:p>
    <w:p w14:paraId="0000001F" w14:textId="30F689E3" w:rsidR="00071D27" w:rsidRDefault="00B109F3">
      <w:pPr>
        <w:numPr>
          <w:ilvl w:val="0"/>
          <w:numId w:val="2"/>
        </w:numPr>
        <w:pBdr>
          <w:top w:val="nil"/>
          <w:left w:val="nil"/>
          <w:bottom w:val="nil"/>
          <w:right w:val="nil"/>
          <w:between w:val="nil"/>
        </w:pBdr>
        <w:shd w:val="clear" w:color="auto" w:fill="FFFFFF"/>
        <w:rPr>
          <w:color w:val="000000"/>
        </w:rPr>
      </w:pPr>
      <w:r>
        <w:rPr>
          <w:color w:val="000000"/>
        </w:rPr>
        <w:t xml:space="preserve">As part of the implementation, Registrars </w:t>
      </w:r>
      <w:r>
        <w:t>sh</w:t>
      </w:r>
      <w:r>
        <w:rPr>
          <w:color w:val="000000"/>
        </w:rPr>
        <w:t xml:space="preserve">ould consider using a type of flag in the </w:t>
      </w:r>
      <w:commentRangeStart w:id="68"/>
      <w:commentRangeStart w:id="69"/>
      <w:commentRangeStart w:id="70"/>
      <w:commentRangeStart w:id="71"/>
      <w:r>
        <w:rPr>
          <w:color w:val="000000"/>
        </w:rPr>
        <w:t>RDDS or their own data sets</w:t>
      </w:r>
      <w:commentRangeEnd w:id="68"/>
      <w:r>
        <w:commentReference w:id="68"/>
      </w:r>
      <w:commentRangeEnd w:id="69"/>
      <w:r>
        <w:commentReference w:id="69"/>
      </w:r>
      <w:commentRangeEnd w:id="70"/>
      <w:r>
        <w:commentReference w:id="70"/>
      </w:r>
      <w:commentRangeEnd w:id="71"/>
      <w:r>
        <w:commentReference w:id="71"/>
      </w:r>
      <w:r>
        <w:rPr>
          <w:color w:val="000000"/>
        </w:rPr>
        <w:t xml:space="preserve"> that would indicate the type of </w:t>
      </w:r>
      <w:commentRangeStart w:id="72"/>
      <w:commentRangeStart w:id="73"/>
      <w:r>
        <w:rPr>
          <w:color w:val="000000"/>
        </w:rPr>
        <w:t xml:space="preserve">data </w:t>
      </w:r>
      <w:commentRangeEnd w:id="72"/>
      <w:r>
        <w:commentReference w:id="72"/>
      </w:r>
      <w:commentRangeEnd w:id="73"/>
      <w:r w:rsidR="00B8393B">
        <w:rPr>
          <w:rStyle w:val="CommentReference"/>
        </w:rPr>
        <w:commentReference w:id="73"/>
      </w:r>
      <w:r>
        <w:rPr>
          <w:color w:val="000000"/>
        </w:rPr>
        <w:t xml:space="preserve">it concerns (personal or non-personal data) as this could facilitate review of disclosure requests via SSAD and </w:t>
      </w:r>
      <w:commentRangeStart w:id="74"/>
      <w:commentRangeStart w:id="75"/>
      <w:commentRangeStart w:id="76"/>
      <w:commentRangeStart w:id="77"/>
      <w:commentRangeStart w:id="78"/>
      <w:commentRangeStart w:id="79"/>
      <w:r>
        <w:rPr>
          <w:color w:val="000000"/>
        </w:rPr>
        <w:t>the return of non-personal data of legal persons</w:t>
      </w:r>
      <w:commentRangeEnd w:id="74"/>
      <w:r>
        <w:commentReference w:id="74"/>
      </w:r>
      <w:commentRangeEnd w:id="75"/>
      <w:commentRangeEnd w:id="76"/>
      <w:r w:rsidR="00B8393B">
        <w:rPr>
          <w:rStyle w:val="CommentReference"/>
        </w:rPr>
        <w:commentReference w:id="75"/>
      </w:r>
      <w:r>
        <w:commentReference w:id="76"/>
      </w:r>
      <w:commentRangeEnd w:id="77"/>
      <w:r>
        <w:commentReference w:id="77"/>
      </w:r>
      <w:commentRangeEnd w:id="78"/>
      <w:r>
        <w:commentReference w:id="78"/>
      </w:r>
      <w:commentRangeEnd w:id="79"/>
      <w:r>
        <w:commentReference w:id="79"/>
      </w:r>
      <w:commentRangeStart w:id="80"/>
      <w:commentRangeStart w:id="81"/>
      <w:r>
        <w:rPr>
          <w:color w:val="000000"/>
        </w:rPr>
        <w:t xml:space="preserve"> by systems other than SSAD</w:t>
      </w:r>
      <w:commentRangeEnd w:id="80"/>
      <w:r>
        <w:commentReference w:id="80"/>
      </w:r>
      <w:commentRangeEnd w:id="81"/>
      <w:r w:rsidR="001C7266">
        <w:rPr>
          <w:rStyle w:val="CommentReference"/>
        </w:rPr>
        <w:commentReference w:id="81"/>
      </w:r>
      <w:ins w:id="82" w:author="Microsoft Office User" w:date="2021-04-13T07:44:00Z">
        <w:r w:rsidR="001C7266">
          <w:rPr>
            <w:color w:val="000000"/>
          </w:rPr>
          <w:t xml:space="preserve"> (such as </w:t>
        </w:r>
      </w:ins>
      <w:proofErr w:type="spellStart"/>
      <w:ins w:id="83" w:author="Microsoft Office User" w:date="2021-04-13T11:58:00Z">
        <w:r w:rsidR="00B43DE8">
          <w:rPr>
            <w:color w:val="000000"/>
          </w:rPr>
          <w:t>Whois</w:t>
        </w:r>
        <w:proofErr w:type="spellEnd"/>
        <w:r w:rsidR="00B43DE8">
          <w:rPr>
            <w:color w:val="000000"/>
          </w:rPr>
          <w:t xml:space="preserve"> or </w:t>
        </w:r>
      </w:ins>
      <w:ins w:id="84" w:author="Microsoft Office User" w:date="2021-04-13T07:44:00Z">
        <w:r w:rsidR="001C7266">
          <w:rPr>
            <w:color w:val="000000"/>
          </w:rPr>
          <w:t>RDAP)</w:t>
        </w:r>
      </w:ins>
      <w:r>
        <w:rPr>
          <w:color w:val="000000"/>
        </w:rPr>
        <w:t xml:space="preserve">. A flagging mechanism could also assist in </w:t>
      </w:r>
      <w:r>
        <w:t xml:space="preserve">indicating </w:t>
      </w:r>
      <w:r>
        <w:rPr>
          <w:color w:val="000000"/>
        </w:rPr>
        <w:t xml:space="preserve">changes to the type of data in the registration data field(s). </w:t>
      </w:r>
    </w:p>
    <w:p w14:paraId="00000020" w14:textId="4F2E27E7" w:rsidR="00071D27" w:rsidRDefault="00B109F3">
      <w:pPr>
        <w:numPr>
          <w:ilvl w:val="0"/>
          <w:numId w:val="2"/>
        </w:numPr>
        <w:pBdr>
          <w:top w:val="nil"/>
          <w:left w:val="nil"/>
          <w:bottom w:val="nil"/>
          <w:right w:val="nil"/>
          <w:between w:val="nil"/>
        </w:pBdr>
        <w:spacing w:line="276" w:lineRule="auto"/>
        <w:rPr>
          <w:color w:val="000000"/>
        </w:rPr>
      </w:pPr>
      <w:commentRangeStart w:id="85"/>
      <w:commentRangeStart w:id="86"/>
      <w:commentRangeStart w:id="87"/>
      <w:commentRangeStart w:id="88"/>
      <w:r>
        <w:rPr>
          <w:color w:val="000000"/>
        </w:rPr>
        <w:t xml:space="preserve">In all of the below scenarios, clear communication and guidance should be provided to the registrant (data subject) </w:t>
      </w:r>
      <w:ins w:id="89" w:author="Microsoft Office User" w:date="2021-04-13T07:57:00Z">
        <w:r w:rsidR="00BF1665">
          <w:rPr>
            <w:color w:val="000000"/>
          </w:rPr>
          <w:t xml:space="preserve">by the Registrar </w:t>
        </w:r>
      </w:ins>
      <w:r>
        <w:rPr>
          <w:color w:val="000000"/>
        </w:rPr>
        <w:t xml:space="preserve">concerning the possible consequences of both identifying a data set as being of a natural or a legal </w:t>
      </w:r>
      <w:proofErr w:type="gramStart"/>
      <w:r>
        <w:rPr>
          <w:color w:val="000000"/>
        </w:rPr>
        <w:t>person, and</w:t>
      </w:r>
      <w:proofErr w:type="gramEnd"/>
      <w:r>
        <w:rPr>
          <w:color w:val="000000"/>
        </w:rPr>
        <w:t xml:space="preserve"> confirming the presence of personal data or non-personal data. This is also consistent with section 3.7.7.4 of the Registrar Accreditation Agreement (RAA).  </w:t>
      </w:r>
      <w:commentRangeEnd w:id="85"/>
      <w:r>
        <w:commentReference w:id="85"/>
      </w:r>
      <w:commentRangeEnd w:id="86"/>
      <w:r>
        <w:commentReference w:id="86"/>
      </w:r>
      <w:commentRangeEnd w:id="87"/>
      <w:r>
        <w:commentReference w:id="87"/>
      </w:r>
      <w:commentRangeEnd w:id="88"/>
      <w:r w:rsidR="00BF1665">
        <w:rPr>
          <w:rStyle w:val="CommentReference"/>
        </w:rPr>
        <w:commentReference w:id="88"/>
      </w:r>
    </w:p>
    <w:p w14:paraId="00000021" w14:textId="77777777" w:rsidR="00071D27" w:rsidRDefault="00071D27">
      <w:pPr>
        <w:pBdr>
          <w:top w:val="nil"/>
          <w:left w:val="nil"/>
          <w:bottom w:val="nil"/>
          <w:right w:val="nil"/>
          <w:between w:val="nil"/>
        </w:pBdr>
        <w:shd w:val="clear" w:color="auto" w:fill="FFFFFF"/>
        <w:rPr>
          <w:color w:val="000000"/>
        </w:rPr>
      </w:pPr>
    </w:p>
    <w:p w14:paraId="00000022" w14:textId="77777777" w:rsidR="00071D27" w:rsidRDefault="00B109F3">
      <w:pPr>
        <w:pBdr>
          <w:top w:val="nil"/>
          <w:left w:val="nil"/>
          <w:bottom w:val="nil"/>
          <w:right w:val="nil"/>
          <w:between w:val="nil"/>
        </w:pBdr>
        <w:shd w:val="clear" w:color="auto" w:fill="FFFFFF"/>
        <w:rPr>
          <w:color w:val="000000"/>
        </w:rPr>
      </w:pPr>
      <w:commentRangeStart w:id="90"/>
      <w:commentRangeStart w:id="91"/>
      <w:r>
        <w:rPr>
          <w:color w:val="000000"/>
        </w:rPr>
        <w:t>Example scenarios</w:t>
      </w:r>
      <w:commentRangeEnd w:id="90"/>
      <w:r>
        <w:commentReference w:id="90"/>
      </w:r>
      <w:commentRangeEnd w:id="91"/>
      <w:r w:rsidR="00BF1665">
        <w:rPr>
          <w:rStyle w:val="CommentReference"/>
        </w:rPr>
        <w:commentReference w:id="91"/>
      </w:r>
    </w:p>
    <w:p w14:paraId="00000023" w14:textId="77777777" w:rsidR="00071D27" w:rsidRDefault="00071D27">
      <w:pPr>
        <w:pBdr>
          <w:top w:val="nil"/>
          <w:left w:val="nil"/>
          <w:bottom w:val="nil"/>
          <w:right w:val="nil"/>
          <w:between w:val="nil"/>
        </w:pBdr>
        <w:shd w:val="clear" w:color="auto" w:fill="FFFFFF"/>
        <w:rPr>
          <w:color w:val="000000"/>
        </w:rPr>
      </w:pPr>
    </w:p>
    <w:p w14:paraId="00000024" w14:textId="77777777" w:rsidR="00071D27" w:rsidRDefault="00B109F3">
      <w:pPr>
        <w:pBdr>
          <w:top w:val="nil"/>
          <w:left w:val="nil"/>
          <w:bottom w:val="nil"/>
          <w:right w:val="nil"/>
          <w:between w:val="nil"/>
        </w:pBdr>
        <w:shd w:val="clear" w:color="auto" w:fill="FFFFFF"/>
        <w:rPr>
          <w:color w:val="000000"/>
        </w:rPr>
      </w:pPr>
      <w:r>
        <w:rPr>
          <w:color w:val="000000"/>
        </w:rPr>
        <w:t xml:space="preserve">The EPDP Team has identified three different high-level scenarios for how differentiation could occur based on who is responsible and the timing of such differentiation. It should be noted that other approaches and/or a combination of these may be possible. </w:t>
      </w:r>
    </w:p>
    <w:p w14:paraId="00000025" w14:textId="77777777" w:rsidR="00071D27" w:rsidRDefault="00071D27">
      <w:pPr>
        <w:pBdr>
          <w:top w:val="nil"/>
          <w:left w:val="nil"/>
          <w:bottom w:val="nil"/>
          <w:right w:val="nil"/>
          <w:between w:val="nil"/>
        </w:pBdr>
        <w:shd w:val="clear" w:color="auto" w:fill="FFFFFF"/>
        <w:rPr>
          <w:color w:val="000000"/>
        </w:rPr>
      </w:pPr>
    </w:p>
    <w:p w14:paraId="00000026" w14:textId="77777777" w:rsidR="00071D27" w:rsidRDefault="00B109F3">
      <w:pPr>
        <w:numPr>
          <w:ilvl w:val="0"/>
          <w:numId w:val="6"/>
        </w:numPr>
        <w:pBdr>
          <w:top w:val="nil"/>
          <w:left w:val="nil"/>
          <w:bottom w:val="nil"/>
          <w:right w:val="nil"/>
          <w:between w:val="nil"/>
        </w:pBdr>
      </w:pPr>
      <w:r>
        <w:rPr>
          <w:color w:val="000000"/>
        </w:rPr>
        <w:t xml:space="preserve">Data subject self-identification at time of data collection / registration </w:t>
      </w:r>
    </w:p>
    <w:p w14:paraId="00000027" w14:textId="57BA93EF" w:rsidR="00071D27" w:rsidRDefault="00B109F3">
      <w:pPr>
        <w:numPr>
          <w:ilvl w:val="1"/>
          <w:numId w:val="6"/>
        </w:numPr>
        <w:pBdr>
          <w:top w:val="nil"/>
          <w:left w:val="nil"/>
          <w:bottom w:val="nil"/>
          <w:right w:val="nil"/>
          <w:between w:val="nil"/>
        </w:pBdr>
        <w:ind w:left="1080"/>
      </w:pPr>
      <w:r>
        <w:t xml:space="preserve">The Registrar </w:t>
      </w:r>
      <w:ins w:id="92" w:author="Microsoft Office User" w:date="2021-04-13T07:58:00Z">
        <w:r w:rsidR="00BF1665">
          <w:t xml:space="preserve">informs the Registrant (per </w:t>
        </w:r>
      </w:ins>
      <w:ins w:id="93" w:author="Microsoft Office User" w:date="2021-04-13T07:59:00Z">
        <w:r w:rsidR="00BF1665">
          <w:t>guidance #</w:t>
        </w:r>
      </w:ins>
      <w:ins w:id="94" w:author="Microsoft Office User" w:date="2021-04-13T07:58:00Z">
        <w:r w:rsidR="00BF1665">
          <w:t xml:space="preserve">3 above) and </w:t>
        </w:r>
      </w:ins>
      <w:r>
        <w:t xml:space="preserve">requests the Registrant (data subject) at the moment of Registration data collection to </w:t>
      </w:r>
      <w:del w:id="95" w:author="Microsoft Office User" w:date="2021-04-13T07:57:00Z">
        <w:r w:rsidDel="00BF1665">
          <w:rPr>
            <w:strike/>
          </w:rPr>
          <w:delText xml:space="preserve">include an </w:delText>
        </w:r>
        <w:commentRangeStart w:id="96"/>
        <w:commentRangeStart w:id="97"/>
        <w:commentRangeStart w:id="98"/>
        <w:r w:rsidDel="00BF1665">
          <w:rPr>
            <w:strike/>
          </w:rPr>
          <w:delText>indication</w:delText>
        </w:r>
        <w:commentRangeEnd w:id="96"/>
        <w:r w:rsidDel="00BF1665">
          <w:commentReference w:id="96"/>
        </w:r>
        <w:commentRangeEnd w:id="97"/>
        <w:r w:rsidDel="00BF1665">
          <w:commentReference w:id="97"/>
        </w:r>
        <w:commentRangeEnd w:id="98"/>
        <w:r w:rsidDel="00BF1665">
          <w:commentReference w:id="98"/>
        </w:r>
        <w:r w:rsidDel="00BF1665">
          <w:rPr>
            <w:strike/>
          </w:rPr>
          <w:delText xml:space="preserve"> o</w:delText>
        </w:r>
        <w:r w:rsidDel="00BF1665">
          <w:delText xml:space="preserve">f </w:delText>
        </w:r>
      </w:del>
      <w:r>
        <w:t>designate legal or natural person type. The Registrar must also request the Registrant to confirm whether only non-personal data is provided for legal person type.</w:t>
      </w:r>
      <w:r>
        <w:rPr>
          <w:vertAlign w:val="superscript"/>
        </w:rPr>
        <w:footnoteReference w:id="5"/>
      </w:r>
      <w:r>
        <w:t xml:space="preserve"> </w:t>
      </w:r>
    </w:p>
    <w:p w14:paraId="00000028" w14:textId="77777777" w:rsidR="00071D27" w:rsidRDefault="00B109F3">
      <w:pPr>
        <w:numPr>
          <w:ilvl w:val="1"/>
          <w:numId w:val="6"/>
        </w:numPr>
        <w:pBdr>
          <w:top w:val="nil"/>
          <w:left w:val="nil"/>
          <w:bottom w:val="nil"/>
          <w:right w:val="nil"/>
          <w:between w:val="nil"/>
        </w:pBdr>
        <w:ind w:left="1080"/>
      </w:pPr>
      <w:r>
        <w:t>If the Registrant (data subject) has selected legal person and has provided a confirmation that the registration data does not include any personal data, the Registrar (</w:t>
      </w:r>
      <w:proofErr w:type="spellStart"/>
      <w:r>
        <w:t>i</w:t>
      </w:r>
      <w:proofErr w:type="spellEnd"/>
      <w:r>
        <w:t xml:space="preserve">) sets the registration data set to automated disclosure in response to SSAD queries </w:t>
      </w:r>
      <w:commentRangeStart w:id="99"/>
      <w:commentRangeStart w:id="100"/>
      <w:r>
        <w:t>and (ii) Publishes the data</w:t>
      </w:r>
      <w:commentRangeEnd w:id="99"/>
      <w:r>
        <w:commentReference w:id="99"/>
      </w:r>
      <w:commentRangeEnd w:id="100"/>
      <w:r w:rsidR="00393392">
        <w:rPr>
          <w:rStyle w:val="CommentReference"/>
        </w:rPr>
        <w:commentReference w:id="100"/>
      </w:r>
      <w:r>
        <w:t xml:space="preserve"> (to provide Registration Data in the publicly accessible Registration Data Directory Services). </w:t>
      </w:r>
    </w:p>
    <w:p w14:paraId="00000029" w14:textId="77777777" w:rsidR="00071D27" w:rsidRDefault="00B109F3">
      <w:pPr>
        <w:numPr>
          <w:ilvl w:val="1"/>
          <w:numId w:val="6"/>
        </w:numPr>
        <w:pBdr>
          <w:top w:val="nil"/>
          <w:left w:val="nil"/>
          <w:bottom w:val="nil"/>
          <w:right w:val="nil"/>
          <w:between w:val="nil"/>
        </w:pBdr>
        <w:ind w:left="1080"/>
      </w:pPr>
      <w:r>
        <w:t>If the Registrant (data subject) has selected natural person or has confirmed that personal data is present, the Registrar does not set that registration data to automated Disclosure and Publication, unless the data subject consents to Publication.</w:t>
      </w:r>
      <w:r>
        <w:rPr>
          <w:vertAlign w:val="superscript"/>
        </w:rPr>
        <w:footnoteReference w:id="6"/>
      </w:r>
      <w:r>
        <w:t xml:space="preserve">  </w:t>
      </w:r>
    </w:p>
    <w:p w14:paraId="0000002A" w14:textId="77777777" w:rsidR="00071D27" w:rsidRDefault="00B109F3">
      <w:pPr>
        <w:numPr>
          <w:ilvl w:val="1"/>
          <w:numId w:val="6"/>
        </w:numPr>
        <w:pBdr>
          <w:top w:val="nil"/>
          <w:left w:val="nil"/>
          <w:bottom w:val="nil"/>
          <w:right w:val="nil"/>
          <w:between w:val="nil"/>
        </w:pBdr>
        <w:ind w:left="1080"/>
        <w:rPr>
          <w:color w:val="000000"/>
          <w:sz w:val="22"/>
          <w:szCs w:val="22"/>
        </w:rPr>
      </w:pPr>
      <w:commentRangeStart w:id="101"/>
      <w:commentRangeStart w:id="102"/>
      <w:r>
        <w:lastRenderedPageBreak/>
        <w:t xml:space="preserve">If the Registrant (data subject) makes any substantive change to the registration data, the Registrar is expected to confirm that these updates do not result in changes to the registrant type or the previous confirmation of whether only non-personal data is provided for legal person type. If the updates do result in changes, Registrar must repeat </w:t>
      </w:r>
      <w:proofErr w:type="gramStart"/>
      <w:r>
        <w:t>Steps</w:t>
      </w:r>
      <w:proofErr w:type="gramEnd"/>
      <w:r>
        <w:t xml:space="preserve"> a-c above. </w:t>
      </w:r>
      <w:commentRangeEnd w:id="101"/>
      <w:r>
        <w:commentReference w:id="101"/>
      </w:r>
      <w:commentRangeEnd w:id="102"/>
      <w:r w:rsidR="00BF1665">
        <w:rPr>
          <w:rStyle w:val="CommentReference"/>
        </w:rPr>
        <w:commentReference w:id="102"/>
      </w:r>
    </w:p>
    <w:p w14:paraId="0000002B" w14:textId="77777777" w:rsidR="00071D27" w:rsidRDefault="00071D27"/>
    <w:p w14:paraId="0000002C" w14:textId="77777777" w:rsidR="00071D27" w:rsidRDefault="00B109F3">
      <w:pPr>
        <w:numPr>
          <w:ilvl w:val="0"/>
          <w:numId w:val="6"/>
        </w:numPr>
        <w:pBdr>
          <w:top w:val="nil"/>
          <w:left w:val="nil"/>
          <w:bottom w:val="nil"/>
          <w:right w:val="nil"/>
          <w:between w:val="nil"/>
        </w:pBdr>
      </w:pPr>
      <w:r>
        <w:rPr>
          <w:color w:val="000000"/>
        </w:rPr>
        <w:t xml:space="preserve">Data subject self-identification after initial collection </w:t>
      </w:r>
    </w:p>
    <w:p w14:paraId="0000002D" w14:textId="77777777" w:rsidR="00071D27" w:rsidRDefault="00B109F3">
      <w:pPr>
        <w:numPr>
          <w:ilvl w:val="1"/>
          <w:numId w:val="6"/>
        </w:numPr>
        <w:pBdr>
          <w:top w:val="nil"/>
          <w:left w:val="nil"/>
          <w:bottom w:val="nil"/>
          <w:right w:val="nil"/>
          <w:between w:val="nil"/>
        </w:pBdr>
        <w:ind w:left="1080"/>
      </w:pPr>
      <w:r>
        <w:t>The Registrar collects Registration Data and provisionally redacts the data.</w:t>
      </w:r>
    </w:p>
    <w:p w14:paraId="0000002E" w14:textId="2BFF36E9" w:rsidR="00071D27" w:rsidRDefault="00B109F3">
      <w:pPr>
        <w:numPr>
          <w:ilvl w:val="1"/>
          <w:numId w:val="6"/>
        </w:numPr>
        <w:pBdr>
          <w:top w:val="nil"/>
          <w:left w:val="nil"/>
          <w:bottom w:val="nil"/>
          <w:right w:val="nil"/>
          <w:between w:val="nil"/>
        </w:pBdr>
        <w:ind w:left="1080"/>
      </w:pPr>
      <w:r>
        <w:t xml:space="preserve">The Registrar </w:t>
      </w:r>
      <w:ins w:id="103" w:author="Microsoft Office User" w:date="2021-04-13T08:27:00Z">
        <w:r w:rsidR="004045E9">
          <w:t xml:space="preserve">informs the Registrant (per guidance #3 above) and </w:t>
        </w:r>
      </w:ins>
      <w:r>
        <w:t>requests the Registrant (data subject) to designate legal or natural person type. The Registrar must also request the Registrant to confirm whether only non-personal data is provided for legal person type.</w:t>
      </w:r>
      <w:r>
        <w:rPr>
          <w:vertAlign w:val="superscript"/>
        </w:rPr>
        <w:footnoteReference w:id="7"/>
      </w:r>
      <w:r>
        <w:t xml:space="preserve"> </w:t>
      </w:r>
    </w:p>
    <w:p w14:paraId="0000002F" w14:textId="77777777" w:rsidR="00071D27" w:rsidRDefault="00B109F3">
      <w:pPr>
        <w:numPr>
          <w:ilvl w:val="1"/>
          <w:numId w:val="6"/>
        </w:numPr>
        <w:pBdr>
          <w:top w:val="nil"/>
          <w:left w:val="nil"/>
          <w:bottom w:val="nil"/>
          <w:right w:val="nil"/>
          <w:between w:val="nil"/>
        </w:pBdr>
        <w:ind w:left="1080"/>
      </w:pPr>
      <w:r>
        <w:t xml:space="preserve">Registrant (data subject) indicates legal or natural person type and whether or not the registration contains personal information after registration is completed. For example, the Registrant may confirm person type at the time of initial data verification, in response to its receipt of the </w:t>
      </w:r>
      <w:proofErr w:type="spellStart"/>
      <w:r>
        <w:t>Whois</w:t>
      </w:r>
      <w:proofErr w:type="spellEnd"/>
      <w:r>
        <w:t xml:space="preserve"> data reminder email for existing registrations, or through a separate notice requesting self-identification.</w:t>
      </w:r>
      <w:r>
        <w:rPr>
          <w:vertAlign w:val="superscript"/>
        </w:rPr>
        <w:footnoteReference w:id="8"/>
      </w:r>
      <w:r>
        <w:t xml:space="preserve"> </w:t>
      </w:r>
    </w:p>
    <w:p w14:paraId="00000030" w14:textId="77777777" w:rsidR="00071D27" w:rsidRDefault="00B109F3">
      <w:pPr>
        <w:numPr>
          <w:ilvl w:val="1"/>
          <w:numId w:val="6"/>
        </w:numPr>
        <w:pBdr>
          <w:top w:val="nil"/>
          <w:left w:val="nil"/>
          <w:bottom w:val="nil"/>
          <w:right w:val="nil"/>
          <w:between w:val="nil"/>
        </w:pBdr>
        <w:ind w:left="1080"/>
      </w:pPr>
      <w:r>
        <w:t>If the data subject identifies as a legal person and confirms that the registration data does not include personal data, the Registrar (</w:t>
      </w:r>
      <w:proofErr w:type="spellStart"/>
      <w:r>
        <w:t>i</w:t>
      </w:r>
      <w:proofErr w:type="spellEnd"/>
      <w:r>
        <w:t xml:space="preserve">) sets the registration data set to automated disclosure in response to SSAD queries </w:t>
      </w:r>
      <w:commentRangeStart w:id="104"/>
      <w:commentRangeStart w:id="105"/>
      <w:r>
        <w:t>and (ii) Publishes the data</w:t>
      </w:r>
      <w:commentRangeEnd w:id="104"/>
      <w:r>
        <w:commentReference w:id="104"/>
      </w:r>
      <w:commentRangeEnd w:id="105"/>
      <w:r w:rsidR="004045E9">
        <w:rPr>
          <w:rStyle w:val="CommentReference"/>
        </w:rPr>
        <w:commentReference w:id="105"/>
      </w:r>
      <w:r>
        <w:t xml:space="preserve">. </w:t>
      </w:r>
    </w:p>
    <w:p w14:paraId="00000031" w14:textId="77777777" w:rsidR="00071D27" w:rsidRDefault="00071D27">
      <w:pPr>
        <w:ind w:left="720"/>
      </w:pPr>
    </w:p>
    <w:p w14:paraId="00000032" w14:textId="77777777" w:rsidR="00071D27" w:rsidRDefault="00B109F3">
      <w:pPr>
        <w:numPr>
          <w:ilvl w:val="0"/>
          <w:numId w:val="6"/>
        </w:numPr>
        <w:pBdr>
          <w:top w:val="nil"/>
          <w:left w:val="nil"/>
          <w:bottom w:val="nil"/>
          <w:right w:val="nil"/>
          <w:between w:val="nil"/>
        </w:pBdr>
      </w:pPr>
      <w:commentRangeStart w:id="106"/>
      <w:commentRangeStart w:id="107"/>
      <w:commentRangeStart w:id="108"/>
      <w:r>
        <w:rPr>
          <w:color w:val="000000"/>
        </w:rPr>
        <w:t>Registrar determines type based on data provided</w:t>
      </w:r>
    </w:p>
    <w:p w14:paraId="00000033" w14:textId="77777777" w:rsidR="00071D27" w:rsidRDefault="00B109F3">
      <w:pPr>
        <w:numPr>
          <w:ilvl w:val="1"/>
          <w:numId w:val="6"/>
        </w:numPr>
        <w:pBdr>
          <w:top w:val="nil"/>
          <w:left w:val="nil"/>
          <w:bottom w:val="nil"/>
          <w:right w:val="nil"/>
          <w:between w:val="nil"/>
        </w:pBdr>
        <w:ind w:left="1080"/>
      </w:pPr>
      <w:r>
        <w:t>The Registrar collects Registration Data and provisionally redacts the data.</w:t>
      </w:r>
    </w:p>
    <w:p w14:paraId="00000034" w14:textId="77777777" w:rsidR="00071D27" w:rsidRDefault="00B109F3">
      <w:pPr>
        <w:numPr>
          <w:ilvl w:val="1"/>
          <w:numId w:val="6"/>
        </w:numPr>
        <w:pBdr>
          <w:top w:val="nil"/>
          <w:left w:val="nil"/>
          <w:bottom w:val="nil"/>
          <w:right w:val="nil"/>
          <w:between w:val="nil"/>
        </w:pBdr>
        <w:ind w:left="1080"/>
      </w:pPr>
      <w:r>
        <w:t>The Registrar uses collected data to infer legal or natural person type.</w:t>
      </w:r>
      <w:r>
        <w:rPr>
          <w:vertAlign w:val="superscript"/>
        </w:rPr>
        <w:footnoteReference w:id="9"/>
      </w:r>
    </w:p>
    <w:p w14:paraId="00000035" w14:textId="2CCC741C" w:rsidR="00071D27" w:rsidRDefault="00B109F3">
      <w:pPr>
        <w:numPr>
          <w:ilvl w:val="1"/>
          <w:numId w:val="6"/>
        </w:numPr>
        <w:pBdr>
          <w:top w:val="nil"/>
          <w:left w:val="nil"/>
          <w:bottom w:val="nil"/>
          <w:right w:val="nil"/>
          <w:between w:val="nil"/>
        </w:pBdr>
        <w:ind w:left="1080"/>
      </w:pPr>
      <w:r>
        <w:t xml:space="preserve">If legal person is inferred by the Registrar and subsequently the Registrant (data subject) </w:t>
      </w:r>
      <w:ins w:id="109" w:author="Microsoft Office User" w:date="2021-04-13T08:28:00Z">
        <w:r w:rsidR="003D2404">
          <w:t xml:space="preserve">is informed (per guidance #3 above) and </w:t>
        </w:r>
      </w:ins>
      <w:r>
        <w:t>confirms that no personal data is present, the Registrar (</w:t>
      </w:r>
      <w:proofErr w:type="spellStart"/>
      <w:r>
        <w:t>i</w:t>
      </w:r>
      <w:proofErr w:type="spellEnd"/>
      <w:r>
        <w:t xml:space="preserve">) sets the registration data set to automated disclosure in response to SSAD queries and (ii) Publishes the data. </w:t>
      </w:r>
    </w:p>
    <w:p w14:paraId="00000036" w14:textId="42C48C23" w:rsidR="00071D27" w:rsidRDefault="00B109F3">
      <w:pPr>
        <w:numPr>
          <w:ilvl w:val="1"/>
          <w:numId w:val="6"/>
        </w:numPr>
        <w:pBdr>
          <w:top w:val="nil"/>
          <w:left w:val="nil"/>
          <w:bottom w:val="nil"/>
          <w:right w:val="nil"/>
          <w:between w:val="nil"/>
        </w:pBdr>
        <w:ind w:left="1080"/>
      </w:pPr>
      <w:r>
        <w:t xml:space="preserve">If the Registrar has inferred natural person or has detected personal data, the </w:t>
      </w:r>
      <w:commentRangeStart w:id="110"/>
      <w:commentRangeStart w:id="111"/>
      <w:r>
        <w:t>Registra</w:t>
      </w:r>
      <w:ins w:id="112" w:author="Microsoft Office User" w:date="2021-04-13T08:18:00Z">
        <w:r w:rsidR="004045E9">
          <w:t>r</w:t>
        </w:r>
      </w:ins>
      <w:del w:id="113" w:author="Microsoft Office User" w:date="2021-04-13T08:18:00Z">
        <w:r w:rsidDel="004045E9">
          <w:delText>nt</w:delText>
        </w:r>
      </w:del>
      <w:commentRangeEnd w:id="110"/>
      <w:r>
        <w:commentReference w:id="110"/>
      </w:r>
      <w:commentRangeEnd w:id="111"/>
      <w:r>
        <w:commentReference w:id="111"/>
      </w:r>
      <w:r>
        <w:t xml:space="preserve"> </w:t>
      </w:r>
      <w:commentRangeStart w:id="114"/>
      <w:commentRangeStart w:id="115"/>
      <w:r>
        <w:t xml:space="preserve">must not </w:t>
      </w:r>
      <w:del w:id="116" w:author="Microsoft Office User" w:date="2021-04-13T08:19:00Z">
        <w:r w:rsidDel="004045E9">
          <w:delText>D</w:delText>
        </w:r>
      </w:del>
      <w:ins w:id="117" w:author="Microsoft Office User" w:date="2021-04-13T08:19:00Z">
        <w:r w:rsidR="004045E9">
          <w:t>d</w:t>
        </w:r>
      </w:ins>
      <w:r>
        <w:t>isclose registration data</w:t>
      </w:r>
      <w:commentRangeEnd w:id="114"/>
      <w:r>
        <w:commentReference w:id="114"/>
      </w:r>
      <w:commentRangeEnd w:id="115"/>
      <w:r>
        <w:commentReference w:id="115"/>
      </w:r>
      <w:r>
        <w:t xml:space="preserve"> unless the Registrant provides consent for publication or the Registrar Discloses the data in response to a legitimate disclosure request.</w:t>
      </w:r>
      <w:commentRangeEnd w:id="106"/>
      <w:r>
        <w:commentReference w:id="106"/>
      </w:r>
      <w:commentRangeEnd w:id="107"/>
      <w:r>
        <w:commentReference w:id="107"/>
      </w:r>
      <w:commentRangeEnd w:id="108"/>
      <w:r>
        <w:commentReference w:id="108"/>
      </w:r>
    </w:p>
    <w:p w14:paraId="00000037" w14:textId="77777777" w:rsidR="00071D27" w:rsidRDefault="00071D27">
      <w:pPr>
        <w:spacing w:line="276" w:lineRule="auto"/>
      </w:pPr>
    </w:p>
    <w:p w14:paraId="00000038" w14:textId="77777777" w:rsidR="00071D27" w:rsidRDefault="00071D27">
      <w:pPr>
        <w:spacing w:line="276" w:lineRule="auto"/>
        <w:rPr>
          <w:b/>
        </w:rPr>
      </w:pPr>
    </w:p>
    <w:p w14:paraId="00000039" w14:textId="7AFD1D2F" w:rsidR="00071D27" w:rsidRDefault="00B109F3">
      <w:pPr>
        <w:spacing w:line="276" w:lineRule="auto"/>
      </w:pPr>
      <w:commentRangeStart w:id="118"/>
      <w:commentRangeStart w:id="119"/>
      <w:commentRangeStart w:id="120"/>
      <w:commentRangeStart w:id="121"/>
      <w:r>
        <w:t xml:space="preserve">Registrars </w:t>
      </w:r>
      <w:ins w:id="122" w:author="Microsoft Office User" w:date="2021-04-13T08:20:00Z">
        <w:r w:rsidR="004045E9">
          <w:t>shall not be prohibited from voluntarily utilizing</w:t>
        </w:r>
      </w:ins>
      <w:ins w:id="123" w:author="Microsoft Office User" w:date="2021-04-13T08:21:00Z">
        <w:r w:rsidR="004045E9">
          <w:t xml:space="preserve"> a</w:t>
        </w:r>
      </w:ins>
      <w:ins w:id="124" w:author="Microsoft Office User" w:date="2021-04-13T08:20:00Z">
        <w:r w:rsidR="004045E9">
          <w:t xml:space="preserve"> </w:t>
        </w:r>
      </w:ins>
      <w:del w:id="125" w:author="Microsoft Office User" w:date="2021-04-13T08:21:00Z">
        <w:r w:rsidDel="004045E9">
          <w:delText xml:space="preserve">may also choose to use a </w:delText>
        </w:r>
      </w:del>
      <w:commentRangeStart w:id="126"/>
      <w:commentRangeStart w:id="127"/>
      <w:commentRangeStart w:id="128"/>
      <w:commentRangeStart w:id="129"/>
      <w:commentRangeStart w:id="130"/>
      <w:r>
        <w:t xml:space="preserve">third party </w:t>
      </w:r>
      <w:commentRangeEnd w:id="126"/>
      <w:r>
        <w:commentReference w:id="126"/>
      </w:r>
      <w:commentRangeEnd w:id="127"/>
      <w:r>
        <w:commentReference w:id="127"/>
      </w:r>
      <w:commentRangeEnd w:id="128"/>
      <w:r>
        <w:commentReference w:id="128"/>
      </w:r>
      <w:commentRangeEnd w:id="129"/>
      <w:commentRangeEnd w:id="130"/>
      <w:r w:rsidR="004045E9">
        <w:rPr>
          <w:rStyle w:val="CommentReference"/>
        </w:rPr>
        <w:commentReference w:id="129"/>
      </w:r>
      <w:r>
        <w:commentReference w:id="130"/>
      </w:r>
      <w:r>
        <w:t>to verify that a registrant has correctly identified its data</w:t>
      </w:r>
      <w:ins w:id="131" w:author="Microsoft Office User" w:date="2021-04-13T08:23:00Z">
        <w:r w:rsidR="004045E9">
          <w:t xml:space="preserve">, provided that </w:t>
        </w:r>
        <w:r w:rsidR="004045E9" w:rsidRPr="004045E9">
          <w:rPr>
            <w:rPrChange w:id="132" w:author="Microsoft Office User" w:date="2021-04-13T08:25:00Z">
              <w:rPr>
                <w:rFonts w:ascii="Arial" w:eastAsia="Arial" w:hAnsi="Arial" w:cs="Arial"/>
                <w:color w:val="000000"/>
                <w:sz w:val="22"/>
                <w:szCs w:val="22"/>
              </w:rPr>
            </w:rPrChange>
          </w:rPr>
          <w:t>provided such verification is compliant with applicable data protection regulations</w:t>
        </w:r>
      </w:ins>
      <w:r>
        <w:t xml:space="preserve">. </w:t>
      </w:r>
      <w:commentRangeEnd w:id="118"/>
      <w:r>
        <w:commentReference w:id="118"/>
      </w:r>
      <w:commentRangeEnd w:id="119"/>
      <w:r>
        <w:commentReference w:id="119"/>
      </w:r>
      <w:commentRangeEnd w:id="120"/>
      <w:r>
        <w:commentReference w:id="120"/>
      </w:r>
      <w:commentRangeEnd w:id="121"/>
      <w:r>
        <w:commentReference w:id="121"/>
      </w:r>
    </w:p>
    <w:p w14:paraId="0000003A" w14:textId="77777777" w:rsidR="00071D27" w:rsidRDefault="00071D27">
      <w:pPr>
        <w:spacing w:line="276" w:lineRule="auto"/>
      </w:pPr>
    </w:p>
    <w:p w14:paraId="0000003B" w14:textId="77777777" w:rsidR="00071D27" w:rsidRDefault="00B109F3">
      <w:pPr>
        <w:spacing w:line="276" w:lineRule="auto"/>
      </w:pPr>
      <w:r>
        <w:t xml:space="preserve">The EPDP Team recognizes that in all of the above scenarios, there is the possibility of misidentification, which may result in the inadvertent disclosure of personal data. However, the EPDP Team recommends that Contracted Parties who choose to differentiate based on person type SHOULD follow the guidance above and clearly document all data processing steps. It is not the role or responsibility of the EPDP Team to assess the legal risks, as that responsibility ultimately belongs to the data controller.  </w:t>
      </w:r>
    </w:p>
    <w:p w14:paraId="0000003C" w14:textId="77777777" w:rsidR="00071D27" w:rsidRDefault="00071D27"/>
    <w:sectPr w:rsidR="00071D27">
      <w:footerReference w:type="default" r:id="rId15"/>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Laureen Kapin" w:date="2021-04-12T19:33:00Z" w:initials="">
    <w:p w14:paraId="00000057"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background clauses would benefit from headings and a more logical sequence.  For example, it seems that the current background consists of 1) GDPR protections (non-personal data n/protected; d/n publish personal data); 2) relevant Phase 1 Recs; 3) relevant Phase 2 Recs; 4) Registrar business models.  I would suggest grouping the Phase 1 and 2 Recs sequentially with subheadings and the GDPR and </w:t>
      </w:r>
      <w:proofErr w:type="spellStart"/>
      <w:r>
        <w:rPr>
          <w:rFonts w:ascii="Arial" w:eastAsia="Arial" w:hAnsi="Arial" w:cs="Arial"/>
          <w:color w:val="000000"/>
          <w:sz w:val="22"/>
          <w:szCs w:val="22"/>
        </w:rPr>
        <w:t>Rgr</w:t>
      </w:r>
      <w:proofErr w:type="spellEnd"/>
      <w:r>
        <w:rPr>
          <w:rFonts w:ascii="Arial" w:eastAsia="Arial" w:hAnsi="Arial" w:cs="Arial"/>
          <w:color w:val="000000"/>
          <w:sz w:val="22"/>
          <w:szCs w:val="22"/>
        </w:rPr>
        <w:t xml:space="preserve"> business models sequentially with headings.  The current sequence seems random and is hard to follow.</w:t>
      </w:r>
    </w:p>
  </w:comment>
  <w:comment w:id="4" w:author="Microsoft Office User" w:date="2021-04-13T07:25:00Z" w:initials="MOU">
    <w:p w14:paraId="4BF092E6" w14:textId="7931B044" w:rsidR="0065130A" w:rsidRDefault="0065130A">
      <w:pPr>
        <w:pStyle w:val="CommentText"/>
      </w:pPr>
      <w:r>
        <w:rPr>
          <w:rStyle w:val="CommentReference"/>
        </w:rPr>
        <w:annotationRef/>
      </w:r>
      <w:r>
        <w:t>Support Team: headings included</w:t>
      </w:r>
    </w:p>
  </w:comment>
  <w:comment w:id="41" w:author="Sarah Wyld" w:date="2021-04-05T19:26:00Z" w:initials="">
    <w:p w14:paraId="0000005A"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sentence should be removed, it is an inference about how the Phase2 rec might be implemented by the eventual IRT</w:t>
      </w:r>
    </w:p>
  </w:comment>
  <w:comment w:id="42" w:author="Microsoft Office User" w:date="2021-04-13T07:33:00Z" w:initials="MOU">
    <w:p w14:paraId="5632FBBD" w14:textId="60EC167C" w:rsidR="00B8393B" w:rsidRDefault="00B8393B">
      <w:pPr>
        <w:pStyle w:val="CommentText"/>
      </w:pPr>
      <w:r>
        <w:rPr>
          <w:rStyle w:val="CommentReference"/>
        </w:rPr>
        <w:annotationRef/>
      </w:r>
      <w:r>
        <w:t xml:space="preserve">Staff support team: note that this language was added at the request of an EPDP Team member to clarify what this recommendation means. Footnote has been added to specify that implementation is ongoing and that the exact manner of how this recommendation is to be implemented will be determined by the IRT. Also, as there may be sensitivity in relation to the word ‘flag’ this has been changed to ‘mark’. </w:t>
      </w:r>
    </w:p>
  </w:comment>
  <w:comment w:id="43" w:author="Volker Greimann" w:date="2021-04-12T10:32:00Z" w:initials="">
    <w:p w14:paraId="0000005B"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Agreed</w:t>
      </w:r>
    </w:p>
  </w:comment>
  <w:comment w:id="26" w:author="Steve Crocker" w:date="2021-04-02T01:28:00Z" w:initials="">
    <w:p w14:paraId="00000063"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These clauses present a tangled, confusing and incomplete set of rules.  They are written as if determination of whether the registrant is a natural or legal person is the central concern.  This is backwards.  What's of central concern is whether or not the registrant's data is to be made available to anyone.  Inputs to that decision may indeed include whether the registrant is a natural or legal person, but that may not be the only input.  Let me go further and propose a heresy: It is not even a necessary input.  All that's really necessary is a declaration from the registrant after the registrant is properly </w:t>
      </w:r>
      <w:proofErr w:type="gramStart"/>
      <w:r>
        <w:rPr>
          <w:rFonts w:ascii="Arial" w:eastAsia="Arial" w:hAnsi="Arial" w:cs="Arial"/>
          <w:color w:val="000000"/>
          <w:sz w:val="22"/>
          <w:szCs w:val="22"/>
        </w:rPr>
        <w:t>informed  of</w:t>
      </w:r>
      <w:proofErr w:type="gramEnd"/>
      <w:r>
        <w:rPr>
          <w:rFonts w:ascii="Arial" w:eastAsia="Arial" w:hAnsi="Arial" w:cs="Arial"/>
          <w:color w:val="000000"/>
          <w:sz w:val="22"/>
          <w:szCs w:val="22"/>
        </w:rPr>
        <w:t xml:space="preserve"> the reason for asking and given the implication of the answer.</w:t>
      </w:r>
    </w:p>
    <w:p w14:paraId="00000064"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65"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classifications should be "ok to release anyone" and "not ok to release to anyone."  (And a third state; see below.)  As I said, the determination of which bucket the registrant belongs in should come from the registrant.</w:t>
      </w:r>
    </w:p>
    <w:p w14:paraId="00000066"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67"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the RDDS framework system I've provided, there is an explicit way to set the default sensitivity level for each data element in a registration and there is also explicit way to designate which data elements the registrant may choose to override the default and choose to make them available to anyone.</w:t>
      </w:r>
    </w:p>
    <w:p w14:paraId="00000068"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69"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addition to "ok to release to anyone" and "not ok to release to anyone" it is useful to include a third state of "unknown" and have an explicit specification of how such registrations are treated.  A very common approach is to treat unknown the same as "not ok to release to anyone."  However, even if this is what some registrars do or what ICANN requires, having an explicitly separate designation of "unknown" lays the foundation for a managed evolution of the database toward known states.</w:t>
      </w:r>
    </w:p>
    <w:p w14:paraId="0000006A"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6B"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suggest rewriting the entire treatment of legal vs natural to focus on the result instead of this tangled approach.</w:t>
      </w:r>
    </w:p>
  </w:comment>
  <w:comment w:id="27" w:author="Microsoft Office User" w:date="2021-04-04T11:10:00Z" w:initials="">
    <w:p w14:paraId="0000006C"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EPDP Team to consider this suggestion (“rewriting the entire treatment of legal vs natural to focus on the result instead of this tangled approach”) and Steve C. to provide proposed language that achieve this approach for the EPDP Team to consider.</w:t>
      </w:r>
    </w:p>
  </w:comment>
  <w:comment w:id="28" w:author="Melina Stroungi" w:date="2021-04-07T13:44:00Z" w:initials="">
    <w:p w14:paraId="0000006D"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 see Steve's point but do not completely agree with discarding these provisions. The ultimate goal is indeed publishing non-personal information, </w:t>
      </w:r>
      <w:proofErr w:type="gramStart"/>
      <w:r>
        <w:rPr>
          <w:rFonts w:ascii="Arial" w:eastAsia="Arial" w:hAnsi="Arial" w:cs="Arial"/>
          <w:color w:val="000000"/>
          <w:sz w:val="22"/>
          <w:szCs w:val="22"/>
        </w:rPr>
        <w:t>but,</w:t>
      </w:r>
      <w:proofErr w:type="gramEnd"/>
      <w:r>
        <w:rPr>
          <w:rFonts w:ascii="Arial" w:eastAsia="Arial" w:hAnsi="Arial" w:cs="Arial"/>
          <w:color w:val="000000"/>
          <w:sz w:val="22"/>
          <w:szCs w:val="22"/>
        </w:rPr>
        <w:t xml:space="preserve"> in order to move towards this goal, the distinction between legal and natural persons is central and cannot be skipped. From that perspective, things are more nuanced than simply deciding "ok to release to anyone" and "not ok to release to anyone".</w:t>
      </w:r>
    </w:p>
    <w:p w14:paraId="0000006E"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 other words: registrant's identification as a legal or natural person is an absolutely necessary input.</w:t>
      </w:r>
    </w:p>
    <w:p w14:paraId="0000006F"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B&amp;B's recent replies also confirm that if distinction between legal and natural entities is done properly this is fully compliant with the GDPR.</w:t>
      </w:r>
    </w:p>
    <w:p w14:paraId="00000070"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proofErr w:type="gramStart"/>
      <w:r>
        <w:rPr>
          <w:rFonts w:ascii="Arial" w:eastAsia="Arial" w:hAnsi="Arial" w:cs="Arial"/>
          <w:color w:val="000000"/>
          <w:sz w:val="22"/>
          <w:szCs w:val="22"/>
        </w:rPr>
        <w:t>So</w:t>
      </w:r>
      <w:proofErr w:type="gramEnd"/>
      <w:r>
        <w:rPr>
          <w:rFonts w:ascii="Arial" w:eastAsia="Arial" w:hAnsi="Arial" w:cs="Arial"/>
          <w:color w:val="000000"/>
          <w:sz w:val="22"/>
          <w:szCs w:val="22"/>
        </w:rPr>
        <w:t xml:space="preserve"> 1st step: are you natural or legal? If natural, publish no data.</w:t>
      </w:r>
    </w:p>
    <w:p w14:paraId="00000071"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If legal then further distinguish between personal and non-personal data. Only publish non-personal data.</w:t>
      </w:r>
    </w:p>
    <w:p w14:paraId="00000072"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am open to wording suggestions in line with the above logic.</w:t>
      </w:r>
    </w:p>
  </w:comment>
  <w:comment w:id="29" w:author="Volker Greimann" w:date="2021-04-12T10:32:00Z" w:initials="">
    <w:p w14:paraId="00000073"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 agree with Steve here. For the question of disclosure, the legal nature of the registrant is nigh irrelevant as it always will come down to the content of the data. Does the data contain data of a protected data subject or </w:t>
      </w:r>
      <w:proofErr w:type="gramStart"/>
      <w:r>
        <w:rPr>
          <w:rFonts w:ascii="Arial" w:eastAsia="Arial" w:hAnsi="Arial" w:cs="Arial"/>
          <w:color w:val="000000"/>
          <w:sz w:val="22"/>
          <w:szCs w:val="22"/>
        </w:rPr>
        <w:t>not.</w:t>
      </w:r>
      <w:proofErr w:type="gramEnd"/>
      <w:r>
        <w:rPr>
          <w:rFonts w:ascii="Arial" w:eastAsia="Arial" w:hAnsi="Arial" w:cs="Arial"/>
          <w:color w:val="000000"/>
          <w:sz w:val="22"/>
          <w:szCs w:val="22"/>
        </w:rPr>
        <w:t xml:space="preserve"> If it does, is disclosure permitted by GDPR or not.</w:t>
      </w:r>
    </w:p>
  </w:comment>
  <w:comment w:id="30" w:author="Sarah Wyld" w:date="2021-04-12T19:09:00Z" w:initials="">
    <w:p w14:paraId="00000074"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Comment*</w:t>
      </w:r>
    </w:p>
    <w:p w14:paraId="00000075"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76"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are open to Steve's suggestion and look forward to reviewing his input as soon as it is provided.</w:t>
      </w:r>
    </w:p>
  </w:comment>
  <w:comment w:id="60" w:author="Alan Greenberg" w:date="2021-04-01T05:03:00Z" w:initials="">
    <w:p w14:paraId="0000007D"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PDP recommendations should be measurable to ensure that the PDP recommendation have met their goals. For "Guidance", that means we need a way of tracking to what extent the guidance is being followed.</w:t>
      </w:r>
    </w:p>
  </w:comment>
  <w:comment w:id="61" w:author="Microsoft Office User" w:date="2021-04-04T11:48:00Z" w:initials="">
    <w:p w14:paraId="0000007E"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EPDP Team to consider what tracking can be implemented and who should be responsible for this tracking.</w:t>
      </w:r>
    </w:p>
  </w:comment>
  <w:comment w:id="62" w:author="Volker Greimann" w:date="2021-04-12T10:34:00Z" w:initials="">
    <w:p w14:paraId="0000007F"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Tracking would complicate implementation even further. While nice to have, is it necessary for mere (unenforceable) guidance?</w:t>
      </w:r>
    </w:p>
  </w:comment>
  <w:comment w:id="63" w:author="Sarah Wyld" w:date="2021-04-12T19:10:00Z" w:initials="">
    <w:p w14:paraId="00000080"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Comment*</w:t>
      </w:r>
    </w:p>
    <w:p w14:paraId="00000081"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82"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If guidance is optional, the purpose of tracking adherence to that guidance is unclear. Each Contracted Party may select helpful elements from the guidance and so measuring the degree to which that guidance is followed is not valuable. Perhaps Alan G could provide more specificity about the tracking?</w:t>
      </w:r>
    </w:p>
  </w:comment>
  <w:comment w:id="64" w:author="Melina Stroungi" w:date="2021-04-12T09:38:00Z" w:initials="">
    <w:p w14:paraId="00000095"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Delete 'the data sets'. At first stage there should be differentiation between natural and legal persons. </w:t>
      </w:r>
    </w:p>
    <w:p w14:paraId="00000096"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Starting with differentiation of data rather than entities is risky and cannot be part of guidance and best practices.</w:t>
      </w:r>
    </w:p>
    <w:p w14:paraId="00000097"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Besides, all the examples below start with differentiating between natural and legal persons before looking at the data sets. </w:t>
      </w:r>
      <w:proofErr w:type="gramStart"/>
      <w:r>
        <w:rPr>
          <w:rFonts w:ascii="Arial" w:eastAsia="Arial" w:hAnsi="Arial" w:cs="Arial"/>
          <w:color w:val="000000"/>
          <w:sz w:val="22"/>
          <w:szCs w:val="22"/>
        </w:rPr>
        <w:t>So</w:t>
      </w:r>
      <w:proofErr w:type="gramEnd"/>
      <w:r>
        <w:rPr>
          <w:rFonts w:ascii="Arial" w:eastAsia="Arial" w:hAnsi="Arial" w:cs="Arial"/>
          <w:color w:val="000000"/>
          <w:sz w:val="22"/>
          <w:szCs w:val="22"/>
        </w:rPr>
        <w:t xml:space="preserve"> it is confusing to use a different phrasing in the proposed guidance than in the examples.</w:t>
      </w:r>
    </w:p>
  </w:comment>
  <w:comment w:id="65" w:author="Volker Greimann" w:date="2021-04-12T10:47:00Z" w:initials="">
    <w:p w14:paraId="00000098"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Disagree.</w:t>
      </w:r>
    </w:p>
  </w:comment>
  <w:comment w:id="66" w:author="Microsoft Office User" w:date="2021-04-13T07:40:00Z" w:initials="MOU">
    <w:p w14:paraId="1F5D8155" w14:textId="1380A8BB" w:rsidR="00B8393B" w:rsidRDefault="00B8393B">
      <w:pPr>
        <w:pStyle w:val="CommentText"/>
      </w:pPr>
      <w:r>
        <w:rPr>
          <w:rStyle w:val="CommentReference"/>
        </w:rPr>
        <w:annotationRef/>
      </w:r>
      <w:r>
        <w:t xml:space="preserve">EPDP Team: no change made as there seems to be disagreement. Melina and Volker to discuss. </w:t>
      </w:r>
    </w:p>
  </w:comment>
  <w:comment w:id="68" w:author="Alan Greenberg" w:date="2021-04-01T04:53:00Z" w:initials="">
    <w:p w14:paraId="00000077"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 would like to understand why an RDDS flag is not possible in all cases. This would allow </w:t>
      </w:r>
      <w:proofErr w:type="spellStart"/>
      <w:r>
        <w:rPr>
          <w:rFonts w:ascii="Arial" w:eastAsia="Arial" w:hAnsi="Arial" w:cs="Arial"/>
          <w:color w:val="000000"/>
          <w:sz w:val="22"/>
          <w:szCs w:val="22"/>
        </w:rPr>
        <w:t>escro</w:t>
      </w:r>
      <w:proofErr w:type="spellEnd"/>
      <w:r>
        <w:rPr>
          <w:rFonts w:ascii="Arial" w:eastAsia="Arial" w:hAnsi="Arial" w:cs="Arial"/>
          <w:color w:val="000000"/>
          <w:sz w:val="22"/>
          <w:szCs w:val="22"/>
        </w:rPr>
        <w:t xml:space="preserve"> and transfers to be </w:t>
      </w:r>
      <w:proofErr w:type="gramStart"/>
      <w:r>
        <w:rPr>
          <w:rFonts w:ascii="Arial" w:eastAsia="Arial" w:hAnsi="Arial" w:cs="Arial"/>
          <w:color w:val="000000"/>
          <w:sz w:val="22"/>
          <w:szCs w:val="22"/>
        </w:rPr>
        <w:t>effected</w:t>
      </w:r>
      <w:proofErr w:type="gramEnd"/>
      <w:r>
        <w:rPr>
          <w:rFonts w:ascii="Arial" w:eastAsia="Arial" w:hAnsi="Arial" w:cs="Arial"/>
          <w:color w:val="000000"/>
          <w:sz w:val="22"/>
          <w:szCs w:val="22"/>
        </w:rPr>
        <w:t xml:space="preserve"> with minimal registrant inconvenience.</w:t>
      </w:r>
    </w:p>
  </w:comment>
  <w:comment w:id="69" w:author="Microsoft Office User" w:date="2021-04-04T11:49:00Z" w:initials="">
    <w:p w14:paraId="00000078"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EPDP Team to respond to Alan’s question.</w:t>
      </w:r>
    </w:p>
  </w:comment>
  <w:comment w:id="70" w:author="Volker Greimann" w:date="2021-04-12T10:36:00Z" w:initials="">
    <w:p w14:paraId="00000079"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 flag should be possible, but is it economically reasonable or even feasible to implement? What is the benefit for the parties bearing the costs of this implementation (CPs, escrow agents, RDDS </w:t>
      </w:r>
      <w:proofErr w:type="gramStart"/>
      <w:r>
        <w:rPr>
          <w:rFonts w:ascii="Arial" w:eastAsia="Arial" w:hAnsi="Arial" w:cs="Arial"/>
          <w:color w:val="000000"/>
          <w:sz w:val="22"/>
          <w:szCs w:val="22"/>
        </w:rPr>
        <w:t>services)...</w:t>
      </w:r>
      <w:proofErr w:type="gramEnd"/>
    </w:p>
  </w:comment>
  <w:comment w:id="71" w:author="Sarah Wyld" w:date="2021-04-12T19:11:00Z" w:initials="">
    <w:p w14:paraId="0000007A"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Comment*</w:t>
      </w:r>
    </w:p>
    <w:p w14:paraId="0000007B"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7C"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Could Alan G please provide more information about what this flag would do for Contracted Parties who do choose to differentiate? How would the flag work?</w:t>
      </w:r>
    </w:p>
  </w:comment>
  <w:comment w:id="72" w:author="Melina Stroungi" w:date="2021-04-12T09:41:00Z" w:initials="">
    <w:p w14:paraId="00000056"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Replace by 'the type of person/entity'. A distinction between data sets CANNOT happen before distinction between legal and natural persons. Ultimately, it is up to the Registrars to choose how they want to proceed but we cannot include non-compliant approaches as part of guidance/best practices.</w:t>
      </w:r>
    </w:p>
  </w:comment>
  <w:comment w:id="73" w:author="Microsoft Office User" w:date="2021-04-13T07:42:00Z" w:initials="MOU">
    <w:p w14:paraId="1653F2BD" w14:textId="5E4FD829" w:rsidR="00B8393B" w:rsidRDefault="00B8393B">
      <w:pPr>
        <w:pStyle w:val="CommentText"/>
      </w:pPr>
      <w:r>
        <w:rPr>
          <w:rStyle w:val="CommentReference"/>
        </w:rPr>
        <w:annotationRef/>
      </w:r>
      <w:r w:rsidR="00393392">
        <w:t xml:space="preserve">Staff </w:t>
      </w:r>
      <w:r>
        <w:t xml:space="preserve">Support Team: note this is outlined under 1. and also made clear in the scenarios as being the first step.  </w:t>
      </w:r>
    </w:p>
  </w:comment>
  <w:comment w:id="74" w:author="Melina Stroungi" w:date="2021-04-12T09:54:00Z" w:initials="">
    <w:p w14:paraId="0000005C"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This phrase proves that a distinction between legal and natural should have preceded. </w:t>
      </w:r>
      <w:proofErr w:type="gramStart"/>
      <w:r>
        <w:rPr>
          <w:rFonts w:ascii="Arial" w:eastAsia="Arial" w:hAnsi="Arial" w:cs="Arial"/>
          <w:color w:val="000000"/>
          <w:sz w:val="22"/>
          <w:szCs w:val="22"/>
        </w:rPr>
        <w:t>Otherwise</w:t>
      </w:r>
      <w:proofErr w:type="gramEnd"/>
      <w:r>
        <w:rPr>
          <w:rFonts w:ascii="Arial" w:eastAsia="Arial" w:hAnsi="Arial" w:cs="Arial"/>
          <w:color w:val="000000"/>
          <w:sz w:val="22"/>
          <w:szCs w:val="22"/>
        </w:rPr>
        <w:t xml:space="preserve"> how do you know which are the non-personal data of legal persons?</w:t>
      </w:r>
    </w:p>
  </w:comment>
  <w:comment w:id="75" w:author="Microsoft Office User" w:date="2021-04-13T07:41:00Z" w:initials="MOU">
    <w:p w14:paraId="0F945B81" w14:textId="2A964582" w:rsidR="00B8393B" w:rsidRDefault="00B8393B">
      <w:pPr>
        <w:pStyle w:val="CommentText"/>
      </w:pPr>
      <w:r>
        <w:rPr>
          <w:rStyle w:val="CommentReference"/>
        </w:rPr>
        <w:annotationRef/>
      </w:r>
      <w:r w:rsidR="00393392">
        <w:t xml:space="preserve">Staff </w:t>
      </w:r>
      <w:r>
        <w:t xml:space="preserve">Support Team: differentiation between legal and natural persons is noted under 1. </w:t>
      </w:r>
    </w:p>
  </w:comment>
  <w:comment w:id="76" w:author="Volker Greimann" w:date="2021-04-12T10:45:00Z" w:initials="">
    <w:p w14:paraId="0000005D"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propose deletion of "of legal persons" as only the "non-personal data" element is relevant for the decision.</w:t>
      </w:r>
    </w:p>
  </w:comment>
  <w:comment w:id="77" w:author="Melina Stroungi" w:date="2021-04-12T11:23:00Z" w:initials="">
    <w:p w14:paraId="0000005E"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Disagree. The approach suggesting </w:t>
      </w:r>
      <w:proofErr w:type="gramStart"/>
      <w:r>
        <w:rPr>
          <w:rFonts w:ascii="Arial" w:eastAsia="Arial" w:hAnsi="Arial" w:cs="Arial"/>
          <w:color w:val="000000"/>
          <w:sz w:val="22"/>
          <w:szCs w:val="22"/>
        </w:rPr>
        <w:t>to differentiate</w:t>
      </w:r>
      <w:proofErr w:type="gramEnd"/>
      <w:r>
        <w:rPr>
          <w:rFonts w:ascii="Arial" w:eastAsia="Arial" w:hAnsi="Arial" w:cs="Arial"/>
          <w:color w:val="000000"/>
          <w:sz w:val="22"/>
          <w:szCs w:val="22"/>
        </w:rPr>
        <w:t xml:space="preserve"> based on data rather than the subject/person is not GDPR compliant and cannot be part of a best practices guidance. Data of natural persons will always be personal data. Data of legal persons may include personal data or may not. You can start differentiating between data sets only after having differentiated between legal and natural entities.</w:t>
      </w:r>
    </w:p>
  </w:comment>
  <w:comment w:id="78" w:author="Volker Greimann" w:date="2021-04-12T14:00:00Z" w:initials="">
    <w:p w14:paraId="0000005F"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How can differentiating by the data content not be GDPR compliant? It is literally what GDPR is there for: to protect the data of data subjects, regardless of whether it is contained in a data set provided by a legal or a natural person.</w:t>
      </w:r>
    </w:p>
  </w:comment>
  <w:comment w:id="79" w:author="Volker Greimann" w:date="2021-04-12T14:02:00Z" w:initials="">
    <w:p w14:paraId="00000060"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Remember that the default is not to disclose. Treat all data as personal data protected under the GDPR and you are fully compliant. After you do that, the only question that remains is whether to disclose or not and at that point, only the content matters.</w:t>
      </w:r>
    </w:p>
  </w:comment>
  <w:comment w:id="80" w:author="Volker Greimann" w:date="2021-04-12T10:47:00Z" w:initials="">
    <w:p w14:paraId="0000009E"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Change to "by SSAD and/or by systems other than SSAD. "</w:t>
      </w:r>
    </w:p>
    <w:p w14:paraId="0000009F"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Needs explanation what "systems other than SSAD is supposed to refer to.</w:t>
      </w:r>
    </w:p>
  </w:comment>
  <w:comment w:id="81" w:author="Microsoft Office User" w:date="2021-04-13T07:44:00Z" w:initials="MOU">
    <w:p w14:paraId="4D4E6764" w14:textId="0866D832" w:rsidR="001C7266" w:rsidRDefault="001C7266">
      <w:pPr>
        <w:pStyle w:val="CommentText"/>
      </w:pPr>
      <w:r>
        <w:rPr>
          <w:rStyle w:val="CommentReference"/>
        </w:rPr>
        <w:annotationRef/>
      </w:r>
      <w:r w:rsidR="00393392">
        <w:t xml:space="preserve">Staff </w:t>
      </w:r>
      <w:r>
        <w:t xml:space="preserve">Support Team: example of RDAP added. No change made to the sentence as </w:t>
      </w:r>
      <w:proofErr w:type="gramStart"/>
      <w:r>
        <w:t>SSAD</w:t>
      </w:r>
      <w:proofErr w:type="gramEnd"/>
      <w:r>
        <w:t xml:space="preserve"> and other systems do not work in the same way (for SSAD disclosure requests need to be made while for other systems a query may be sufficient). </w:t>
      </w:r>
    </w:p>
  </w:comment>
  <w:comment w:id="85" w:author="Laureen Kapin" w:date="2021-03-31T13:56:00Z" w:initials="">
    <w:p w14:paraId="00000099"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 guidance re: explaining what a legal person and natural person are. This is a foundation that paves the way for the further guidance specified.</w:t>
      </w:r>
    </w:p>
  </w:comment>
  <w:comment w:id="86" w:author="Microsoft Office User" w:date="2021-04-04T11:51:00Z" w:initials="">
    <w:p w14:paraId="0000009A"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EPDP Team to consider whether additional guidance re. explaining what a legal person and natural persons are, should be added and if so, suggest specific language.</w:t>
      </w:r>
    </w:p>
  </w:comment>
  <w:comment w:id="87" w:author="Sarah Wyld" w:date="2021-04-12T19:12:00Z" w:initials="">
    <w:p w14:paraId="0000009B"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Comment*</w:t>
      </w:r>
    </w:p>
    <w:p w14:paraId="0000009C"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9D"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strays into providing legal advice. The most guidance should say is that Registrars should explain the terms they use.</w:t>
      </w:r>
    </w:p>
  </w:comment>
  <w:comment w:id="88" w:author="Microsoft Office User" w:date="2021-04-13T07:57:00Z" w:initials="MOU">
    <w:p w14:paraId="5D9709CB" w14:textId="1A8C6083" w:rsidR="00BF1665" w:rsidRDefault="00BF1665">
      <w:pPr>
        <w:pStyle w:val="CommentText"/>
      </w:pPr>
      <w:r>
        <w:rPr>
          <w:rStyle w:val="CommentReference"/>
        </w:rPr>
        <w:annotationRef/>
      </w:r>
      <w:r w:rsidR="00393392">
        <w:t xml:space="preserve">Staff </w:t>
      </w:r>
      <w:r>
        <w:t>Support Team: update made to make clear this would be the responsibility of the Registrar.</w:t>
      </w:r>
    </w:p>
  </w:comment>
  <w:comment w:id="90" w:author="Laureen Kapin" w:date="2021-04-12T19:42:00Z" w:initials="">
    <w:p w14:paraId="000000A0"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These scenarios do not seem to include informing the data subject of the consequences of identifying as a legal person.</w:t>
      </w:r>
    </w:p>
  </w:comment>
  <w:comment w:id="91" w:author="Microsoft Office User" w:date="2021-04-13T07:59:00Z" w:initials="MOU">
    <w:p w14:paraId="0A2D8BFA" w14:textId="58D1E230" w:rsidR="00BF1665" w:rsidRDefault="00BF1665">
      <w:pPr>
        <w:pStyle w:val="CommentText"/>
      </w:pPr>
      <w:r>
        <w:rPr>
          <w:rStyle w:val="CommentReference"/>
        </w:rPr>
        <w:annotationRef/>
      </w:r>
      <w:r w:rsidR="00393392">
        <w:t xml:space="preserve">Staff </w:t>
      </w:r>
      <w:r>
        <w:t>Support Team: added clarification that this includes informing the registrant per guidance #3 above.</w:t>
      </w:r>
    </w:p>
  </w:comment>
  <w:comment w:id="96" w:author="Alan Greenberg" w:date="2021-04-01T04:55:00Z" w:initials="">
    <w:p w14:paraId="00000051"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should be an RDDS-defined field.</w:t>
      </w:r>
    </w:p>
  </w:comment>
  <w:comment w:id="97" w:author="Microsoft Office User" w:date="2021-04-04T11:27:00Z" w:initials="">
    <w:p w14:paraId="00000052"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Alan G. / EPDP Team to consider whether or not this needs to be made specific and if so, who is responsible for creating such a field (does that require a separate recommendation?)</w:t>
      </w:r>
    </w:p>
  </w:comment>
  <w:comment w:id="98" w:author="Sarah Wyld" w:date="2021-04-12T19:13:00Z" w:initials="">
    <w:p w14:paraId="00000053"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Comment*</w:t>
      </w:r>
    </w:p>
    <w:p w14:paraId="00000054"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55"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Refer to comment in this thread: https://docs.google.com/document/d/1OF_bSxXaiGwK_-jWVC8oq-weXMaX7iEVCWWTMhw9Jyg/edit?disco=AAAALweFjn4</w:t>
      </w:r>
    </w:p>
  </w:comment>
  <w:comment w:id="99" w:author="Volker Greimann" w:date="2021-04-12T10:43:00Z" w:initials="">
    <w:p w14:paraId="00000084"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needs further debate</w:t>
      </w:r>
    </w:p>
  </w:comment>
  <w:comment w:id="100" w:author="Microsoft Office User" w:date="2021-04-13T08:32:00Z" w:initials="MOU">
    <w:p w14:paraId="06DF419A" w14:textId="4F337BF5" w:rsidR="00393392" w:rsidRDefault="00393392">
      <w:pPr>
        <w:pStyle w:val="CommentText"/>
      </w:pPr>
      <w:r>
        <w:rPr>
          <w:rStyle w:val="CommentReference"/>
        </w:rPr>
        <w:annotationRef/>
      </w:r>
      <w:r>
        <w:t xml:space="preserve">Staff Support Team: </w:t>
      </w:r>
      <w:r w:rsidRPr="00393392">
        <w:rPr>
          <w:highlight w:val="yellow"/>
        </w:rPr>
        <w:t>EPDP Team to discuss further</w:t>
      </w:r>
    </w:p>
  </w:comment>
  <w:comment w:id="101" w:author="Sarah Wyld" w:date="2021-04-12T19:15:00Z" w:initials="">
    <w:p w14:paraId="0000004C"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t>
      </w:r>
      <w:proofErr w:type="spellStart"/>
      <w:r>
        <w:rPr>
          <w:rFonts w:ascii="Arial" w:eastAsia="Arial" w:hAnsi="Arial" w:cs="Arial"/>
          <w:color w:val="000000"/>
          <w:sz w:val="22"/>
          <w:szCs w:val="22"/>
        </w:rPr>
        <w:t>RrSG</w:t>
      </w:r>
      <w:proofErr w:type="spellEnd"/>
      <w:r>
        <w:rPr>
          <w:rFonts w:ascii="Arial" w:eastAsia="Arial" w:hAnsi="Arial" w:cs="Arial"/>
          <w:color w:val="000000"/>
          <w:sz w:val="22"/>
          <w:szCs w:val="22"/>
        </w:rPr>
        <w:t xml:space="preserve"> Comment*</w:t>
      </w:r>
    </w:p>
    <w:p w14:paraId="0000004D"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4E"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is too prescriptive. Guidance should be that if any changes are made then the data is treated as natural-person data until the Registrant indicates otherwise via repetition of steps a-c.</w:t>
      </w:r>
    </w:p>
    <w:p w14:paraId="0000004F"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50"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also caution that a complex and high-touch process such as the one proposed here will drive away data subjects from the registration data update process and encourage them to abandon the domain data update process entirely, resulting in inaccurate data at a higher rate than if the whole process did not exist.</w:t>
      </w:r>
    </w:p>
  </w:comment>
  <w:comment w:id="102" w:author="Microsoft Office User" w:date="2021-04-13T08:01:00Z" w:initials="MOU">
    <w:p w14:paraId="2BCA0A52" w14:textId="60ACC50B" w:rsidR="00BF1665" w:rsidRDefault="00BF1665">
      <w:pPr>
        <w:pStyle w:val="CommentText"/>
      </w:pPr>
      <w:r>
        <w:rPr>
          <w:rStyle w:val="CommentReference"/>
        </w:rPr>
        <w:annotationRef/>
      </w:r>
      <w:r>
        <w:t>Support team</w:t>
      </w:r>
      <w:r w:rsidRPr="00393392">
        <w:rPr>
          <w:highlight w:val="yellow"/>
        </w:rPr>
        <w:t>: EPDP Team to discuss. This was updated following input during the previous meeting with the suggestion that it would make sense to ask a registrant when updates are made whether these updates change the data type instead of reverting to a default position.</w:t>
      </w:r>
      <w:r>
        <w:t xml:space="preserve"> </w:t>
      </w:r>
    </w:p>
  </w:comment>
  <w:comment w:id="104" w:author="Volker Greimann" w:date="2021-04-12T10:43:00Z" w:initials="">
    <w:p w14:paraId="00000083"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needs further debate.</w:t>
      </w:r>
    </w:p>
  </w:comment>
  <w:comment w:id="105" w:author="Microsoft Office User" w:date="2021-04-13T08:18:00Z" w:initials="MOU">
    <w:p w14:paraId="52C1D3F4" w14:textId="2E9FE551" w:rsidR="004045E9" w:rsidRDefault="004045E9">
      <w:pPr>
        <w:pStyle w:val="CommentText"/>
      </w:pPr>
      <w:r>
        <w:rPr>
          <w:rStyle w:val="CommentReference"/>
        </w:rPr>
        <w:annotationRef/>
      </w:r>
      <w:r>
        <w:t xml:space="preserve">Support Team: </w:t>
      </w:r>
      <w:r w:rsidRPr="00393392">
        <w:rPr>
          <w:highlight w:val="yellow"/>
        </w:rPr>
        <w:t>EPDP Team to further discuss</w:t>
      </w:r>
    </w:p>
  </w:comment>
  <w:comment w:id="110" w:author="Amr Elsadr" w:date="2021-04-07T10:05:00Z" w:initials="">
    <w:p w14:paraId="00000061"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Should this be "Registrar"?</w:t>
      </w:r>
    </w:p>
  </w:comment>
  <w:comment w:id="111" w:author="Volker Greimann" w:date="2021-04-12T10:41:00Z" w:initials="">
    <w:p w14:paraId="00000062"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yes.</w:t>
      </w:r>
    </w:p>
  </w:comment>
  <w:comment w:id="114" w:author="Amr Elsadr" w:date="2021-04-07T10:07:00Z" w:initials="">
    <w:p w14:paraId="00000058"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Is this about automated disclosure? Unclear in the text of this scenario as opposed to the first 2 scenarios.</w:t>
      </w:r>
    </w:p>
  </w:comment>
  <w:comment w:id="115" w:author="Volker Greimann" w:date="2021-04-12T10:42:00Z" w:initials="">
    <w:p w14:paraId="00000059"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all scenarios should refer to disclosure.</w:t>
      </w:r>
    </w:p>
  </w:comment>
  <w:comment w:id="106" w:author="Microsoft Office User" w:date="2021-04-04T11:40:00Z" w:initials="">
    <w:p w14:paraId="0000008B"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Question for EPDP Team: should this scenario be deleted? Note, NCSG objects to inclusion of this scenario, unless Registrar is barred from inferring registration </w:t>
      </w:r>
      <w:proofErr w:type="gramStart"/>
      <w:r>
        <w:rPr>
          <w:rFonts w:ascii="Arial" w:eastAsia="Arial" w:hAnsi="Arial" w:cs="Arial"/>
          <w:color w:val="000000"/>
          <w:sz w:val="22"/>
          <w:szCs w:val="22"/>
        </w:rPr>
        <w:t>type..</w:t>
      </w:r>
      <w:proofErr w:type="gramEnd"/>
    </w:p>
  </w:comment>
  <w:comment w:id="107" w:author="Melina Stroungi" w:date="2021-04-12T09:47:00Z" w:initials="">
    <w:p w14:paraId="0000008C"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Indeed - how the Registrar will infer the legal/natural type without the involvement of the registrant? Let's have this point clarified.</w:t>
      </w:r>
    </w:p>
  </w:comment>
  <w:comment w:id="108" w:author="Volker Greimann" w:date="2021-04-12T10:41:00Z" w:initials="">
    <w:p w14:paraId="0000008D"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At a minimum, it would have to be more descriptive of the specific cases where such determination could be used.</w:t>
      </w:r>
    </w:p>
  </w:comment>
  <w:comment w:id="126" w:author="Laureen Kapin" w:date="2021-03-31T13:57:00Z" w:initials="">
    <w:p w14:paraId="0000008E"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Consider practical challenges and whether this creates any further privacy risks.</w:t>
      </w:r>
    </w:p>
  </w:comment>
  <w:comment w:id="127" w:author="Microsoft Office User" w:date="2021-04-04T11:41:00Z" w:initials="">
    <w:p w14:paraId="0000008F"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EPDP Team to consider practical challenges and whether this creates any further privacy risks.</w:t>
      </w:r>
    </w:p>
  </w:comment>
  <w:comment w:id="128" w:author="Volker Greimann" w:date="2021-04-12T10:47:00Z" w:initials="">
    <w:p w14:paraId="00000090"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Propose the turn the language around not to disallow this as option, but not to indicate this is recommended: </w:t>
      </w:r>
    </w:p>
    <w:p w14:paraId="00000091"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"Registrars shall not be prohibited from voluntarily utilizing third party services to verify ..., provided such verification is compliant with applicable data protection regulations."</w:t>
      </w:r>
    </w:p>
  </w:comment>
  <w:comment w:id="129" w:author="Microsoft Office User" w:date="2021-04-13T08:25:00Z" w:initials="MOU">
    <w:p w14:paraId="5B557E19" w14:textId="303F0C2D" w:rsidR="004045E9" w:rsidRDefault="004045E9">
      <w:pPr>
        <w:pStyle w:val="CommentText"/>
      </w:pPr>
      <w:r>
        <w:rPr>
          <w:rStyle w:val="CommentReference"/>
        </w:rPr>
        <w:annotationRef/>
      </w:r>
      <w:r>
        <w:t xml:space="preserve">Support Team: </w:t>
      </w:r>
      <w:r w:rsidRPr="00393392">
        <w:rPr>
          <w:highlight w:val="yellow"/>
        </w:rPr>
        <w:t>We have applied the proposed language suggested by Volker – EPDP Team to consider whether this sufficiently addressed the concerns.</w:t>
      </w:r>
      <w:r>
        <w:t xml:space="preserve"> </w:t>
      </w:r>
    </w:p>
  </w:comment>
  <w:comment w:id="130" w:author="Sarah Wyld" w:date="2021-04-12T19:16:00Z" w:initials="">
    <w:p w14:paraId="00000092"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Comment*</w:t>
      </w:r>
    </w:p>
    <w:p w14:paraId="00000093"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94"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question about privacy concerns here is not specific to a third-party verifier, it would also apply to other </w:t>
      </w:r>
      <w:proofErr w:type="gramStart"/>
      <w:r>
        <w:rPr>
          <w:rFonts w:ascii="Arial" w:eastAsia="Arial" w:hAnsi="Arial" w:cs="Arial"/>
          <w:color w:val="000000"/>
          <w:sz w:val="22"/>
          <w:szCs w:val="22"/>
        </w:rPr>
        <w:t>third party</w:t>
      </w:r>
      <w:proofErr w:type="gramEnd"/>
      <w:r>
        <w:rPr>
          <w:rFonts w:ascii="Arial" w:eastAsia="Arial" w:hAnsi="Arial" w:cs="Arial"/>
          <w:color w:val="000000"/>
          <w:sz w:val="22"/>
          <w:szCs w:val="22"/>
        </w:rPr>
        <w:t xml:space="preserve"> processors such as a data escrow provider, and these questions are out of scope for this EPDP Phase 2a. That said, there are some practical questions to be considered by the eventual appropriate team: Who is the verifier, how are they themselves verified/accredited, how is the registration data shared with them, what data protection agreement exists with them, what happens if the data provided to them is obtained by an unauthorized third party, </w:t>
      </w:r>
      <w:proofErr w:type="spellStart"/>
      <w:r>
        <w:rPr>
          <w:rFonts w:ascii="Arial" w:eastAsia="Arial" w:hAnsi="Arial" w:cs="Arial"/>
          <w:color w:val="000000"/>
          <w:sz w:val="22"/>
          <w:szCs w:val="22"/>
        </w:rPr>
        <w:t>etc</w:t>
      </w:r>
      <w:proofErr w:type="spellEnd"/>
      <w:r>
        <w:rPr>
          <w:rFonts w:ascii="Arial" w:eastAsia="Arial" w:hAnsi="Arial" w:cs="Arial"/>
          <w:color w:val="000000"/>
          <w:sz w:val="22"/>
          <w:szCs w:val="22"/>
        </w:rPr>
        <w:t>? These are all surmountable but entirely unnecessary risks. Finally, we note that the advice provided by B&amp;B on April 6 speaks to this issue.</w:t>
      </w:r>
    </w:p>
  </w:comment>
  <w:comment w:id="118" w:author="Steve Crocker" w:date="2021-04-02T00:51:00Z" w:initials="">
    <w:p w14:paraId="00000085"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statement that registrars may also choose to use a third party to verify that a registrant has correctly identified its data implies there is risk to registrar if registrant has incorrectly identified its data.  What is the motivation for this statement?  If the registrar has provided clear instructions and clearly explained the reason for asking and how the answer will be used, it seems to me only the registrant bears any risk.  Use of a third party to second guess the registrant adds cost and complexity.  Moreover, the costs ultimately will be borne by the registrant, so the suggestion to use a third party is an indirect way of saying the registrant should bear an additional cost to protect them from making an incorrect declaration.</w:t>
      </w:r>
    </w:p>
    <w:p w14:paraId="00000086" w14:textId="77777777" w:rsidR="00071D27" w:rsidRDefault="00071D27">
      <w:pPr>
        <w:widowControl w:val="0"/>
        <w:pBdr>
          <w:top w:val="nil"/>
          <w:left w:val="nil"/>
          <w:bottom w:val="nil"/>
          <w:right w:val="nil"/>
          <w:between w:val="nil"/>
        </w:pBdr>
        <w:rPr>
          <w:rFonts w:ascii="Arial" w:eastAsia="Arial" w:hAnsi="Arial" w:cs="Arial"/>
          <w:color w:val="000000"/>
          <w:sz w:val="22"/>
          <w:szCs w:val="22"/>
        </w:rPr>
      </w:pPr>
    </w:p>
    <w:p w14:paraId="00000087"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suggest removing this sentence.</w:t>
      </w:r>
    </w:p>
  </w:comment>
  <w:comment w:id="119" w:author="Microsoft Office User" w:date="2021-04-04T11:42:00Z" w:initials="">
    <w:p w14:paraId="00000088"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EPDP Team to consider whether this sentence should be deleted.</w:t>
      </w:r>
    </w:p>
  </w:comment>
  <w:comment w:id="120" w:author="Melina Stroungi" w:date="2021-04-12T09:50:00Z" w:initials="">
    <w:p w14:paraId="00000089"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Let's discuss. This sentence should in any case be optional. I do not see the harm of using third parties to verify as an extra layer of caution for contracted parties who feel safer to do so. Indeed it may mean more </w:t>
      </w:r>
      <w:proofErr w:type="gramStart"/>
      <w:r>
        <w:rPr>
          <w:rFonts w:ascii="Arial" w:eastAsia="Arial" w:hAnsi="Arial" w:cs="Arial"/>
          <w:color w:val="000000"/>
          <w:sz w:val="22"/>
          <w:szCs w:val="22"/>
        </w:rPr>
        <w:t>costs,  but</w:t>
      </w:r>
      <w:proofErr w:type="gramEnd"/>
      <w:r>
        <w:rPr>
          <w:rFonts w:ascii="Arial" w:eastAsia="Arial" w:hAnsi="Arial" w:cs="Arial"/>
          <w:color w:val="000000"/>
          <w:sz w:val="22"/>
          <w:szCs w:val="22"/>
        </w:rPr>
        <w:t xml:space="preserve"> this is a free choice they can go for or not. I think the word 'may' is very accurate.</w:t>
      </w:r>
    </w:p>
  </w:comment>
  <w:comment w:id="121" w:author="Sarah Wyld" w:date="2021-04-12T19:16:00Z" w:initials="">
    <w:p w14:paraId="0000008A" w14:textId="77777777" w:rsidR="00071D27" w:rsidRDefault="00B109F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CPH response is found in https://docs.google.com/document/d/1OF_bSxXaiGwK_-jWVC8oq-weXMaX7iEVCWWTMhw9Jyg/edit?disco=AAAALweFjoI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57" w15:done="0"/>
  <w15:commentEx w15:paraId="4BF092E6" w15:paraIdParent="00000057" w15:done="0"/>
  <w15:commentEx w15:paraId="0000005A" w15:done="0"/>
  <w15:commentEx w15:paraId="5632FBBD" w15:paraIdParent="0000005A" w15:done="0"/>
  <w15:commentEx w15:paraId="0000005B" w15:done="0"/>
  <w15:commentEx w15:paraId="0000006B" w15:done="0"/>
  <w15:commentEx w15:paraId="0000006C" w15:done="0"/>
  <w15:commentEx w15:paraId="00000072" w15:done="0"/>
  <w15:commentEx w15:paraId="00000073" w15:done="0"/>
  <w15:commentEx w15:paraId="00000076" w15:done="0"/>
  <w15:commentEx w15:paraId="0000007D" w15:done="0"/>
  <w15:commentEx w15:paraId="0000007E" w15:done="0"/>
  <w15:commentEx w15:paraId="0000007F" w15:done="0"/>
  <w15:commentEx w15:paraId="00000082" w15:done="0"/>
  <w15:commentEx w15:paraId="00000097" w15:done="0"/>
  <w15:commentEx w15:paraId="00000098" w15:done="0"/>
  <w15:commentEx w15:paraId="1F5D8155" w15:done="0"/>
  <w15:commentEx w15:paraId="00000077" w15:done="0"/>
  <w15:commentEx w15:paraId="00000078" w15:done="0"/>
  <w15:commentEx w15:paraId="00000079" w15:done="0"/>
  <w15:commentEx w15:paraId="0000007C" w15:done="0"/>
  <w15:commentEx w15:paraId="00000056" w15:done="0"/>
  <w15:commentEx w15:paraId="1653F2BD" w15:paraIdParent="00000056" w15:done="0"/>
  <w15:commentEx w15:paraId="0000005C" w15:done="0"/>
  <w15:commentEx w15:paraId="0F945B81" w15:paraIdParent="0000005C" w15:done="0"/>
  <w15:commentEx w15:paraId="0000005D" w15:done="0"/>
  <w15:commentEx w15:paraId="0000005E" w15:done="0"/>
  <w15:commentEx w15:paraId="0000005F" w15:done="0"/>
  <w15:commentEx w15:paraId="00000060" w15:done="0"/>
  <w15:commentEx w15:paraId="0000009F" w15:done="0"/>
  <w15:commentEx w15:paraId="4D4E6764" w15:paraIdParent="0000009F" w15:done="0"/>
  <w15:commentEx w15:paraId="00000099" w15:done="0"/>
  <w15:commentEx w15:paraId="0000009A" w15:done="0"/>
  <w15:commentEx w15:paraId="0000009D" w15:done="0"/>
  <w15:commentEx w15:paraId="5D9709CB" w15:paraIdParent="0000009D" w15:done="0"/>
  <w15:commentEx w15:paraId="000000A0" w15:done="0"/>
  <w15:commentEx w15:paraId="0A2D8BFA" w15:paraIdParent="000000A0" w15:done="0"/>
  <w15:commentEx w15:paraId="00000051" w15:done="0"/>
  <w15:commentEx w15:paraId="00000052" w15:done="0"/>
  <w15:commentEx w15:paraId="00000055" w15:done="0"/>
  <w15:commentEx w15:paraId="00000084" w15:done="0"/>
  <w15:commentEx w15:paraId="06DF419A" w15:paraIdParent="00000084" w15:done="0"/>
  <w15:commentEx w15:paraId="00000050" w15:done="0"/>
  <w15:commentEx w15:paraId="2BCA0A52" w15:paraIdParent="00000050" w15:done="0"/>
  <w15:commentEx w15:paraId="00000083" w15:done="0"/>
  <w15:commentEx w15:paraId="52C1D3F4" w15:paraIdParent="00000083" w15:done="0"/>
  <w15:commentEx w15:paraId="00000061" w15:done="0"/>
  <w15:commentEx w15:paraId="00000062" w15:done="0"/>
  <w15:commentEx w15:paraId="00000058" w15:done="0"/>
  <w15:commentEx w15:paraId="00000059" w15:done="0"/>
  <w15:commentEx w15:paraId="0000008B" w15:done="0"/>
  <w15:commentEx w15:paraId="0000008C" w15:done="0"/>
  <w15:commentEx w15:paraId="0000008D" w15:done="0"/>
  <w15:commentEx w15:paraId="0000008E" w15:done="0"/>
  <w15:commentEx w15:paraId="0000008F" w15:done="0"/>
  <w15:commentEx w15:paraId="00000091" w15:done="0"/>
  <w15:commentEx w15:paraId="5B557E19" w15:paraIdParent="00000091" w15:done="0"/>
  <w15:commentEx w15:paraId="00000094" w15:done="0"/>
  <w15:commentEx w15:paraId="00000087" w15:done="0"/>
  <w15:commentEx w15:paraId="00000088" w15:done="0"/>
  <w15:commentEx w15:paraId="00000089" w15:done="0"/>
  <w15:commentEx w15:paraId="00000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C5D4" w16cex:dateUtc="2021-04-13T13:25:00Z"/>
  <w16cex:commentExtensible w16cex:durableId="241FC7E5" w16cex:dateUtc="2021-04-13T13:33:00Z"/>
  <w16cex:commentExtensible w16cex:durableId="241FC966" w16cex:dateUtc="2021-04-13T13:40:00Z"/>
  <w16cex:commentExtensible w16cex:durableId="241FC9E6" w16cex:dateUtc="2021-04-13T13:42:00Z"/>
  <w16cex:commentExtensible w16cex:durableId="241FC9AC" w16cex:dateUtc="2021-04-13T13:41:00Z"/>
  <w16cex:commentExtensible w16cex:durableId="241FCA6A" w16cex:dateUtc="2021-04-13T13:44:00Z"/>
  <w16cex:commentExtensible w16cex:durableId="241FCD86" w16cex:dateUtc="2021-04-13T13:57:00Z"/>
  <w16cex:commentExtensible w16cex:durableId="241FCDC6" w16cex:dateUtc="2021-04-13T13:59:00Z"/>
  <w16cex:commentExtensible w16cex:durableId="241FD5A3" w16cex:dateUtc="2021-04-13T14:32:00Z"/>
  <w16cex:commentExtensible w16cex:durableId="241FCE65" w16cex:dateUtc="2021-04-13T14:01:00Z"/>
  <w16cex:commentExtensible w16cex:durableId="241FD246" w16cex:dateUtc="2021-04-13T14:18:00Z"/>
  <w16cex:commentExtensible w16cex:durableId="241FD402" w16cex:dateUtc="2021-04-13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57" w16cid:durableId="241FC4E3"/>
  <w16cid:commentId w16cid:paraId="4BF092E6" w16cid:durableId="241FC5D4"/>
  <w16cid:commentId w16cid:paraId="0000005A" w16cid:durableId="241FC4E4"/>
  <w16cid:commentId w16cid:paraId="5632FBBD" w16cid:durableId="241FC7E5"/>
  <w16cid:commentId w16cid:paraId="0000005B" w16cid:durableId="241FC4E5"/>
  <w16cid:commentId w16cid:paraId="0000006B" w16cid:durableId="241FC4E6"/>
  <w16cid:commentId w16cid:paraId="0000006C" w16cid:durableId="241FC4E7"/>
  <w16cid:commentId w16cid:paraId="00000072" w16cid:durableId="241FC4E8"/>
  <w16cid:commentId w16cid:paraId="00000073" w16cid:durableId="241FC4E9"/>
  <w16cid:commentId w16cid:paraId="00000076" w16cid:durableId="241FC4EA"/>
  <w16cid:commentId w16cid:paraId="0000007D" w16cid:durableId="241FC4EB"/>
  <w16cid:commentId w16cid:paraId="0000007E" w16cid:durableId="241FC4EC"/>
  <w16cid:commentId w16cid:paraId="0000007F" w16cid:durableId="241FC4ED"/>
  <w16cid:commentId w16cid:paraId="00000082" w16cid:durableId="241FC4EE"/>
  <w16cid:commentId w16cid:paraId="00000097" w16cid:durableId="241FC4EF"/>
  <w16cid:commentId w16cid:paraId="00000098" w16cid:durableId="241FC4F0"/>
  <w16cid:commentId w16cid:paraId="1F5D8155" w16cid:durableId="241FC966"/>
  <w16cid:commentId w16cid:paraId="00000077" w16cid:durableId="241FC4F1"/>
  <w16cid:commentId w16cid:paraId="00000078" w16cid:durableId="241FC4F2"/>
  <w16cid:commentId w16cid:paraId="00000079" w16cid:durableId="241FC4F3"/>
  <w16cid:commentId w16cid:paraId="0000007C" w16cid:durableId="241FC4F4"/>
  <w16cid:commentId w16cid:paraId="00000056" w16cid:durableId="241FC4F5"/>
  <w16cid:commentId w16cid:paraId="1653F2BD" w16cid:durableId="241FC9E6"/>
  <w16cid:commentId w16cid:paraId="0000005C" w16cid:durableId="241FC4F6"/>
  <w16cid:commentId w16cid:paraId="0F945B81" w16cid:durableId="241FC9AC"/>
  <w16cid:commentId w16cid:paraId="0000005D" w16cid:durableId="241FC4F7"/>
  <w16cid:commentId w16cid:paraId="0000005E" w16cid:durableId="241FC4F8"/>
  <w16cid:commentId w16cid:paraId="0000005F" w16cid:durableId="241FC4F9"/>
  <w16cid:commentId w16cid:paraId="00000060" w16cid:durableId="241FC4FA"/>
  <w16cid:commentId w16cid:paraId="0000009F" w16cid:durableId="241FC4FB"/>
  <w16cid:commentId w16cid:paraId="4D4E6764" w16cid:durableId="241FCA6A"/>
  <w16cid:commentId w16cid:paraId="00000099" w16cid:durableId="241FC4FC"/>
  <w16cid:commentId w16cid:paraId="0000009A" w16cid:durableId="241FC4FD"/>
  <w16cid:commentId w16cid:paraId="0000009D" w16cid:durableId="241FC4FE"/>
  <w16cid:commentId w16cid:paraId="5D9709CB" w16cid:durableId="241FCD86"/>
  <w16cid:commentId w16cid:paraId="000000A0" w16cid:durableId="241FC4FF"/>
  <w16cid:commentId w16cid:paraId="0A2D8BFA" w16cid:durableId="241FCDC6"/>
  <w16cid:commentId w16cid:paraId="00000051" w16cid:durableId="241FC500"/>
  <w16cid:commentId w16cid:paraId="00000052" w16cid:durableId="241FC501"/>
  <w16cid:commentId w16cid:paraId="00000055" w16cid:durableId="241FC502"/>
  <w16cid:commentId w16cid:paraId="00000084" w16cid:durableId="241FC503"/>
  <w16cid:commentId w16cid:paraId="06DF419A" w16cid:durableId="241FD5A3"/>
  <w16cid:commentId w16cid:paraId="00000050" w16cid:durableId="241FC504"/>
  <w16cid:commentId w16cid:paraId="2BCA0A52" w16cid:durableId="241FCE65"/>
  <w16cid:commentId w16cid:paraId="00000083" w16cid:durableId="241FC505"/>
  <w16cid:commentId w16cid:paraId="52C1D3F4" w16cid:durableId="241FD246"/>
  <w16cid:commentId w16cid:paraId="00000061" w16cid:durableId="241FC506"/>
  <w16cid:commentId w16cid:paraId="00000062" w16cid:durableId="241FC507"/>
  <w16cid:commentId w16cid:paraId="00000058" w16cid:durableId="241FC508"/>
  <w16cid:commentId w16cid:paraId="00000059" w16cid:durableId="241FC509"/>
  <w16cid:commentId w16cid:paraId="0000008B" w16cid:durableId="241FC50A"/>
  <w16cid:commentId w16cid:paraId="0000008C" w16cid:durableId="241FC50B"/>
  <w16cid:commentId w16cid:paraId="0000008D" w16cid:durableId="241FC50C"/>
  <w16cid:commentId w16cid:paraId="0000008E" w16cid:durableId="241FC50D"/>
  <w16cid:commentId w16cid:paraId="0000008F" w16cid:durableId="241FC50E"/>
  <w16cid:commentId w16cid:paraId="00000091" w16cid:durableId="241FC50F"/>
  <w16cid:commentId w16cid:paraId="5B557E19" w16cid:durableId="241FD402"/>
  <w16cid:commentId w16cid:paraId="00000094" w16cid:durableId="241FC510"/>
  <w16cid:commentId w16cid:paraId="00000087" w16cid:durableId="241FC511"/>
  <w16cid:commentId w16cid:paraId="00000088" w16cid:durableId="241FC512"/>
  <w16cid:commentId w16cid:paraId="00000089" w16cid:durableId="241FC513"/>
  <w16cid:commentId w16cid:paraId="0000008A" w16cid:durableId="241FC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FD53A" w14:textId="77777777" w:rsidR="002A7A21" w:rsidRDefault="002A7A21">
      <w:r>
        <w:separator/>
      </w:r>
    </w:p>
  </w:endnote>
  <w:endnote w:type="continuationSeparator" w:id="0">
    <w:p w14:paraId="39BEF2F8" w14:textId="77777777" w:rsidR="002A7A21" w:rsidRDefault="002A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B" w14:textId="77777777" w:rsidR="00071D27" w:rsidRDefault="00071D27">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62F27" w14:textId="77777777" w:rsidR="002A7A21" w:rsidRDefault="002A7A21">
      <w:r>
        <w:separator/>
      </w:r>
    </w:p>
  </w:footnote>
  <w:footnote w:type="continuationSeparator" w:id="0">
    <w:p w14:paraId="4687393A" w14:textId="77777777" w:rsidR="002A7A21" w:rsidRDefault="002A7A21">
      <w:r>
        <w:continuationSeparator/>
      </w:r>
    </w:p>
  </w:footnote>
  <w:footnote w:id="1">
    <w:p w14:paraId="0000003D" w14:textId="77777777" w:rsidR="00071D27" w:rsidRDefault="00B109F3">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As part of its Phase 1 Policy Recommendation #17, the EPDP Team recommended, “as soon as possible ICANN Org undertakes a study, for which the terms of reference are developed in consultation with the</w:t>
      </w:r>
    </w:p>
    <w:p w14:paraId="0000003E" w14:textId="77777777" w:rsidR="00071D27" w:rsidRDefault="00B109F3">
      <w:pPr>
        <w:pBdr>
          <w:top w:val="nil"/>
          <w:left w:val="nil"/>
          <w:bottom w:val="nil"/>
          <w:right w:val="nil"/>
          <w:between w:val="nil"/>
        </w:pBdr>
        <w:rPr>
          <w:color w:val="000000"/>
          <w:sz w:val="18"/>
          <w:szCs w:val="18"/>
        </w:rPr>
      </w:pPr>
      <w:r>
        <w:rPr>
          <w:color w:val="000000"/>
          <w:sz w:val="18"/>
          <w:szCs w:val="18"/>
        </w:rPr>
        <w:t>community, that considers:</w:t>
      </w:r>
    </w:p>
    <w:p w14:paraId="0000003F" w14:textId="77777777" w:rsidR="00071D27" w:rsidRDefault="00B109F3">
      <w:pPr>
        <w:numPr>
          <w:ilvl w:val="0"/>
          <w:numId w:val="3"/>
        </w:numPr>
        <w:pBdr>
          <w:top w:val="nil"/>
          <w:left w:val="nil"/>
          <w:bottom w:val="nil"/>
          <w:right w:val="nil"/>
          <w:between w:val="nil"/>
        </w:pBdr>
        <w:rPr>
          <w:color w:val="000000"/>
        </w:rPr>
      </w:pPr>
      <w:r>
        <w:rPr>
          <w:color w:val="000000"/>
          <w:sz w:val="18"/>
          <w:szCs w:val="18"/>
        </w:rPr>
        <w:t xml:space="preserve">The feasibility and costs including both implementation and potential liability costs of differentiating between legal and natural </w:t>
      </w:r>
      <w:proofErr w:type="gramStart"/>
      <w:r>
        <w:rPr>
          <w:color w:val="000000"/>
          <w:sz w:val="18"/>
          <w:szCs w:val="18"/>
        </w:rPr>
        <w:t>persons;</w:t>
      </w:r>
      <w:proofErr w:type="gramEnd"/>
    </w:p>
    <w:p w14:paraId="00000040" w14:textId="77777777" w:rsidR="00071D27" w:rsidRDefault="00B109F3">
      <w:pPr>
        <w:numPr>
          <w:ilvl w:val="0"/>
          <w:numId w:val="3"/>
        </w:numPr>
        <w:pBdr>
          <w:top w:val="nil"/>
          <w:left w:val="nil"/>
          <w:bottom w:val="nil"/>
          <w:right w:val="nil"/>
          <w:between w:val="nil"/>
        </w:pBdr>
        <w:rPr>
          <w:color w:val="000000"/>
        </w:rPr>
      </w:pPr>
      <w:r>
        <w:rPr>
          <w:color w:val="000000"/>
          <w:sz w:val="18"/>
          <w:szCs w:val="18"/>
        </w:rPr>
        <w:t xml:space="preserve">Examples of industries or other organizations that have successfully differentiated between legal and natural </w:t>
      </w:r>
      <w:proofErr w:type="gramStart"/>
      <w:r>
        <w:rPr>
          <w:color w:val="000000"/>
          <w:sz w:val="18"/>
          <w:szCs w:val="18"/>
        </w:rPr>
        <w:t>persons;</w:t>
      </w:r>
      <w:proofErr w:type="gramEnd"/>
      <w:r>
        <w:rPr>
          <w:color w:val="000000"/>
          <w:sz w:val="18"/>
          <w:szCs w:val="18"/>
        </w:rPr>
        <w:t xml:space="preserve"> </w:t>
      </w:r>
    </w:p>
    <w:p w14:paraId="00000041" w14:textId="77777777" w:rsidR="00071D27" w:rsidRDefault="00B109F3">
      <w:pPr>
        <w:numPr>
          <w:ilvl w:val="0"/>
          <w:numId w:val="3"/>
        </w:numPr>
        <w:pBdr>
          <w:top w:val="nil"/>
          <w:left w:val="nil"/>
          <w:bottom w:val="nil"/>
          <w:right w:val="nil"/>
          <w:between w:val="nil"/>
        </w:pBdr>
        <w:rPr>
          <w:color w:val="000000"/>
        </w:rPr>
      </w:pPr>
      <w:r>
        <w:rPr>
          <w:color w:val="000000"/>
          <w:sz w:val="18"/>
          <w:szCs w:val="18"/>
        </w:rPr>
        <w:t xml:space="preserve">Privacy risks to registered name holders of differentiating between legal and natural persons; and </w:t>
      </w:r>
    </w:p>
    <w:p w14:paraId="00000042" w14:textId="77777777" w:rsidR="00071D27" w:rsidRDefault="00B109F3">
      <w:pPr>
        <w:numPr>
          <w:ilvl w:val="0"/>
          <w:numId w:val="3"/>
        </w:numPr>
        <w:pBdr>
          <w:top w:val="nil"/>
          <w:left w:val="nil"/>
          <w:bottom w:val="nil"/>
          <w:right w:val="nil"/>
          <w:between w:val="nil"/>
        </w:pBdr>
        <w:rPr>
          <w:color w:val="000000"/>
        </w:rPr>
      </w:pPr>
      <w:r>
        <w:rPr>
          <w:color w:val="000000"/>
          <w:sz w:val="18"/>
          <w:szCs w:val="18"/>
        </w:rPr>
        <w:t xml:space="preserve">Other potential risks (if any) to registrars and registries of not differentiating. </w:t>
      </w:r>
    </w:p>
    <w:p w14:paraId="00000043" w14:textId="3943C98C" w:rsidR="00071D27" w:rsidRPr="0065130A" w:rsidRDefault="00B109F3">
      <w:pPr>
        <w:rPr>
          <w:sz w:val="18"/>
          <w:szCs w:val="18"/>
          <w:rPrChange w:id="1" w:author="Microsoft Office User" w:date="2021-04-13T07:22:00Z">
            <w:rPr/>
          </w:rPrChange>
        </w:rPr>
      </w:pPr>
      <w:r>
        <w:rPr>
          <w:sz w:val="18"/>
          <w:szCs w:val="18"/>
        </w:rPr>
        <w:t>ICANN or</w:t>
      </w:r>
      <w:del w:id="2" w:author="Microsoft Office User" w:date="2021-04-13T07:22:00Z">
        <w:r w:rsidDel="0065130A">
          <w:rPr>
            <w:sz w:val="18"/>
            <w:szCs w:val="18"/>
          </w:rPr>
          <w:delText>g</w:delText>
        </w:r>
      </w:del>
      <w:r>
        <w:rPr>
          <w:sz w:val="18"/>
          <w:szCs w:val="18"/>
        </w:rPr>
        <w:t xml:space="preserve"> delivered the </w:t>
      </w:r>
      <w:hyperlink r:id="rId1">
        <w:r>
          <w:rPr>
            <w:color w:val="0563C1"/>
            <w:sz w:val="18"/>
            <w:szCs w:val="18"/>
            <w:u w:val="single"/>
          </w:rPr>
          <w:t>study</w:t>
        </w:r>
      </w:hyperlink>
      <w:r>
        <w:rPr>
          <w:sz w:val="18"/>
          <w:szCs w:val="18"/>
        </w:rPr>
        <w:t xml:space="preserve"> to the EPDP Team in July 2020.</w:t>
      </w:r>
    </w:p>
  </w:footnote>
  <w:footnote w:id="2">
    <w:p w14:paraId="00000044" w14:textId="77777777" w:rsidR="00071D27" w:rsidRPr="00B8393B" w:rsidRDefault="00B109F3">
      <w:pPr>
        <w:pBdr>
          <w:top w:val="nil"/>
          <w:left w:val="nil"/>
          <w:bottom w:val="nil"/>
          <w:right w:val="nil"/>
          <w:between w:val="nil"/>
        </w:pBdr>
        <w:rPr>
          <w:color w:val="000000"/>
          <w:sz w:val="18"/>
          <w:szCs w:val="18"/>
        </w:rPr>
      </w:pPr>
      <w:r w:rsidRPr="00B8393B">
        <w:rPr>
          <w:sz w:val="18"/>
          <w:szCs w:val="18"/>
          <w:vertAlign w:val="superscript"/>
          <w:rPrChange w:id="19" w:author="Microsoft Office User" w:date="2021-04-13T07:38:00Z">
            <w:rPr>
              <w:vertAlign w:val="superscript"/>
            </w:rPr>
          </w:rPrChange>
        </w:rPr>
        <w:footnoteRef/>
      </w:r>
      <w:r w:rsidRPr="00B8393B">
        <w:rPr>
          <w:color w:val="000000"/>
          <w:sz w:val="18"/>
          <w:szCs w:val="18"/>
        </w:rPr>
        <w:t xml:space="preserve"> For further information about the status of implementation of the EPDP Phase 1 recommendations, please see </w:t>
      </w:r>
      <w:r w:rsidRPr="00B8393B">
        <w:rPr>
          <w:sz w:val="18"/>
          <w:szCs w:val="18"/>
          <w:rPrChange w:id="20" w:author="Microsoft Office User" w:date="2021-04-13T07:38:00Z">
            <w:rPr/>
          </w:rPrChange>
        </w:rPr>
        <w:fldChar w:fldCharType="begin"/>
      </w:r>
      <w:r w:rsidRPr="00B8393B">
        <w:rPr>
          <w:sz w:val="18"/>
          <w:szCs w:val="18"/>
          <w:rPrChange w:id="21" w:author="Microsoft Office User" w:date="2021-04-13T07:38:00Z">
            <w:rPr/>
          </w:rPrChange>
        </w:rPr>
        <w:instrText xml:space="preserve"> HYPERLINK "https://www.icann.org/resources/pages/registration-data-policy-gtlds-epdp-1-2019-07-30-en" \h </w:instrText>
      </w:r>
      <w:r w:rsidRPr="00B8393B">
        <w:rPr>
          <w:sz w:val="18"/>
          <w:szCs w:val="18"/>
          <w:rPrChange w:id="22" w:author="Microsoft Office User" w:date="2021-04-13T07:38:00Z">
            <w:rPr>
              <w:color w:val="0000FF"/>
              <w:sz w:val="18"/>
              <w:szCs w:val="18"/>
              <w:u w:val="single"/>
            </w:rPr>
          </w:rPrChange>
        </w:rPr>
        <w:fldChar w:fldCharType="separate"/>
      </w:r>
      <w:r w:rsidRPr="00B8393B">
        <w:rPr>
          <w:color w:val="0000FF"/>
          <w:sz w:val="18"/>
          <w:szCs w:val="18"/>
          <w:u w:val="single"/>
        </w:rPr>
        <w:t>https://www.icann.org/resources/pages/registration-data-policy-gtlds-epdp-1-2019-07-30-en</w:t>
      </w:r>
      <w:r w:rsidRPr="00B8393B">
        <w:rPr>
          <w:color w:val="0000FF"/>
          <w:sz w:val="18"/>
          <w:szCs w:val="18"/>
          <w:u w:val="single"/>
          <w:rPrChange w:id="23" w:author="Microsoft Office User" w:date="2021-04-13T07:38:00Z">
            <w:rPr>
              <w:color w:val="0000FF"/>
              <w:sz w:val="18"/>
              <w:szCs w:val="18"/>
              <w:u w:val="single"/>
            </w:rPr>
          </w:rPrChange>
        </w:rPr>
        <w:fldChar w:fldCharType="end"/>
      </w:r>
      <w:r w:rsidRPr="00B8393B">
        <w:rPr>
          <w:color w:val="000000"/>
          <w:sz w:val="18"/>
          <w:szCs w:val="18"/>
        </w:rPr>
        <w:t xml:space="preserve">. </w:t>
      </w:r>
    </w:p>
  </w:footnote>
  <w:footnote w:id="3">
    <w:p w14:paraId="00000045" w14:textId="77777777" w:rsidR="00071D27" w:rsidRPr="00B8393B" w:rsidRDefault="00B109F3">
      <w:pPr>
        <w:pBdr>
          <w:top w:val="nil"/>
          <w:left w:val="nil"/>
          <w:bottom w:val="nil"/>
          <w:right w:val="nil"/>
          <w:between w:val="nil"/>
        </w:pBdr>
        <w:rPr>
          <w:color w:val="000000"/>
          <w:sz w:val="18"/>
          <w:szCs w:val="18"/>
          <w:rPrChange w:id="38" w:author="Microsoft Office User" w:date="2021-04-13T07:38:00Z">
            <w:rPr>
              <w:color w:val="000000"/>
              <w:sz w:val="20"/>
              <w:szCs w:val="20"/>
            </w:rPr>
          </w:rPrChange>
        </w:rPr>
      </w:pPr>
      <w:r w:rsidRPr="00B8393B">
        <w:rPr>
          <w:sz w:val="18"/>
          <w:szCs w:val="18"/>
          <w:vertAlign w:val="superscript"/>
          <w:rPrChange w:id="39" w:author="Microsoft Office User" w:date="2021-04-13T07:38:00Z">
            <w:rPr>
              <w:vertAlign w:val="superscript"/>
            </w:rPr>
          </w:rPrChange>
        </w:rPr>
        <w:footnoteRef/>
      </w:r>
      <w:r w:rsidRPr="00B8393B">
        <w:rPr>
          <w:color w:val="000000"/>
          <w:sz w:val="18"/>
          <w:szCs w:val="18"/>
          <w:rPrChange w:id="40" w:author="Microsoft Office User" w:date="2021-04-13T07:38:00Z">
            <w:rPr>
              <w:color w:val="000000"/>
              <w:sz w:val="20"/>
              <w:szCs w:val="20"/>
            </w:rPr>
          </w:rPrChange>
        </w:rPr>
        <w:t xml:space="preserve"> Note that the EPDP Phase 2 recommendations are with the ICANN Board for its consideration / approval. </w:t>
      </w:r>
    </w:p>
  </w:footnote>
  <w:footnote w:id="4">
    <w:p w14:paraId="30F46980" w14:textId="02CA20EB" w:rsidR="00B8393B" w:rsidRDefault="00B8393B">
      <w:pPr>
        <w:pStyle w:val="FootnoteText"/>
      </w:pPr>
      <w:ins w:id="47" w:author="Microsoft Office User" w:date="2021-04-13T07:37:00Z">
        <w:r w:rsidRPr="00B8393B">
          <w:rPr>
            <w:rStyle w:val="FootnoteReference"/>
            <w:sz w:val="18"/>
            <w:szCs w:val="18"/>
            <w:rPrChange w:id="48" w:author="Microsoft Office User" w:date="2021-04-13T07:38:00Z">
              <w:rPr>
                <w:rStyle w:val="FootnoteReference"/>
              </w:rPr>
            </w:rPrChange>
          </w:rPr>
          <w:footnoteRef/>
        </w:r>
        <w:r w:rsidRPr="00B8393B">
          <w:rPr>
            <w:sz w:val="18"/>
            <w:szCs w:val="18"/>
            <w:rPrChange w:id="49" w:author="Microsoft Office User" w:date="2021-04-13T07:38:00Z">
              <w:rPr/>
            </w:rPrChange>
          </w:rPr>
          <w:t xml:space="preserve"> Please note that the exact details of how this recommendation will be implemented are to be det</w:t>
        </w:r>
      </w:ins>
      <w:ins w:id="50" w:author="Microsoft Office User" w:date="2021-04-13T07:38:00Z">
        <w:r w:rsidRPr="00B8393B">
          <w:rPr>
            <w:sz w:val="18"/>
            <w:szCs w:val="18"/>
            <w:rPrChange w:id="51" w:author="Microsoft Office User" w:date="2021-04-13T07:38:00Z">
              <w:rPr/>
            </w:rPrChange>
          </w:rPr>
          <w:t>ermined by ICANN org in collaboration with the Implementation Review Team, once the ICANN Board has approved the recommendations.</w:t>
        </w:r>
        <w:r>
          <w:t xml:space="preserve"> </w:t>
        </w:r>
      </w:ins>
      <w:ins w:id="52" w:author="Microsoft Office User" w:date="2021-04-13T07:37:00Z">
        <w:r>
          <w:t xml:space="preserve"> </w:t>
        </w:r>
      </w:ins>
    </w:p>
  </w:footnote>
  <w:footnote w:id="5">
    <w:p w14:paraId="00000046" w14:textId="77777777" w:rsidR="00071D27" w:rsidRPr="00BF1665" w:rsidRDefault="00B109F3">
      <w:pPr>
        <w:pBdr>
          <w:top w:val="nil"/>
          <w:left w:val="nil"/>
          <w:bottom w:val="nil"/>
          <w:right w:val="nil"/>
          <w:between w:val="nil"/>
        </w:pBdr>
        <w:rPr>
          <w:color w:val="000000"/>
          <w:sz w:val="18"/>
          <w:szCs w:val="18"/>
        </w:rPr>
      </w:pPr>
      <w:r w:rsidRPr="00BF1665">
        <w:rPr>
          <w:sz w:val="18"/>
          <w:szCs w:val="18"/>
          <w:vertAlign w:val="superscript"/>
        </w:rPr>
        <w:footnoteRef/>
      </w:r>
      <w:r w:rsidRPr="00BF1665">
        <w:rPr>
          <w:color w:val="000000"/>
          <w:sz w:val="18"/>
          <w:szCs w:val="18"/>
        </w:rPr>
        <w:t xml:space="preserve"> Note that the confirmation that only non-personal data is provided could also happen at a later point in time. However, until the Registrant confirms that no personal data is present in the registration data, the Registrar does not set the registration data to automated disclosure. </w:t>
      </w:r>
    </w:p>
  </w:footnote>
  <w:footnote w:id="6">
    <w:p w14:paraId="00000047" w14:textId="77777777" w:rsidR="00071D27" w:rsidRDefault="00B109F3">
      <w:pPr>
        <w:pBdr>
          <w:top w:val="nil"/>
          <w:left w:val="nil"/>
          <w:bottom w:val="nil"/>
          <w:right w:val="nil"/>
          <w:between w:val="nil"/>
        </w:pBdr>
        <w:rPr>
          <w:color w:val="000000"/>
          <w:sz w:val="20"/>
          <w:szCs w:val="20"/>
        </w:rPr>
      </w:pPr>
      <w:r w:rsidRPr="00BF1665">
        <w:rPr>
          <w:sz w:val="18"/>
          <w:szCs w:val="18"/>
          <w:vertAlign w:val="superscript"/>
        </w:rPr>
        <w:footnoteRef/>
      </w:r>
      <w:r w:rsidRPr="00BF1665">
        <w:rPr>
          <w:color w:val="000000"/>
          <w:sz w:val="18"/>
          <w:szCs w:val="18"/>
        </w:rPr>
        <w:t xml:space="preserve"> Note that the data subject may not be the party executing the process but may have requested a third party to do so. In such circumstance consent may not be possible.</w:t>
      </w:r>
      <w:r>
        <w:rPr>
          <w:color w:val="000000"/>
          <w:sz w:val="20"/>
          <w:szCs w:val="20"/>
        </w:rPr>
        <w:t xml:space="preserve"> </w:t>
      </w:r>
    </w:p>
  </w:footnote>
  <w:footnote w:id="7">
    <w:p w14:paraId="00000048" w14:textId="77777777" w:rsidR="00071D27" w:rsidRDefault="00B109F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Note that the confirmation that only non-personal data is provided could also happen at a later point in time. However, until the Registrant confirms that no personal data is present in the registration data, the Registrar does not set the registration data to automated disclosure. </w:t>
      </w:r>
    </w:p>
  </w:footnote>
  <w:footnote w:id="8">
    <w:p w14:paraId="00000049" w14:textId="77777777" w:rsidR="00071D27" w:rsidRDefault="00B109F3">
      <w:pPr>
        <w:rPr>
          <w:sz w:val="20"/>
          <w:szCs w:val="20"/>
        </w:rPr>
      </w:pPr>
      <w:r>
        <w:rPr>
          <w:vertAlign w:val="superscript"/>
        </w:rPr>
        <w:footnoteRef/>
      </w:r>
      <w:r>
        <w:rPr>
          <w:sz w:val="20"/>
          <w:szCs w:val="20"/>
        </w:rPr>
        <w:t xml:space="preserve"> Note, the implementation of EPDP Phase 1, recommendation #12 (Organization Field) may facilitate the process of self-identification. </w:t>
      </w:r>
    </w:p>
  </w:footnote>
  <w:footnote w:id="9">
    <w:p w14:paraId="0000004A" w14:textId="77777777" w:rsidR="00071D27" w:rsidRDefault="00B109F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Some EPDP Team </w:t>
      </w:r>
      <w:r>
        <w:rPr>
          <w:sz w:val="20"/>
          <w:szCs w:val="20"/>
        </w:rPr>
        <w:t>members have</w:t>
      </w:r>
      <w:r>
        <w:rPr>
          <w:color w:val="000000"/>
          <w:sz w:val="20"/>
          <w:szCs w:val="20"/>
        </w:rPr>
        <w:t xml:space="preserve"> noted that there may be risks for the Registrar to infer a differentiation without involvement of the Registrant (data subject).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D73A7"/>
    <w:multiLevelType w:val="multilevel"/>
    <w:tmpl w:val="830E42AA"/>
    <w:lvl w:ilvl="0">
      <w:start w:val="1"/>
      <w:numFmt w:val="upperLetter"/>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 w15:restartNumberingAfterBreak="0">
    <w:nsid w:val="10152DD3"/>
    <w:multiLevelType w:val="multilevel"/>
    <w:tmpl w:val="41EEC610"/>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5E047B21"/>
    <w:multiLevelType w:val="multilevel"/>
    <w:tmpl w:val="ED2667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937C1B"/>
    <w:multiLevelType w:val="multilevel"/>
    <w:tmpl w:val="D6760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D91C0E"/>
    <w:multiLevelType w:val="multilevel"/>
    <w:tmpl w:val="D68C72C8"/>
    <w:lvl w:ilvl="0">
      <w:start w:val="1"/>
      <w:numFmt w:val="decimal"/>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703D3671"/>
    <w:multiLevelType w:val="multilevel"/>
    <w:tmpl w:val="B2B2FFB0"/>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EC17FBD"/>
    <w:multiLevelType w:val="multilevel"/>
    <w:tmpl w:val="830E42AA"/>
    <w:lvl w:ilvl="0">
      <w:start w:val="1"/>
      <w:numFmt w:val="upperLetter"/>
      <w:lvlText w:val="%1."/>
      <w:lvlJc w:val="left"/>
      <w:pPr>
        <w:ind w:left="720" w:hanging="360"/>
      </w:pPr>
      <w:rPr>
        <w:rFonts w:ascii="Calibri" w:eastAsia="Calibri" w:hAnsi="Calibri" w:cs="Calibri"/>
        <w:b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27"/>
    <w:rsid w:val="00071D27"/>
    <w:rsid w:val="001C7266"/>
    <w:rsid w:val="002A7A21"/>
    <w:rsid w:val="00393392"/>
    <w:rsid w:val="003D2404"/>
    <w:rsid w:val="004045E9"/>
    <w:rsid w:val="0065130A"/>
    <w:rsid w:val="00B109F3"/>
    <w:rsid w:val="00B43DE8"/>
    <w:rsid w:val="00B8393B"/>
    <w:rsid w:val="00BF1665"/>
    <w:rsid w:val="00E9682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D20E0CF"/>
  <w15:docId w15:val="{9F4180FE-5768-994C-85DC-2BE08592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5130A"/>
    <w:rPr>
      <w:b/>
      <w:bCs/>
    </w:rPr>
  </w:style>
  <w:style w:type="character" w:customStyle="1" w:styleId="CommentSubjectChar">
    <w:name w:val="Comment Subject Char"/>
    <w:basedOn w:val="CommentTextChar"/>
    <w:link w:val="CommentSubject"/>
    <w:uiPriority w:val="99"/>
    <w:semiHidden/>
    <w:rsid w:val="0065130A"/>
    <w:rPr>
      <w:b/>
      <w:bCs/>
      <w:sz w:val="20"/>
      <w:szCs w:val="20"/>
    </w:rPr>
  </w:style>
  <w:style w:type="paragraph" w:styleId="FootnoteText">
    <w:name w:val="footnote text"/>
    <w:basedOn w:val="Normal"/>
    <w:link w:val="FootnoteTextChar"/>
    <w:uiPriority w:val="99"/>
    <w:semiHidden/>
    <w:unhideWhenUsed/>
    <w:rsid w:val="00B8393B"/>
    <w:rPr>
      <w:sz w:val="20"/>
      <w:szCs w:val="20"/>
    </w:rPr>
  </w:style>
  <w:style w:type="character" w:customStyle="1" w:styleId="FootnoteTextChar">
    <w:name w:val="Footnote Text Char"/>
    <w:basedOn w:val="DefaultParagraphFont"/>
    <w:link w:val="FootnoteText"/>
    <w:uiPriority w:val="99"/>
    <w:semiHidden/>
    <w:rsid w:val="00B8393B"/>
    <w:rPr>
      <w:sz w:val="20"/>
      <w:szCs w:val="20"/>
    </w:rPr>
  </w:style>
  <w:style w:type="character" w:styleId="FootnoteReference">
    <w:name w:val="footnote reference"/>
    <w:basedOn w:val="DefaultParagraphFont"/>
    <w:uiPriority w:val="99"/>
    <w:semiHidden/>
    <w:unhideWhenUsed/>
    <w:rsid w:val="00B83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ommunity.icann.org/x/YIAmCQ"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mm.icann.org/pipermail/gnso-epdp-team/attachments/20200708/5f72ece1/Rec17.2_Legal-Natural_8jul201-0001.pdf" TargetMode="Externa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ommunity.icann.org/x/xQhACQ" TargetMode="External"/><Relationship Id="rId4" Type="http://schemas.openxmlformats.org/officeDocument/2006/relationships/webSettings" Target="webSettings.xml"/><Relationship Id="rId9" Type="http://schemas.openxmlformats.org/officeDocument/2006/relationships/hyperlink" Target="https://www.icann.org/public-comments/epdp-phase-2-addendum-2020-03-26-en" TargetMode="Externa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EOTSFGRD/Legal+v.+Natural?preview=/153518176/153518181/Rec17.2_Legal-Natural_8jul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1878</Words>
  <Characters>9900</Characters>
  <Application>Microsoft Office Word</Application>
  <DocSecurity>0</DocSecurity>
  <Lines>183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2021-04-13T19:18:00Z</dcterms:created>
  <dcterms:modified xsi:type="dcterms:W3CDTF">2021-04-13T19:18:00Z</dcterms:modified>
</cp:coreProperties>
</file>