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395D" w14:textId="042CA6CA" w:rsidR="00B47BE6" w:rsidRPr="00B47BE6" w:rsidRDefault="00B47BE6" w:rsidP="00B47BE6">
      <w:pPr>
        <w:spacing w:before="240" w:after="240"/>
        <w:jc w:val="center"/>
        <w:rPr>
          <w:rFonts w:ascii="Calibri" w:eastAsia="Times New Roman" w:hAnsi="Calibri" w:cs="Calibri"/>
          <w:b/>
          <w:bCs/>
          <w:color w:val="000000"/>
          <w:sz w:val="22"/>
          <w:szCs w:val="22"/>
        </w:rPr>
      </w:pPr>
      <w:r w:rsidRPr="00B47BE6">
        <w:rPr>
          <w:rFonts w:ascii="Calibri" w:eastAsia="Times New Roman" w:hAnsi="Calibri" w:cs="Calibri"/>
          <w:b/>
          <w:bCs/>
          <w:color w:val="000000"/>
          <w:sz w:val="22"/>
          <w:szCs w:val="22"/>
        </w:rPr>
        <w:t>Registries Stakeholder Group</w:t>
      </w:r>
    </w:p>
    <w:p w14:paraId="05F148C8" w14:textId="49A2235B" w:rsidR="00B47BE6" w:rsidRPr="00B47BE6" w:rsidRDefault="00B47BE6" w:rsidP="00B47BE6">
      <w:pPr>
        <w:spacing w:before="240" w:after="240"/>
        <w:jc w:val="center"/>
        <w:rPr>
          <w:rFonts w:ascii="Calibri" w:eastAsia="Times New Roman" w:hAnsi="Calibri" w:cs="Calibri"/>
          <w:b/>
          <w:bCs/>
          <w:color w:val="000000"/>
          <w:sz w:val="22"/>
          <w:szCs w:val="22"/>
        </w:rPr>
      </w:pPr>
      <w:r w:rsidRPr="00B47BE6">
        <w:rPr>
          <w:rFonts w:ascii="Calibri" w:eastAsia="Times New Roman" w:hAnsi="Calibri" w:cs="Calibri"/>
          <w:b/>
          <w:bCs/>
          <w:color w:val="000000"/>
          <w:sz w:val="22"/>
          <w:szCs w:val="22"/>
        </w:rPr>
        <w:t>Minority Statement to the Final Report of Phase 2A of the Expedited Policy Development Process on gTLD Registration Data</w:t>
      </w:r>
    </w:p>
    <w:p w14:paraId="24C18296" w14:textId="2B5C107D" w:rsidR="009520F3" w:rsidRPr="009520F3" w:rsidRDefault="009520F3" w:rsidP="00B47BE6">
      <w:pPr>
        <w:spacing w:before="240" w:after="240"/>
        <w:rPr>
          <w:rFonts w:ascii="Times New Roman" w:eastAsia="Times New Roman" w:hAnsi="Times New Roman" w:cs="Times New Roman"/>
        </w:rPr>
      </w:pPr>
      <w:r w:rsidRPr="009520F3">
        <w:rPr>
          <w:rFonts w:ascii="Calibri" w:eastAsia="Times New Roman" w:hAnsi="Calibri" w:cs="Calibri"/>
          <w:color w:val="000000"/>
          <w:sz w:val="22"/>
          <w:szCs w:val="22"/>
        </w:rPr>
        <w:t>After more than three years of diligence, the RySG is pleased to celebrate the resolution of the Expedited Policy Development Process on the Temporary Specification for gTLD Registration Data (“EPDP”). This was an almost unprecedented effort, triggered by the enactment of GDPR, which required the ICANN community to come together to address long-standing incompatibilities with data protection obligations. The RySG is incredibly grateful for the hard work and commitment of our Chairs and Vice-Chairs, the indefatigable ICANN staff support team, and EPDP team members who have engaged in good faith to reach common ground and understanding on these admittedly complex topics.</w:t>
      </w:r>
    </w:p>
    <w:p w14:paraId="2EBB6BDE" w14:textId="7B529CF3" w:rsidR="009520F3" w:rsidRPr="009520F3" w:rsidRDefault="001D3CB1" w:rsidP="00B47BE6">
      <w:pPr>
        <w:spacing w:after="160"/>
        <w:rPr>
          <w:rFonts w:ascii="Times New Roman" w:eastAsia="Times New Roman" w:hAnsi="Times New Roman" w:cs="Times New Roman"/>
        </w:rPr>
      </w:pPr>
      <w:r w:rsidRPr="001D3CB1">
        <w:rPr>
          <w:rFonts w:ascii="Calibri" w:eastAsia="Times New Roman" w:hAnsi="Calibri" w:cs="Calibri"/>
          <w:color w:val="000000"/>
          <w:sz w:val="22"/>
          <w:szCs w:val="22"/>
        </w:rPr>
        <w:t>The RySG is confident that, as in prior phases of this work, we have struck the appropriate balance between protecting data subject’s privacy rights, fulfilling our legal obligations, and not creating unnecessary obstacles or operational challenges for our customers or our businesses.</w:t>
      </w:r>
    </w:p>
    <w:p w14:paraId="6725E00A" w14:textId="560A70D0" w:rsidR="009520F3" w:rsidRPr="00637DB5" w:rsidRDefault="00DD6EAB" w:rsidP="00637DB5">
      <w:pPr>
        <w:spacing w:after="160"/>
        <w:textAlignment w:val="baseline"/>
        <w:rPr>
          <w:rFonts w:ascii="Times New Roman" w:hAnsi="Times New Roman"/>
        </w:rPr>
      </w:pPr>
      <w:r>
        <w:rPr>
          <w:rFonts w:ascii="Calibri" w:eastAsia="Times New Roman" w:hAnsi="Calibri" w:cs="Calibri"/>
          <w:b/>
          <w:bCs/>
          <w:color w:val="000000"/>
          <w:sz w:val="22"/>
          <w:szCs w:val="22"/>
        </w:rPr>
        <w:t xml:space="preserve">I. </w:t>
      </w:r>
      <w:r w:rsidR="00637DB5">
        <w:rPr>
          <w:rFonts w:ascii="Calibri" w:eastAsia="Times New Roman" w:hAnsi="Calibri" w:cs="Calibri"/>
          <w:b/>
          <w:bCs/>
          <w:color w:val="000000"/>
          <w:sz w:val="22"/>
          <w:szCs w:val="22"/>
        </w:rPr>
        <w:t>T</w:t>
      </w:r>
      <w:r w:rsidR="009520F3" w:rsidRPr="009520F3">
        <w:rPr>
          <w:rFonts w:ascii="Calibri" w:eastAsia="Times New Roman" w:hAnsi="Calibri" w:cs="Calibri"/>
          <w:b/>
          <w:bCs/>
          <w:color w:val="000000"/>
          <w:sz w:val="22"/>
          <w:szCs w:val="22"/>
        </w:rPr>
        <w:t>he Legal vs. Natural Issue is Resolved</w:t>
      </w:r>
    </w:p>
    <w:p w14:paraId="4394DE41" w14:textId="7310ADC3" w:rsidR="001D3CB1" w:rsidRPr="001D3CB1" w:rsidRDefault="009520F3" w:rsidP="001D3CB1">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Phase 2A has resolved the issue of legal versus natural differentiation.</w:t>
      </w:r>
      <w:r w:rsidR="001D3CB1" w:rsidRPr="001D3CB1">
        <w:rPr>
          <w:rFonts w:ascii="Calibri" w:eastAsia="Times New Roman" w:hAnsi="Calibri" w:cs="Calibri"/>
          <w:color w:val="000000"/>
          <w:sz w:val="22"/>
          <w:szCs w:val="22"/>
        </w:rPr>
        <w:t xml:space="preserve"> </w:t>
      </w:r>
      <w:r w:rsidR="00B47BE6">
        <w:rPr>
          <w:rFonts w:ascii="Calibri" w:eastAsia="Times New Roman" w:hAnsi="Calibri" w:cs="Calibri"/>
          <w:color w:val="000000"/>
          <w:sz w:val="22"/>
          <w:szCs w:val="22"/>
        </w:rPr>
        <w:t>A</w:t>
      </w:r>
      <w:r w:rsidR="001D3CB1" w:rsidRPr="001D3CB1">
        <w:rPr>
          <w:rFonts w:ascii="Calibri" w:eastAsia="Times New Roman" w:hAnsi="Calibri" w:cs="Calibri"/>
          <w:color w:val="000000"/>
          <w:sz w:val="22"/>
          <w:szCs w:val="22"/>
        </w:rPr>
        <w:t xml:space="preserve"> PDP does not have to result in consensus recommendations to resolve an issue. That the working group did not agree on changes to the previous recommendation (Phase 1 Recommendation 17) on legal v. natural is a valuable and acceptable outcome. After three phases of EPDP deliberation, a study produced by ICANN org, and legal advice from outside counsel on the legal vs. natural issue, it is well past time to recognize this issue as closed.  </w:t>
      </w:r>
    </w:p>
    <w:p w14:paraId="3310C8E8" w14:textId="07444D05" w:rsidR="009520F3" w:rsidRPr="009520F3" w:rsidRDefault="001D3CB1" w:rsidP="0017420C">
      <w:pPr>
        <w:rPr>
          <w:rFonts w:ascii="Times New Roman" w:eastAsia="Times New Roman" w:hAnsi="Times New Roman" w:cs="Times New Roman"/>
        </w:rPr>
      </w:pPr>
      <w:r w:rsidRPr="001D3CB1">
        <w:rPr>
          <w:rFonts w:ascii="Calibri" w:eastAsia="Times New Roman" w:hAnsi="Calibri" w:cs="Calibri"/>
          <w:color w:val="000000"/>
          <w:sz w:val="22"/>
          <w:szCs w:val="22"/>
        </w:rPr>
        <w:t>Indeed, the</w:t>
      </w:r>
      <w:r w:rsidR="0017420C">
        <w:rPr>
          <w:rFonts w:ascii="Calibri" w:eastAsia="Times New Roman" w:hAnsi="Calibri" w:cs="Calibri"/>
          <w:color w:val="000000"/>
          <w:sz w:val="22"/>
          <w:szCs w:val="22"/>
        </w:rPr>
        <w:t xml:space="preserve"> </w:t>
      </w:r>
      <w:r w:rsidR="009520F3" w:rsidRPr="009520F3">
        <w:rPr>
          <w:rFonts w:ascii="Calibri" w:eastAsia="Times New Roman" w:hAnsi="Calibri" w:cs="Calibri"/>
          <w:color w:val="000000"/>
          <w:sz w:val="22"/>
          <w:szCs w:val="22"/>
        </w:rPr>
        <w:t>EPDP Team diligently followed the GNSO Council’s instructions to “answer . . . whether any updates are required to the EPDP Phase 1 recommendation on this topic (“Registrars and Registry Operators are permitted to differentiate between registrations of legal and natural persons, but are not obligated to do so.”)”</w:t>
      </w:r>
      <w:r w:rsidR="00B27379">
        <w:rPr>
          <w:rStyle w:val="FootnoteReference"/>
          <w:rFonts w:ascii="Calibri" w:eastAsia="Times New Roman" w:hAnsi="Calibri" w:cs="Calibri"/>
          <w:color w:val="000000"/>
          <w:sz w:val="22"/>
          <w:szCs w:val="22"/>
        </w:rPr>
        <w:footnoteReference w:id="1"/>
      </w:r>
      <w:r w:rsidR="009520F3" w:rsidRPr="009520F3">
        <w:rPr>
          <w:rFonts w:ascii="Calibri" w:eastAsia="Times New Roman" w:hAnsi="Calibri" w:cs="Calibri"/>
          <w:color w:val="000000"/>
          <w:sz w:val="22"/>
          <w:szCs w:val="22"/>
        </w:rPr>
        <w:t>  Responding to that specific question required consideration of the three-part Phase 1 Recommendation 17 in its entirety.</w:t>
      </w:r>
      <w:r w:rsidR="00B27379">
        <w:rPr>
          <w:rStyle w:val="FootnoteReference"/>
          <w:rFonts w:ascii="Calibri" w:eastAsia="Times New Roman" w:hAnsi="Calibri" w:cs="Calibri"/>
          <w:color w:val="000000"/>
          <w:sz w:val="22"/>
          <w:szCs w:val="22"/>
        </w:rPr>
        <w:footnoteReference w:id="2"/>
      </w:r>
      <w:r w:rsidR="0017420C">
        <w:rPr>
          <w:rFonts w:ascii="Calibri" w:eastAsia="Times New Roman" w:hAnsi="Calibri" w:cs="Calibri"/>
          <w:color w:val="000000"/>
          <w:sz w:val="22"/>
          <w:szCs w:val="22"/>
        </w:rPr>
        <w:t xml:space="preserve"> Arguments </w:t>
      </w:r>
      <w:r w:rsidRPr="001D3CB1">
        <w:rPr>
          <w:rFonts w:ascii="Calibri" w:eastAsia="Times New Roman" w:hAnsi="Calibri" w:cs="Calibri"/>
          <w:color w:val="000000"/>
          <w:sz w:val="22"/>
          <w:szCs w:val="22"/>
        </w:rPr>
        <w:t xml:space="preserve">that the EPDP Team has not satisfied 17.3 (“The </w:t>
      </w:r>
      <w:r w:rsidRPr="001D3CB1">
        <w:rPr>
          <w:rFonts w:ascii="Calibri" w:eastAsia="Times New Roman" w:hAnsi="Calibri" w:cs="Calibri"/>
          <w:color w:val="000000"/>
          <w:sz w:val="22"/>
          <w:szCs w:val="22"/>
        </w:rPr>
        <w:lastRenderedPageBreak/>
        <w:t>EPDP Team will determine and resolve the Legal vs. Natural issue in Phase 2”) tak</w:t>
      </w:r>
      <w:r w:rsidR="0017420C">
        <w:rPr>
          <w:rFonts w:ascii="Calibri" w:eastAsia="Times New Roman" w:hAnsi="Calibri" w:cs="Calibri"/>
          <w:color w:val="000000"/>
          <w:sz w:val="22"/>
          <w:szCs w:val="22"/>
        </w:rPr>
        <w:t>es</w:t>
      </w:r>
      <w:r w:rsidRPr="001D3CB1">
        <w:rPr>
          <w:rFonts w:ascii="Calibri" w:eastAsia="Times New Roman" w:hAnsi="Calibri" w:cs="Calibri"/>
          <w:color w:val="000000"/>
          <w:sz w:val="22"/>
          <w:szCs w:val="22"/>
        </w:rPr>
        <w:t xml:space="preserve"> a deliberately narrow view of the recommendation text, ignoring the plain language of the GNSO Council instructions.</w:t>
      </w:r>
      <w:r w:rsidR="0017420C">
        <w:rPr>
          <w:rFonts w:ascii="Calibri" w:eastAsia="Times New Roman" w:hAnsi="Calibri" w:cs="Calibri"/>
          <w:color w:val="000000"/>
          <w:sz w:val="22"/>
          <w:szCs w:val="22"/>
        </w:rPr>
        <w:t xml:space="preserve"> </w:t>
      </w:r>
      <w:r w:rsidR="009520F3" w:rsidRPr="009520F3">
        <w:rPr>
          <w:rFonts w:ascii="Calibri" w:eastAsia="Times New Roman" w:hAnsi="Calibri" w:cs="Calibri"/>
          <w:color w:val="000000"/>
          <w:sz w:val="22"/>
          <w:szCs w:val="22"/>
        </w:rPr>
        <w:t xml:space="preserve">The RySG is concerned that some have suggested this issue is not resolved.  This question has been discussed in three separate phases of the EPDP and the result each time has been that </w:t>
      </w:r>
      <w:r w:rsidR="00F3133C" w:rsidRPr="00293E14">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009520F3" w:rsidRPr="009520F3">
        <w:rPr>
          <w:rFonts w:ascii="Calibri" w:eastAsia="Times New Roman" w:hAnsi="Calibri" w:cs="Calibri"/>
          <w:color w:val="000000"/>
          <w:sz w:val="22"/>
          <w:szCs w:val="22"/>
        </w:rPr>
        <w:t>may differentiate but are not required to do so.  This clearly demonstrates that this matter has been addressed appropriately and consistently.  A perception that this work is somehow unresolved could be detrimental to the ICANN community and seen as undermining the effectiveness of the multistakeholder model.  It would also be unfair to the members of the working group and the countless hours they spent deliberating and resolving the issue.  </w:t>
      </w:r>
    </w:p>
    <w:p w14:paraId="25F84DFD" w14:textId="77777777" w:rsidR="009520F3" w:rsidRPr="009520F3" w:rsidRDefault="009520F3" w:rsidP="009520F3">
      <w:pPr>
        <w:rPr>
          <w:rFonts w:ascii="Times New Roman" w:eastAsia="Times New Roman" w:hAnsi="Times New Roman" w:cs="Times New Roman"/>
        </w:rPr>
      </w:pPr>
    </w:p>
    <w:p w14:paraId="41D4B75B" w14:textId="3EF06193" w:rsidR="009520F3" w:rsidRPr="00637DB5" w:rsidRDefault="00DD6EAB" w:rsidP="00637DB5">
      <w:pPr>
        <w:textAlignment w:val="baseline"/>
        <w:rPr>
          <w:rFonts w:ascii="Times New Roman" w:hAnsi="Times New Roman"/>
        </w:rPr>
      </w:pPr>
      <w:r>
        <w:rPr>
          <w:rFonts w:ascii="Calibri" w:eastAsia="Times New Roman" w:hAnsi="Calibri" w:cs="Calibri"/>
          <w:b/>
          <w:bCs/>
          <w:color w:val="000000"/>
          <w:sz w:val="22"/>
          <w:szCs w:val="22"/>
        </w:rPr>
        <w:t xml:space="preserve">II. </w:t>
      </w:r>
      <w:r w:rsidR="0017420C">
        <w:rPr>
          <w:rFonts w:ascii="Calibri" w:eastAsia="Times New Roman" w:hAnsi="Calibri" w:cs="Calibri"/>
          <w:b/>
          <w:bCs/>
          <w:color w:val="000000"/>
          <w:sz w:val="22"/>
          <w:szCs w:val="22"/>
        </w:rPr>
        <w:t>Optional Differentiation Remains</w:t>
      </w:r>
      <w:r w:rsidR="009520F3" w:rsidRPr="009520F3">
        <w:rPr>
          <w:rFonts w:ascii="Calibri" w:eastAsia="Times New Roman" w:hAnsi="Calibri" w:cs="Calibri"/>
          <w:b/>
          <w:bCs/>
          <w:color w:val="000000"/>
          <w:sz w:val="22"/>
          <w:szCs w:val="22"/>
        </w:rPr>
        <w:t xml:space="preserve"> a Good Outcome</w:t>
      </w:r>
    </w:p>
    <w:p w14:paraId="188AECBC" w14:textId="77777777" w:rsidR="009520F3" w:rsidRPr="009520F3" w:rsidRDefault="009520F3" w:rsidP="009520F3">
      <w:pPr>
        <w:rPr>
          <w:rFonts w:ascii="Times New Roman" w:eastAsia="Times New Roman" w:hAnsi="Times New Roman" w:cs="Times New Roman"/>
        </w:rPr>
      </w:pPr>
    </w:p>
    <w:p w14:paraId="24A8B780" w14:textId="624B6D6A" w:rsidR="009520F3" w:rsidRPr="009520F3" w:rsidRDefault="009520F3" w:rsidP="009520F3">
      <w:pPr>
        <w:rPr>
          <w:rFonts w:ascii="Times New Roman" w:eastAsia="Times New Roman" w:hAnsi="Times New Roman" w:cs="Times New Roman"/>
        </w:rPr>
      </w:pPr>
      <w:r w:rsidRPr="009520F3">
        <w:rPr>
          <w:rFonts w:ascii="Calibri" w:eastAsia="Times New Roman" w:hAnsi="Calibri" w:cs="Calibri"/>
          <w:color w:val="000000"/>
          <w:sz w:val="22"/>
          <w:szCs w:val="22"/>
        </w:rPr>
        <w:t>The RySG strongly believes that maintaining the permissive but not mandatory Phase 1 policy recommendations</w:t>
      </w:r>
      <w:r w:rsidR="00B27379">
        <w:rPr>
          <w:rStyle w:val="FootnoteReference"/>
          <w:rFonts w:ascii="Calibri" w:eastAsia="Times New Roman" w:hAnsi="Calibri" w:cs="Calibri"/>
          <w:color w:val="000000"/>
          <w:sz w:val="22"/>
          <w:szCs w:val="22"/>
        </w:rPr>
        <w:footnoteReference w:id="3"/>
      </w:r>
      <w:r w:rsidRPr="009520F3">
        <w:rPr>
          <w:rFonts w:ascii="Calibri" w:eastAsia="Times New Roman" w:hAnsi="Calibri" w:cs="Calibri"/>
          <w:color w:val="000000"/>
          <w:sz w:val="22"/>
          <w:szCs w:val="22"/>
        </w:rPr>
        <w:t xml:space="preserve"> for legal vs. natural person registration data is an objectively good outcome of our policy development work. This outcome is not about simply maintaining the status quo. We affirmatively believe that the balance struck (after significant consideration) in the Phase 1 Recommendation 17 language is crucially important, especially given the regulatory uncertainty that many on the EPDP Team repeatedly invoke as their justification to change the </w:t>
      </w:r>
      <w:r w:rsidR="00F3133C" w:rsidRPr="00293E14">
        <w:rPr>
          <w:rFonts w:ascii="Calibri" w:eastAsia="Times New Roman" w:hAnsi="Calibri" w:cs="Calibri"/>
          <w:color w:val="000000"/>
          <w:sz w:val="22"/>
          <w:szCs w:val="22"/>
        </w:rPr>
        <w:t>Phase</w:t>
      </w:r>
      <w:r w:rsidR="00F3133C" w:rsidRPr="009520F3">
        <w:rPr>
          <w:rFonts w:ascii="Calibri" w:eastAsia="Times New Roman" w:hAnsi="Calibri" w:cs="Calibri"/>
          <w:color w:val="000000"/>
          <w:sz w:val="22"/>
          <w:szCs w:val="22"/>
        </w:rPr>
        <w:t xml:space="preserve"> </w:t>
      </w:r>
      <w:r w:rsidRPr="009520F3">
        <w:rPr>
          <w:rFonts w:ascii="Calibri" w:eastAsia="Times New Roman" w:hAnsi="Calibri" w:cs="Calibri"/>
          <w:color w:val="000000"/>
          <w:sz w:val="22"/>
          <w:szCs w:val="22"/>
        </w:rPr>
        <w:t>1 recommendation. Instead, that uncertainty is in part why Recommendation 17 is an appropriate, flexible, and elegant solution to the question of legal vs. natural differentiation.</w:t>
      </w:r>
    </w:p>
    <w:p w14:paraId="77945CBF" w14:textId="6996B600" w:rsidR="009520F3" w:rsidRPr="009520F3" w:rsidRDefault="009520F3" w:rsidP="009520F3">
      <w:pPr>
        <w:rPr>
          <w:rFonts w:ascii="Times New Roman" w:eastAsia="Times New Roman" w:hAnsi="Times New Roman" w:cs="Times New Roman"/>
        </w:rPr>
      </w:pPr>
    </w:p>
    <w:p w14:paraId="11B714E2" w14:textId="02B168FB" w:rsidR="009520F3" w:rsidRPr="00637DB5" w:rsidRDefault="009520F3" w:rsidP="00637DB5">
      <w:pPr>
        <w:pStyle w:val="ListParagraph"/>
        <w:numPr>
          <w:ilvl w:val="0"/>
          <w:numId w:val="20"/>
        </w:numPr>
        <w:textAlignment w:val="baseline"/>
        <w:rPr>
          <w:rFonts w:ascii="Calibri" w:eastAsia="Times New Roman" w:hAnsi="Calibri" w:cs="Calibri"/>
          <w:b/>
          <w:bCs/>
          <w:color w:val="000000"/>
          <w:sz w:val="22"/>
          <w:szCs w:val="22"/>
        </w:rPr>
      </w:pPr>
      <w:r w:rsidRPr="00637DB5">
        <w:rPr>
          <w:rFonts w:ascii="Calibri" w:eastAsia="Times New Roman" w:hAnsi="Calibri" w:cs="Calibri"/>
          <w:b/>
          <w:bCs/>
          <w:color w:val="000000"/>
          <w:sz w:val="22"/>
          <w:szCs w:val="22"/>
        </w:rPr>
        <w:t xml:space="preserve">Contracted </w:t>
      </w:r>
      <w:r w:rsidR="00F3133C">
        <w:rPr>
          <w:rFonts w:ascii="Calibri" w:eastAsia="Times New Roman" w:hAnsi="Calibri" w:cs="Calibri"/>
          <w:b/>
          <w:bCs/>
          <w:color w:val="000000"/>
          <w:sz w:val="22"/>
          <w:szCs w:val="22"/>
        </w:rPr>
        <w:t>P</w:t>
      </w:r>
      <w:r w:rsidR="00F3133C" w:rsidRPr="00637DB5">
        <w:rPr>
          <w:rFonts w:ascii="Calibri" w:eastAsia="Times New Roman" w:hAnsi="Calibri" w:cs="Calibri"/>
          <w:b/>
          <w:bCs/>
          <w:color w:val="000000"/>
          <w:sz w:val="22"/>
          <w:szCs w:val="22"/>
        </w:rPr>
        <w:t xml:space="preserve">arties </w:t>
      </w:r>
      <w:r w:rsidRPr="00637DB5">
        <w:rPr>
          <w:rFonts w:ascii="Calibri" w:eastAsia="Times New Roman" w:hAnsi="Calibri" w:cs="Calibri"/>
          <w:b/>
          <w:bCs/>
          <w:color w:val="000000"/>
          <w:sz w:val="22"/>
          <w:szCs w:val="22"/>
        </w:rPr>
        <w:t xml:space="preserve">must </w:t>
      </w:r>
      <w:r w:rsidR="0017420C" w:rsidRPr="00637DB5">
        <w:rPr>
          <w:rFonts w:ascii="Calibri" w:eastAsia="Times New Roman" w:hAnsi="Calibri" w:cs="Calibri"/>
          <w:b/>
          <w:bCs/>
          <w:color w:val="000000"/>
          <w:sz w:val="22"/>
          <w:szCs w:val="22"/>
        </w:rPr>
        <w:t xml:space="preserve">be permitted to </w:t>
      </w:r>
      <w:r w:rsidRPr="00637DB5">
        <w:rPr>
          <w:rFonts w:ascii="Calibri" w:eastAsia="Times New Roman" w:hAnsi="Calibri" w:cs="Calibri"/>
          <w:b/>
          <w:bCs/>
          <w:color w:val="000000"/>
          <w:sz w:val="22"/>
          <w:szCs w:val="22"/>
        </w:rPr>
        <w:t>control their own legal risks</w:t>
      </w:r>
    </w:p>
    <w:p w14:paraId="37A8E191" w14:textId="77777777" w:rsidR="009520F3" w:rsidRPr="009520F3" w:rsidRDefault="009520F3" w:rsidP="009520F3">
      <w:pPr>
        <w:rPr>
          <w:rFonts w:ascii="Times New Roman" w:eastAsia="Times New Roman" w:hAnsi="Times New Roman" w:cs="Times New Roman"/>
        </w:rPr>
      </w:pPr>
    </w:p>
    <w:p w14:paraId="64E24BBE" w14:textId="52C69A77" w:rsidR="009520F3" w:rsidRPr="009520F3" w:rsidRDefault="009520F3" w:rsidP="009520F3">
      <w:pPr>
        <w:rPr>
          <w:rFonts w:ascii="Times New Roman" w:eastAsia="Times New Roman" w:hAnsi="Times New Roman" w:cs="Times New Roman"/>
        </w:rPr>
      </w:pPr>
      <w:r w:rsidRPr="009520F3">
        <w:rPr>
          <w:rFonts w:ascii="Calibri" w:eastAsia="Times New Roman" w:hAnsi="Calibri" w:cs="Calibri"/>
          <w:color w:val="000000"/>
          <w:sz w:val="22"/>
          <w:szCs w:val="22"/>
        </w:rPr>
        <w:t xml:space="preserve">As the RySG has explained throughout Phase 2A, the flexibility inherent in permitting but not requiring differentiation is important in allowing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 xml:space="preserve">to control their own legal risks and mitigate risks to their customers. Registries and </w:t>
      </w:r>
      <w:r w:rsidR="00293E14">
        <w:rPr>
          <w:rFonts w:ascii="Calibri" w:eastAsia="Times New Roman" w:hAnsi="Calibri" w:cs="Calibri"/>
          <w:color w:val="000000"/>
          <w:sz w:val="22"/>
          <w:szCs w:val="22"/>
        </w:rPr>
        <w:t>R</w:t>
      </w:r>
      <w:r w:rsidR="00293E14" w:rsidRPr="009520F3">
        <w:rPr>
          <w:rFonts w:ascii="Calibri" w:eastAsia="Times New Roman" w:hAnsi="Calibri" w:cs="Calibri"/>
          <w:color w:val="000000"/>
          <w:sz w:val="22"/>
          <w:szCs w:val="22"/>
        </w:rPr>
        <w:t xml:space="preserve">egistrars </w:t>
      </w:r>
      <w:r w:rsidRPr="009520F3">
        <w:rPr>
          <w:rFonts w:ascii="Calibri" w:eastAsia="Times New Roman" w:hAnsi="Calibri" w:cs="Calibri"/>
          <w:color w:val="000000"/>
          <w:sz w:val="22"/>
          <w:szCs w:val="22"/>
        </w:rPr>
        <w:t>have repeatedly stated this as a fundamental premise throughout the entirety of the EPDP.</w:t>
      </w:r>
    </w:p>
    <w:p w14:paraId="5880B095" w14:textId="77777777" w:rsidR="009520F3" w:rsidRPr="009520F3" w:rsidRDefault="009520F3" w:rsidP="009520F3">
      <w:pPr>
        <w:rPr>
          <w:rFonts w:ascii="Times New Roman" w:eastAsia="Times New Roman" w:hAnsi="Times New Roman" w:cs="Times New Roman"/>
        </w:rPr>
      </w:pPr>
    </w:p>
    <w:p w14:paraId="5C0327EF" w14:textId="1C05D1AB" w:rsidR="009520F3" w:rsidRPr="009520F3" w:rsidRDefault="009520F3" w:rsidP="009520F3">
      <w:pPr>
        <w:rPr>
          <w:rFonts w:ascii="Times New Roman" w:eastAsia="Times New Roman" w:hAnsi="Times New Roman" w:cs="Times New Roman"/>
        </w:rPr>
      </w:pPr>
      <w:r w:rsidRPr="009520F3">
        <w:rPr>
          <w:rFonts w:ascii="Calibri" w:eastAsia="Times New Roman" w:hAnsi="Calibri" w:cs="Calibri"/>
          <w:color w:val="000000"/>
          <w:sz w:val="22"/>
          <w:szCs w:val="22"/>
        </w:rPr>
        <w:t>The legal memos clearly state, “[</w:t>
      </w:r>
      <w:proofErr w:type="spellStart"/>
      <w:r w:rsidRPr="009520F3">
        <w:rPr>
          <w:rFonts w:ascii="Calibri" w:eastAsia="Times New Roman" w:hAnsi="Calibri" w:cs="Calibri"/>
          <w:color w:val="000000"/>
          <w:sz w:val="22"/>
          <w:szCs w:val="22"/>
        </w:rPr>
        <w:t>i</w:t>
      </w:r>
      <w:proofErr w:type="spellEnd"/>
      <w:r w:rsidRPr="009520F3">
        <w:rPr>
          <w:rFonts w:ascii="Calibri" w:eastAsia="Times New Roman" w:hAnsi="Calibri" w:cs="Calibri"/>
          <w:color w:val="000000"/>
          <w:sz w:val="22"/>
          <w:szCs w:val="22"/>
        </w:rPr>
        <w:t>]f the relevant parties had no reason to doubt the reliability of a registrant's self-identification, then they likely would be able to rely on the self-identification alone, without independent confirmation. However, we understand that the parties are concerned that some registrants will not understand the question and will wrongly self-identify. Therefore, there would be a risk of liability if the relevant parties did not take further steps to ensure the accuracy of the registrant's designation.”</w:t>
      </w:r>
      <w:r w:rsidR="00B27379">
        <w:rPr>
          <w:rStyle w:val="FootnoteReference"/>
          <w:rFonts w:ascii="Calibri" w:eastAsia="Times New Roman" w:hAnsi="Calibri" w:cs="Calibri"/>
          <w:color w:val="000000"/>
          <w:sz w:val="22"/>
          <w:szCs w:val="22"/>
        </w:rPr>
        <w:footnoteReference w:id="4"/>
      </w:r>
      <w:r w:rsidRPr="009520F3">
        <w:rPr>
          <w:rFonts w:ascii="Calibri" w:eastAsia="Times New Roman" w:hAnsi="Calibri" w:cs="Calibri"/>
          <w:color w:val="000000"/>
          <w:sz w:val="22"/>
          <w:szCs w:val="22"/>
        </w:rPr>
        <w:t xml:space="preserve"> Similarly, “[</w:t>
      </w:r>
      <w:proofErr w:type="spellStart"/>
      <w:r w:rsidRPr="009520F3">
        <w:rPr>
          <w:rFonts w:ascii="Calibri" w:eastAsia="Times New Roman" w:hAnsi="Calibri" w:cs="Calibri"/>
          <w:color w:val="000000"/>
          <w:sz w:val="22"/>
          <w:szCs w:val="22"/>
        </w:rPr>
        <w:t>i</w:t>
      </w:r>
      <w:proofErr w:type="spellEnd"/>
      <w:r w:rsidRPr="009520F3">
        <w:rPr>
          <w:rFonts w:ascii="Calibri" w:eastAsia="Times New Roman" w:hAnsi="Calibri" w:cs="Calibri"/>
          <w:color w:val="000000"/>
          <w:sz w:val="22"/>
          <w:szCs w:val="22"/>
        </w:rPr>
        <w:t>]f there is a reasonable risk that data subjects will wrongly self-identify, then failing to make the consequences of the self-identification known to data subjects could result in liability for failing to meet the Lawfulness, Fairness and Transparency Principle.”</w:t>
      </w:r>
      <w:r w:rsidR="007D5D28">
        <w:rPr>
          <w:rStyle w:val="FootnoteReference"/>
          <w:rFonts w:ascii="Calibri" w:eastAsia="Times New Roman" w:hAnsi="Calibri" w:cs="Calibri"/>
          <w:color w:val="000000"/>
          <w:sz w:val="22"/>
          <w:szCs w:val="22"/>
        </w:rPr>
        <w:footnoteReference w:id="5"/>
      </w:r>
    </w:p>
    <w:p w14:paraId="001FD392" w14:textId="77777777" w:rsidR="009520F3" w:rsidRPr="009520F3" w:rsidRDefault="009520F3" w:rsidP="009520F3">
      <w:pPr>
        <w:rPr>
          <w:rFonts w:ascii="Times New Roman" w:eastAsia="Times New Roman" w:hAnsi="Times New Roman" w:cs="Times New Roman"/>
        </w:rPr>
      </w:pPr>
    </w:p>
    <w:p w14:paraId="1BB43C6A" w14:textId="263A8CDA" w:rsidR="009520F3" w:rsidRPr="009520F3" w:rsidRDefault="009520F3" w:rsidP="009520F3">
      <w:pPr>
        <w:rPr>
          <w:rFonts w:ascii="Times New Roman" w:eastAsia="Times New Roman" w:hAnsi="Times New Roman" w:cs="Times New Roman"/>
        </w:rPr>
      </w:pPr>
      <w:r w:rsidRPr="009520F3">
        <w:rPr>
          <w:rFonts w:ascii="Calibri" w:eastAsia="Times New Roman" w:hAnsi="Calibri" w:cs="Calibri"/>
          <w:color w:val="000000"/>
          <w:sz w:val="22"/>
          <w:szCs w:val="22"/>
        </w:rPr>
        <w:lastRenderedPageBreak/>
        <w:t xml:space="preserve">The RySG appreciates that Bird &amp; Bird has provided guidance on how to mitigate those risks. However, the question of how to adopt those procedures and in what manner, not to mention determining what is and is not an acceptable risk, must be the sole responsibility of the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 xml:space="preserve">who bear that risk. In any other commercial arrangement this would be an uncontroversial proposition. As we have said since the beginning of this PDP, where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 xml:space="preserve">bear liability for processing of data, decisions about that data must reside with </w:t>
      </w:r>
      <w:r w:rsidR="00293E14">
        <w:rPr>
          <w:rFonts w:ascii="Calibri" w:eastAsia="Times New Roman" w:hAnsi="Calibri" w:cs="Calibri"/>
          <w:color w:val="000000"/>
          <w:sz w:val="22"/>
          <w:szCs w:val="22"/>
        </w:rPr>
        <w:t xml:space="preserve">Registries </w:t>
      </w:r>
      <w:r w:rsidR="00AA2A93">
        <w:rPr>
          <w:rFonts w:ascii="Calibri" w:eastAsia="Times New Roman" w:hAnsi="Calibri" w:cs="Calibri"/>
          <w:color w:val="000000"/>
          <w:sz w:val="22"/>
          <w:szCs w:val="22"/>
        </w:rPr>
        <w:t xml:space="preserve">and </w:t>
      </w:r>
      <w:r w:rsidR="00293E14">
        <w:rPr>
          <w:rFonts w:ascii="Calibri" w:eastAsia="Times New Roman" w:hAnsi="Calibri" w:cs="Calibri"/>
          <w:color w:val="000000"/>
          <w:sz w:val="22"/>
          <w:szCs w:val="22"/>
        </w:rPr>
        <w:t>Registrars</w:t>
      </w:r>
      <w:r w:rsidR="00293E14" w:rsidRPr="009520F3">
        <w:rPr>
          <w:rFonts w:ascii="Calibri" w:eastAsia="Times New Roman" w:hAnsi="Calibri" w:cs="Calibri"/>
          <w:color w:val="000000"/>
          <w:sz w:val="22"/>
          <w:szCs w:val="22"/>
        </w:rPr>
        <w:t xml:space="preserve"> </w:t>
      </w:r>
      <w:r w:rsidRPr="009520F3">
        <w:rPr>
          <w:rFonts w:ascii="Calibri" w:eastAsia="Times New Roman" w:hAnsi="Calibri" w:cs="Calibri"/>
          <w:color w:val="000000"/>
          <w:sz w:val="22"/>
          <w:szCs w:val="22"/>
        </w:rPr>
        <w:t>rather than third parties who do not bear any risk themselves, and do not have shared interests in terms of the protection of our customer’s data. </w:t>
      </w:r>
      <w:r w:rsidRPr="009520F3">
        <w:rPr>
          <w:rFonts w:ascii="Times New Roman" w:eastAsia="Times New Roman" w:hAnsi="Times New Roman" w:cs="Times New Roman"/>
        </w:rPr>
        <w:br/>
      </w:r>
    </w:p>
    <w:p w14:paraId="4C197D53" w14:textId="2F3A5AD1" w:rsidR="009520F3" w:rsidRPr="00D3718C" w:rsidRDefault="009520F3" w:rsidP="00D3718C">
      <w:pPr>
        <w:pStyle w:val="ListParagraph"/>
        <w:numPr>
          <w:ilvl w:val="0"/>
          <w:numId w:val="20"/>
        </w:numPr>
        <w:textAlignment w:val="baseline"/>
        <w:rPr>
          <w:rFonts w:ascii="Times New Roman" w:eastAsia="Times New Roman" w:hAnsi="Times New Roman" w:cs="Times New Roman"/>
        </w:rPr>
      </w:pPr>
      <w:r w:rsidRPr="00D3718C">
        <w:rPr>
          <w:rFonts w:ascii="Calibri" w:eastAsia="Times New Roman" w:hAnsi="Calibri" w:cs="Calibri"/>
          <w:b/>
          <w:bCs/>
          <w:color w:val="000000"/>
          <w:sz w:val="22"/>
          <w:szCs w:val="22"/>
        </w:rPr>
        <w:t xml:space="preserve">Flexibility is desirable </w:t>
      </w:r>
    </w:p>
    <w:p w14:paraId="50E2F8FD" w14:textId="77777777" w:rsidR="00DD61EF" w:rsidRPr="00DD61EF" w:rsidRDefault="00DD61EF" w:rsidP="00DD61EF">
      <w:pPr>
        <w:ind w:left="1440"/>
        <w:textAlignment w:val="baseline"/>
        <w:rPr>
          <w:rFonts w:ascii="Times New Roman" w:eastAsia="Times New Roman" w:hAnsi="Times New Roman" w:cs="Times New Roman"/>
        </w:rPr>
      </w:pPr>
    </w:p>
    <w:p w14:paraId="08E9B518" w14:textId="0388122A" w:rsidR="009520F3" w:rsidRPr="009520F3" w:rsidRDefault="009520F3" w:rsidP="009520F3">
      <w:pPr>
        <w:rPr>
          <w:rFonts w:ascii="Times New Roman" w:eastAsia="Times New Roman" w:hAnsi="Times New Roman" w:cs="Times New Roman"/>
        </w:rPr>
      </w:pPr>
      <w:r w:rsidRPr="009520F3">
        <w:rPr>
          <w:rFonts w:ascii="Calibri" w:eastAsia="Times New Roman" w:hAnsi="Calibri" w:cs="Calibri"/>
          <w:color w:val="000000"/>
          <w:sz w:val="22"/>
          <w:szCs w:val="22"/>
        </w:rPr>
        <w:t xml:space="preserve">Maintaining flexible rather than prescriptive policies on legal vs. natural differentiation ensures that Registrars and Registries are nimble and able to quickly respond to future regulatory changes that may impact the publication of legal person data without requiring additional policy making. The RySG recognizes that the </w:t>
      </w:r>
      <w:hyperlink r:id="rId8" w:history="1">
        <w:r w:rsidRPr="009520F3">
          <w:rPr>
            <w:rFonts w:ascii="Calibri" w:eastAsia="Times New Roman" w:hAnsi="Calibri" w:cs="Calibri"/>
            <w:color w:val="0563C1"/>
            <w:sz w:val="22"/>
            <w:szCs w:val="22"/>
            <w:u w:val="single"/>
          </w:rPr>
          <w:t>Revised Directive on Security of Network and Information Systems</w:t>
        </w:r>
      </w:hyperlink>
      <w:r w:rsidRPr="009520F3">
        <w:rPr>
          <w:rFonts w:ascii="Calibri" w:eastAsia="Times New Roman" w:hAnsi="Calibri" w:cs="Calibri"/>
          <w:color w:val="000000"/>
          <w:sz w:val="22"/>
          <w:szCs w:val="22"/>
        </w:rPr>
        <w:t xml:space="preserve"> (“NIS 2”) has the potential, once adopted, to affect how Registrars and Registries process legal person data. The uncertainty around how and when EU Member States will implement NIS 2 is precisely why it is imperative that Registries and Registrars have the flexibility to self-determine their compliance with the shifting legal and regulatory landscape.  The changing and evolving privacy landscape reinforces the </w:t>
      </w:r>
      <w:r w:rsidR="00F3133C" w:rsidRPr="00293E14">
        <w:rPr>
          <w:rFonts w:ascii="Calibri" w:eastAsia="Times New Roman" w:hAnsi="Calibri" w:cs="Calibri"/>
          <w:color w:val="000000"/>
          <w:sz w:val="22"/>
          <w:szCs w:val="22"/>
        </w:rPr>
        <w:t xml:space="preserve">Phase </w:t>
      </w:r>
      <w:r w:rsidRPr="00293E14">
        <w:rPr>
          <w:rFonts w:ascii="Calibri" w:eastAsia="Times New Roman" w:hAnsi="Calibri" w:cs="Calibri"/>
          <w:color w:val="000000"/>
          <w:sz w:val="22"/>
          <w:szCs w:val="22"/>
        </w:rPr>
        <w:t>1</w:t>
      </w:r>
      <w:r w:rsidRPr="009520F3">
        <w:rPr>
          <w:rFonts w:ascii="Calibri" w:eastAsia="Times New Roman" w:hAnsi="Calibri" w:cs="Calibri"/>
          <w:color w:val="000000"/>
          <w:sz w:val="22"/>
          <w:szCs w:val="22"/>
        </w:rPr>
        <w:t xml:space="preserve"> recommendation affirming the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option to differentiate between legal and natural persons.</w:t>
      </w:r>
    </w:p>
    <w:p w14:paraId="30B0F7C4" w14:textId="77777777" w:rsidR="00844B63" w:rsidRDefault="00844B63" w:rsidP="00D3718C">
      <w:pPr>
        <w:rPr>
          <w:rFonts w:ascii="Calibri" w:eastAsia="Times New Roman" w:hAnsi="Calibri" w:cs="Calibri"/>
          <w:b/>
          <w:bCs/>
          <w:color w:val="000000"/>
          <w:sz w:val="22"/>
          <w:szCs w:val="22"/>
        </w:rPr>
      </w:pPr>
    </w:p>
    <w:p w14:paraId="6FAD313D" w14:textId="6BE925B5" w:rsidR="009520F3" w:rsidRPr="00D3718C" w:rsidRDefault="00637DB5" w:rsidP="00D3718C">
      <w:pPr>
        <w:pStyle w:val="ListParagraph"/>
        <w:numPr>
          <w:ilvl w:val="0"/>
          <w:numId w:val="20"/>
        </w:numPr>
        <w:rPr>
          <w:rFonts w:ascii="Times New Roman" w:eastAsia="Times New Roman" w:hAnsi="Times New Roman" w:cs="Times New Roman"/>
        </w:rPr>
      </w:pPr>
      <w:r w:rsidRPr="00D3718C">
        <w:rPr>
          <w:rFonts w:ascii="Calibri" w:eastAsia="Times New Roman" w:hAnsi="Calibri" w:cs="Calibri"/>
          <w:b/>
          <w:bCs/>
          <w:color w:val="000000"/>
          <w:sz w:val="22"/>
          <w:szCs w:val="22"/>
        </w:rPr>
        <w:t>I</w:t>
      </w:r>
      <w:r w:rsidR="00DD61EF" w:rsidRPr="00D3718C">
        <w:rPr>
          <w:rFonts w:ascii="Calibri" w:eastAsia="Times New Roman" w:hAnsi="Calibri" w:cs="Calibri"/>
          <w:b/>
          <w:bCs/>
          <w:color w:val="000000"/>
          <w:sz w:val="22"/>
          <w:szCs w:val="22"/>
        </w:rPr>
        <w:t>nsufficient</w:t>
      </w:r>
      <w:r w:rsidR="009520F3" w:rsidRPr="00D3718C">
        <w:rPr>
          <w:rFonts w:ascii="Calibri" w:eastAsia="Times New Roman" w:hAnsi="Calibri" w:cs="Calibri"/>
          <w:b/>
          <w:bCs/>
          <w:color w:val="000000"/>
          <w:sz w:val="22"/>
          <w:szCs w:val="22"/>
        </w:rPr>
        <w:t xml:space="preserve"> justification </w:t>
      </w:r>
      <w:r w:rsidR="00DD61EF" w:rsidRPr="00D3718C">
        <w:rPr>
          <w:rFonts w:ascii="Calibri" w:eastAsia="Times New Roman" w:hAnsi="Calibri" w:cs="Calibri"/>
          <w:b/>
          <w:bCs/>
          <w:color w:val="000000"/>
          <w:sz w:val="22"/>
          <w:szCs w:val="22"/>
        </w:rPr>
        <w:t>that additional requirements are necessary or even beneficial</w:t>
      </w:r>
    </w:p>
    <w:p w14:paraId="6246F03D" w14:textId="77777777" w:rsidR="009520F3" w:rsidRPr="009520F3" w:rsidRDefault="009520F3" w:rsidP="009520F3">
      <w:pPr>
        <w:rPr>
          <w:rFonts w:ascii="Times New Roman" w:eastAsia="Times New Roman" w:hAnsi="Times New Roman" w:cs="Times New Roman"/>
        </w:rPr>
      </w:pPr>
    </w:p>
    <w:p w14:paraId="4EFC8388" w14:textId="617067C0" w:rsidR="009520F3" w:rsidRDefault="009520F3" w:rsidP="00DD61EF">
      <w:pPr>
        <w:rPr>
          <w:rFonts w:ascii="Times New Roman" w:eastAsia="Times New Roman" w:hAnsi="Times New Roman" w:cs="Times New Roman"/>
        </w:rPr>
      </w:pPr>
      <w:r w:rsidRPr="009520F3">
        <w:rPr>
          <w:rFonts w:ascii="Calibri" w:eastAsia="Times New Roman" w:hAnsi="Calibri" w:cs="Calibri"/>
          <w:color w:val="000000"/>
          <w:sz w:val="22"/>
          <w:szCs w:val="22"/>
        </w:rPr>
        <w:t xml:space="preserve">Although the RySG feels strongly about Phase 1 Recommendation 17 on its own merits, we also note that </w:t>
      </w:r>
      <w:r w:rsidR="00DD61EF">
        <w:rPr>
          <w:rFonts w:ascii="Calibri" w:eastAsia="Times New Roman" w:hAnsi="Calibri" w:cs="Calibri"/>
          <w:color w:val="000000"/>
          <w:sz w:val="22"/>
          <w:szCs w:val="22"/>
        </w:rPr>
        <w:t xml:space="preserve">no </w:t>
      </w:r>
      <w:r w:rsidRPr="009520F3">
        <w:rPr>
          <w:rFonts w:ascii="Calibri" w:eastAsia="Times New Roman" w:hAnsi="Calibri" w:cs="Calibri"/>
          <w:color w:val="000000"/>
          <w:sz w:val="22"/>
          <w:szCs w:val="22"/>
        </w:rPr>
        <w:t xml:space="preserve">compelling justification </w:t>
      </w:r>
      <w:r w:rsidR="00DD61EF">
        <w:rPr>
          <w:rFonts w:ascii="Calibri" w:eastAsia="Times New Roman" w:hAnsi="Calibri" w:cs="Calibri"/>
          <w:color w:val="000000"/>
          <w:sz w:val="22"/>
          <w:szCs w:val="22"/>
        </w:rPr>
        <w:t xml:space="preserve">was provided as to </w:t>
      </w:r>
      <w:r w:rsidRPr="009520F3">
        <w:rPr>
          <w:rFonts w:ascii="Calibri" w:eastAsia="Times New Roman" w:hAnsi="Calibri" w:cs="Calibri"/>
          <w:color w:val="000000"/>
          <w:sz w:val="22"/>
          <w:szCs w:val="22"/>
        </w:rPr>
        <w:t xml:space="preserve">why mandatory differentiation would be necessary or even desirable.  </w:t>
      </w:r>
      <w:r w:rsidR="00F3133C">
        <w:rPr>
          <w:rFonts w:ascii="Calibri" w:eastAsia="Times New Roman" w:hAnsi="Calibri" w:cs="Calibri"/>
          <w:color w:val="000000"/>
          <w:sz w:val="22"/>
          <w:szCs w:val="22"/>
        </w:rPr>
        <w:t xml:space="preserve">Without more </w:t>
      </w:r>
      <w:r w:rsidR="00F3133C" w:rsidRPr="00D3718C">
        <w:rPr>
          <w:rFonts w:ascii="Calibri" w:eastAsia="Times New Roman" w:hAnsi="Calibri" w:cs="Calibri"/>
          <w:color w:val="000000"/>
          <w:sz w:val="22"/>
          <w:szCs w:val="22"/>
        </w:rPr>
        <w:t>information, w</w:t>
      </w:r>
      <w:r w:rsidR="00F3133C" w:rsidRPr="00293E14">
        <w:rPr>
          <w:rFonts w:ascii="Calibri" w:eastAsia="Times New Roman" w:hAnsi="Calibri" w:cs="Calibri"/>
          <w:color w:val="000000"/>
          <w:sz w:val="22"/>
          <w:szCs w:val="22"/>
        </w:rPr>
        <w:t xml:space="preserve">e </w:t>
      </w:r>
      <w:r w:rsidR="00F3133C" w:rsidRPr="00F3133C">
        <w:rPr>
          <w:rFonts w:ascii="Calibri" w:eastAsia="Times New Roman" w:hAnsi="Calibri" w:cs="Calibri"/>
          <w:color w:val="000000"/>
          <w:sz w:val="22"/>
          <w:szCs w:val="22"/>
        </w:rPr>
        <w:t>do not</w:t>
      </w:r>
      <w:r w:rsidRPr="00F3133C">
        <w:rPr>
          <w:rFonts w:ascii="Calibri" w:eastAsia="Times New Roman" w:hAnsi="Calibri" w:cs="Calibri"/>
          <w:color w:val="000000"/>
          <w:sz w:val="22"/>
          <w:szCs w:val="22"/>
        </w:rPr>
        <w:t xml:space="preserve"> understand</w:t>
      </w:r>
      <w:r w:rsidRPr="009520F3">
        <w:rPr>
          <w:rFonts w:ascii="Calibri" w:eastAsia="Times New Roman" w:hAnsi="Calibri" w:cs="Calibri"/>
          <w:color w:val="000000"/>
          <w:sz w:val="22"/>
          <w:szCs w:val="22"/>
        </w:rPr>
        <w:t xml:space="preserve"> with any precision what problem mandatory differentiation between legal and natural person registrations is attempting to solve.</w:t>
      </w:r>
    </w:p>
    <w:p w14:paraId="1860B8DD" w14:textId="77777777" w:rsidR="00DD61EF" w:rsidRPr="009520F3" w:rsidRDefault="00DD61EF" w:rsidP="00DD61EF">
      <w:pPr>
        <w:rPr>
          <w:rFonts w:ascii="Times New Roman" w:eastAsia="Times New Roman" w:hAnsi="Times New Roman" w:cs="Times New Roman"/>
        </w:rPr>
      </w:pPr>
    </w:p>
    <w:p w14:paraId="484EE760" w14:textId="643AE981" w:rsidR="009520F3" w:rsidRPr="00637DB5" w:rsidRDefault="00DD6EAB" w:rsidP="00637DB5">
      <w:pPr>
        <w:spacing w:after="160"/>
        <w:rPr>
          <w:rFonts w:ascii="Times New Roman" w:hAnsi="Times New Roman"/>
        </w:rPr>
      </w:pPr>
      <w:r w:rsidRPr="00637DB5">
        <w:rPr>
          <w:rFonts w:ascii="Calibri" w:eastAsia="Times New Roman" w:hAnsi="Calibri" w:cs="Calibri"/>
          <w:b/>
          <w:bCs/>
          <w:color w:val="000000"/>
          <w:sz w:val="22"/>
          <w:szCs w:val="22"/>
        </w:rPr>
        <w:t xml:space="preserve">III. </w:t>
      </w:r>
      <w:r w:rsidR="009520F3" w:rsidRPr="00637DB5">
        <w:rPr>
          <w:rFonts w:ascii="Calibri" w:eastAsia="Times New Roman" w:hAnsi="Calibri" w:cs="Calibri"/>
          <w:b/>
          <w:bCs/>
          <w:color w:val="000000"/>
          <w:sz w:val="22"/>
          <w:szCs w:val="22"/>
        </w:rPr>
        <w:t>RySG Trusts the GNSO Process to Determine When Future Policy Work is Required</w:t>
      </w:r>
    </w:p>
    <w:p w14:paraId="7A33F597" w14:textId="12887CAA" w:rsidR="00DD61EF"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The RySG supports flagging NIS 2 to the GNSO Council for ongoing monitoring</w:t>
      </w:r>
      <w:r w:rsidR="00F3133C" w:rsidRPr="00293E14">
        <w:rPr>
          <w:rFonts w:ascii="Calibri" w:eastAsia="Times New Roman" w:hAnsi="Calibri" w:cs="Calibri"/>
          <w:color w:val="000000"/>
          <w:sz w:val="22"/>
          <w:szCs w:val="22"/>
        </w:rPr>
        <w:t>.</w:t>
      </w:r>
      <w:r w:rsidR="00B231EB" w:rsidRPr="00293E14">
        <w:rPr>
          <w:rFonts w:ascii="Calibri" w:eastAsia="Times New Roman" w:hAnsi="Calibri" w:cs="Calibri"/>
          <w:color w:val="000000"/>
          <w:sz w:val="22"/>
          <w:szCs w:val="22"/>
        </w:rPr>
        <w:t xml:space="preserve"> </w:t>
      </w:r>
      <w:r w:rsidR="00F3133C" w:rsidRPr="00F3133C">
        <w:rPr>
          <w:rFonts w:ascii="Calibri" w:eastAsia="Times New Roman" w:hAnsi="Calibri" w:cs="Calibri"/>
          <w:color w:val="000000"/>
          <w:sz w:val="22"/>
          <w:szCs w:val="22"/>
        </w:rPr>
        <w:t>H</w:t>
      </w:r>
      <w:r w:rsidR="00F3133C">
        <w:rPr>
          <w:rFonts w:ascii="Calibri" w:eastAsia="Times New Roman" w:hAnsi="Calibri" w:cs="Calibri"/>
          <w:color w:val="000000"/>
          <w:sz w:val="22"/>
          <w:szCs w:val="22"/>
        </w:rPr>
        <w:t>owever</w:t>
      </w:r>
      <w:r w:rsidR="00B231EB">
        <w:rPr>
          <w:rFonts w:ascii="Calibri" w:eastAsia="Times New Roman" w:hAnsi="Calibri" w:cs="Calibri"/>
          <w:color w:val="000000"/>
          <w:sz w:val="22"/>
          <w:szCs w:val="22"/>
        </w:rPr>
        <w:t>, w</w:t>
      </w:r>
      <w:r w:rsidRPr="009520F3">
        <w:rPr>
          <w:rFonts w:ascii="Calibri" w:eastAsia="Times New Roman" w:hAnsi="Calibri" w:cs="Calibri"/>
          <w:color w:val="000000"/>
          <w:sz w:val="22"/>
          <w:szCs w:val="22"/>
        </w:rPr>
        <w:t xml:space="preserve">e do not feel </w:t>
      </w:r>
      <w:r w:rsidR="00B231EB">
        <w:rPr>
          <w:rFonts w:ascii="Calibri" w:eastAsia="Times New Roman" w:hAnsi="Calibri" w:cs="Calibri"/>
          <w:color w:val="000000"/>
          <w:sz w:val="22"/>
          <w:szCs w:val="22"/>
        </w:rPr>
        <w:t xml:space="preserve">that the current draft </w:t>
      </w:r>
      <w:r w:rsidRPr="009520F3">
        <w:rPr>
          <w:rFonts w:ascii="Calibri" w:eastAsia="Times New Roman" w:hAnsi="Calibri" w:cs="Calibri"/>
          <w:color w:val="000000"/>
          <w:sz w:val="22"/>
          <w:szCs w:val="22"/>
        </w:rPr>
        <w:t>NIS 2 necessitates new policy work</w:t>
      </w:r>
      <w:r w:rsidR="00B231EB">
        <w:rPr>
          <w:rFonts w:ascii="Calibri" w:eastAsia="Times New Roman" w:hAnsi="Calibri" w:cs="Calibri"/>
          <w:color w:val="000000"/>
          <w:sz w:val="22"/>
          <w:szCs w:val="22"/>
        </w:rPr>
        <w:t xml:space="preserve"> and hesitate to predetermine an outcome that it does</w:t>
      </w:r>
      <w:r w:rsidRPr="009520F3">
        <w:rPr>
          <w:rFonts w:ascii="Calibri" w:eastAsia="Times New Roman" w:hAnsi="Calibri" w:cs="Calibri"/>
          <w:color w:val="000000"/>
          <w:sz w:val="22"/>
          <w:szCs w:val="22"/>
        </w:rPr>
        <w:t xml:space="preserve">.  The RySG supports and defers to the GNSO </w:t>
      </w:r>
      <w:r w:rsidR="00B231EB">
        <w:rPr>
          <w:rFonts w:ascii="Calibri" w:eastAsia="Times New Roman" w:hAnsi="Calibri" w:cs="Calibri"/>
          <w:color w:val="000000"/>
          <w:sz w:val="22"/>
          <w:szCs w:val="22"/>
        </w:rPr>
        <w:t>C</w:t>
      </w:r>
      <w:r w:rsidRPr="009520F3">
        <w:rPr>
          <w:rFonts w:ascii="Calibri" w:eastAsia="Times New Roman" w:hAnsi="Calibri" w:cs="Calibri"/>
          <w:color w:val="000000"/>
          <w:sz w:val="22"/>
          <w:szCs w:val="22"/>
        </w:rPr>
        <w:t>ouncil’s role in determining when policy work is required. GNSO practices and procedures make clear that ICANN policy is not required to direct or duplicate obligations that Contracted Parties are subject to under law. ICANN initiated this EPDP to address the enactment of GDPR, policy work in that instance was necessary because of direct conflicts between the requirements in our agreements with ICANN and the requirements of GDPR.</w:t>
      </w:r>
      <w:r w:rsidR="00B231EB">
        <w:rPr>
          <w:rFonts w:ascii="Calibri" w:eastAsia="Times New Roman" w:hAnsi="Calibri" w:cs="Calibri"/>
          <w:color w:val="000000"/>
          <w:sz w:val="22"/>
          <w:szCs w:val="22"/>
        </w:rPr>
        <w:t xml:space="preserve"> The same cannot be said for potential draft NIS 2 legislation.</w:t>
      </w:r>
      <w:r w:rsidRPr="009520F3">
        <w:rPr>
          <w:rFonts w:ascii="Calibri" w:eastAsia="Times New Roman" w:hAnsi="Calibri" w:cs="Calibri"/>
          <w:color w:val="000000"/>
          <w:sz w:val="22"/>
          <w:szCs w:val="22"/>
        </w:rPr>
        <w:t xml:space="preserve">  In the meantime, data protection laws have been passed or come into effect in California, Virginia, Japan, India, and China (to name a few) that some or all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must follow. No one has suggested (rightfully) that ICANN make policy to ensure compliance with those obligations because there are no direct conflict</w:t>
      </w:r>
      <w:r w:rsidR="00676BF6">
        <w:rPr>
          <w:rFonts w:ascii="Calibri" w:eastAsia="Times New Roman" w:hAnsi="Calibri" w:cs="Calibri"/>
          <w:color w:val="000000"/>
          <w:sz w:val="22"/>
          <w:szCs w:val="22"/>
        </w:rPr>
        <w:t>s</w:t>
      </w:r>
      <w:r w:rsidRPr="009520F3">
        <w:rPr>
          <w:rFonts w:ascii="Calibri" w:eastAsia="Times New Roman" w:hAnsi="Calibri" w:cs="Calibri"/>
          <w:color w:val="000000"/>
          <w:sz w:val="22"/>
          <w:szCs w:val="22"/>
        </w:rPr>
        <w:t xml:space="preserve"> with our agreement</w:t>
      </w:r>
      <w:r w:rsidR="00676BF6">
        <w:rPr>
          <w:rFonts w:ascii="Calibri" w:eastAsia="Times New Roman" w:hAnsi="Calibri" w:cs="Calibri"/>
          <w:color w:val="000000"/>
          <w:sz w:val="22"/>
          <w:szCs w:val="22"/>
        </w:rPr>
        <w:t>s</w:t>
      </w:r>
      <w:r w:rsidRPr="009520F3">
        <w:rPr>
          <w:rFonts w:ascii="Calibri" w:eastAsia="Times New Roman" w:hAnsi="Calibri" w:cs="Calibri"/>
          <w:color w:val="000000"/>
          <w:sz w:val="22"/>
          <w:szCs w:val="22"/>
        </w:rPr>
        <w:t xml:space="preserve">.  Ultimately the decision </w:t>
      </w:r>
      <w:r w:rsidR="00DD6EAB">
        <w:rPr>
          <w:rFonts w:ascii="Calibri" w:eastAsia="Times New Roman" w:hAnsi="Calibri" w:cs="Calibri"/>
          <w:color w:val="000000"/>
          <w:sz w:val="22"/>
          <w:szCs w:val="22"/>
        </w:rPr>
        <w:t xml:space="preserve">of </w:t>
      </w:r>
      <w:proofErr w:type="gramStart"/>
      <w:r w:rsidRPr="009520F3">
        <w:rPr>
          <w:rFonts w:ascii="Calibri" w:eastAsia="Times New Roman" w:hAnsi="Calibri" w:cs="Calibri"/>
          <w:color w:val="000000"/>
          <w:sz w:val="22"/>
          <w:szCs w:val="22"/>
        </w:rPr>
        <w:t>if and when</w:t>
      </w:r>
      <w:proofErr w:type="gramEnd"/>
      <w:r w:rsidRPr="009520F3">
        <w:rPr>
          <w:rFonts w:ascii="Calibri" w:eastAsia="Times New Roman" w:hAnsi="Calibri" w:cs="Calibri"/>
          <w:color w:val="000000"/>
          <w:sz w:val="22"/>
          <w:szCs w:val="22"/>
        </w:rPr>
        <w:t xml:space="preserve"> to initiate new policy work must be left to the GNSO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ouncil</w:t>
      </w:r>
      <w:r w:rsidRPr="009520F3">
        <w:rPr>
          <w:rFonts w:ascii="Calibri" w:eastAsia="Times New Roman" w:hAnsi="Calibri" w:cs="Calibri"/>
          <w:color w:val="000000"/>
          <w:sz w:val="22"/>
          <w:szCs w:val="22"/>
        </w:rPr>
        <w:t>, following existing processes.</w:t>
      </w:r>
    </w:p>
    <w:p w14:paraId="33F5E803" w14:textId="14E8072E" w:rsidR="009520F3" w:rsidRPr="00637DB5" w:rsidRDefault="00DD61EF" w:rsidP="00637DB5">
      <w:pPr>
        <w:spacing w:after="160"/>
        <w:rPr>
          <w:rFonts w:ascii="Times New Roman" w:eastAsia="Times New Roman" w:hAnsi="Times New Roman" w:cs="Times New Roman"/>
        </w:rPr>
      </w:pPr>
      <w:r>
        <w:rPr>
          <w:rFonts w:ascii="Calibri" w:eastAsia="Times New Roman" w:hAnsi="Calibri" w:cs="Calibri"/>
          <w:b/>
          <w:bCs/>
          <w:color w:val="000000"/>
          <w:sz w:val="22"/>
          <w:szCs w:val="22"/>
        </w:rPr>
        <w:t xml:space="preserve">IV. </w:t>
      </w:r>
      <w:r w:rsidR="009520F3" w:rsidRPr="009520F3">
        <w:rPr>
          <w:rFonts w:ascii="Calibri" w:eastAsia="Times New Roman" w:hAnsi="Calibri" w:cs="Calibri"/>
          <w:b/>
          <w:bCs/>
          <w:color w:val="000000"/>
          <w:sz w:val="22"/>
          <w:szCs w:val="22"/>
        </w:rPr>
        <w:t>Recommendation #1 is Out Scope</w:t>
      </w:r>
      <w:r w:rsidR="001D3CB1" w:rsidRPr="001D3CB1">
        <w:rPr>
          <w:rFonts w:ascii="Calibri" w:eastAsia="Times New Roman" w:hAnsi="Calibri" w:cs="Calibri"/>
          <w:b/>
          <w:bCs/>
          <w:color w:val="000000"/>
          <w:sz w:val="22"/>
          <w:szCs w:val="22"/>
        </w:rPr>
        <w:t xml:space="preserve"> and Raises Significant Implementation Questions</w:t>
      </w:r>
    </w:p>
    <w:p w14:paraId="7BD28B2F" w14:textId="4EACD62D"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As a reminder, on the issue of legal vs. natural differentiation in Phase 2A, the GNSO </w:t>
      </w:r>
      <w:r w:rsidR="00676BF6">
        <w:rPr>
          <w:rFonts w:ascii="Calibri" w:eastAsia="Times New Roman" w:hAnsi="Calibri" w:cs="Calibri"/>
          <w:color w:val="000000"/>
          <w:sz w:val="22"/>
          <w:szCs w:val="22"/>
        </w:rPr>
        <w:t xml:space="preserve">Council </w:t>
      </w:r>
      <w:r w:rsidRPr="009520F3">
        <w:rPr>
          <w:rFonts w:ascii="Calibri" w:eastAsia="Times New Roman" w:hAnsi="Calibri" w:cs="Calibri"/>
          <w:color w:val="000000"/>
          <w:sz w:val="22"/>
          <w:szCs w:val="22"/>
        </w:rPr>
        <w:t xml:space="preserve">instructed the EPDP to answer two plainly narrow questions: (1) whether any updates are required to the EPDP </w:t>
      </w:r>
      <w:r w:rsidRPr="009520F3">
        <w:rPr>
          <w:rFonts w:ascii="Calibri" w:eastAsia="Times New Roman" w:hAnsi="Calibri" w:cs="Calibri"/>
          <w:color w:val="000000"/>
          <w:sz w:val="22"/>
          <w:szCs w:val="22"/>
        </w:rPr>
        <w:lastRenderedPageBreak/>
        <w:t>Phase 1 recommendation on this topic (“Registrars and Registry Operators are permitted to differentiate between registrations of legal and natural persons, but are not obligated to do so”); and (2) what guidance, if any, can be provided to Registrars and/or Registries who differentiate between registrations of legal and natural persons.</w:t>
      </w:r>
      <w:r w:rsidR="007D5D28">
        <w:rPr>
          <w:rStyle w:val="FootnoteReference"/>
          <w:rFonts w:ascii="Calibri" w:eastAsia="Times New Roman" w:hAnsi="Calibri" w:cs="Calibri"/>
          <w:color w:val="000000"/>
          <w:sz w:val="22"/>
          <w:szCs w:val="22"/>
        </w:rPr>
        <w:footnoteReference w:id="6"/>
      </w:r>
    </w:p>
    <w:p w14:paraId="573290F2" w14:textId="27524330"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Adherence to the agreed upon scope of a PDP is fundamentally important in developing good policy. Unfortunately, the Phase 2A work has suffered from constant attempts to expand the scope of our task, ultimately resulting in a recommendation for creating a data element that we have repeatedly flagged as well beyond our instructions from GNSO Council. The mandatory creation of a new data element has no nexus with the Phase 1 Recommendation #17 language, and therefore is not justified as a response to the first part of our task from the GNSO.  Instead of seeking clarification on scope at the outset of the consideration of this issue, the EPDP Chair determined that the creation of a data element relates to guidance within the scope of the EPDP. Moreover, “if the GNSO Council feels like what we are producing is out of scope, that they will communicate that.”</w:t>
      </w:r>
      <w:r w:rsidR="007D5D28">
        <w:rPr>
          <w:rStyle w:val="FootnoteReference"/>
          <w:rFonts w:ascii="Calibri" w:eastAsia="Times New Roman" w:hAnsi="Calibri" w:cs="Calibri"/>
          <w:color w:val="000000"/>
          <w:sz w:val="22"/>
          <w:szCs w:val="22"/>
        </w:rPr>
        <w:footnoteReference w:id="7"/>
      </w:r>
    </w:p>
    <w:p w14:paraId="49EF6BF4" w14:textId="19234DB1"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As a result, the RySG respectfully requests that the GNSO council first examine Recommendation #1 from the perspective of whether the proposal is in fact within the scope of the Phase 2A work prior to considering whether to approve the recommendation. As we explain, we believe that it is not</w:t>
      </w:r>
      <w:r w:rsidR="001D3CB1" w:rsidRPr="001D3CB1">
        <w:rPr>
          <w:rFonts w:ascii="Calibri" w:eastAsia="Times New Roman" w:hAnsi="Calibri" w:cs="Calibri"/>
          <w:color w:val="000000"/>
          <w:sz w:val="22"/>
          <w:szCs w:val="22"/>
        </w:rPr>
        <w:t>. Should the GNSO determine that Recommendation #1 is in scope, the RySG still has significant concerns about the appropriateness and practical implementation of this recommendation</w:t>
      </w:r>
      <w:r w:rsidRPr="009520F3">
        <w:rPr>
          <w:rFonts w:ascii="Calibri" w:eastAsia="Times New Roman" w:hAnsi="Calibri" w:cs="Calibri"/>
          <w:color w:val="000000"/>
          <w:sz w:val="22"/>
          <w:szCs w:val="22"/>
        </w:rPr>
        <w:t>.</w:t>
      </w:r>
    </w:p>
    <w:p w14:paraId="783E4908" w14:textId="7A684129" w:rsidR="009520F3" w:rsidRPr="00293E14" w:rsidRDefault="009520F3" w:rsidP="00D3718C">
      <w:pPr>
        <w:pStyle w:val="ListParagraph"/>
        <w:numPr>
          <w:ilvl w:val="0"/>
          <w:numId w:val="26"/>
        </w:numPr>
        <w:spacing w:after="160"/>
        <w:textAlignment w:val="baseline"/>
        <w:rPr>
          <w:rFonts w:ascii="Times New Roman" w:hAnsi="Times New Roman"/>
        </w:rPr>
      </w:pPr>
      <w:r w:rsidRPr="00D3718C">
        <w:rPr>
          <w:rFonts w:ascii="Calibri" w:eastAsia="Times New Roman" w:hAnsi="Calibri" w:cs="Calibri"/>
          <w:b/>
          <w:bCs/>
          <w:color w:val="000000"/>
          <w:sz w:val="22"/>
          <w:szCs w:val="22"/>
        </w:rPr>
        <w:t>Recommendation #1</w:t>
      </w:r>
      <w:r w:rsidR="001D3CB1" w:rsidRPr="00D3718C">
        <w:rPr>
          <w:rFonts w:ascii="Calibri" w:eastAsia="Times New Roman" w:hAnsi="Calibri" w:cs="Calibri"/>
          <w:b/>
          <w:bCs/>
          <w:color w:val="000000"/>
          <w:sz w:val="22"/>
          <w:szCs w:val="22"/>
        </w:rPr>
        <w:t xml:space="preserve"> is unrelated to our instructions from Council</w:t>
      </w:r>
    </w:p>
    <w:p w14:paraId="30722A2A" w14:textId="0C98B523" w:rsidR="001D3CB1" w:rsidRPr="001D3CB1" w:rsidRDefault="00150D35" w:rsidP="001D3CB1">
      <w:pPr>
        <w:spacing w:after="160"/>
        <w:rPr>
          <w:rFonts w:ascii="Times New Roman" w:eastAsia="Times New Roman" w:hAnsi="Times New Roman" w:cs="Times New Roman"/>
        </w:rPr>
      </w:pPr>
      <w:r w:rsidRPr="00150D35">
        <w:rPr>
          <w:rFonts w:ascii="Calibri" w:eastAsia="Times New Roman" w:hAnsi="Calibri" w:cs="Calibri"/>
          <w:color w:val="000000"/>
          <w:sz w:val="22"/>
          <w:szCs w:val="22"/>
        </w:rPr>
        <w:t>We believe that the proposed mandatory creation of a new data element, which requires engagement with the IETF, and likely addition</w:t>
      </w:r>
      <w:r w:rsidR="00844B63">
        <w:rPr>
          <w:rFonts w:ascii="Calibri" w:eastAsia="Times New Roman" w:hAnsi="Calibri" w:cs="Calibri"/>
          <w:color w:val="000000"/>
          <w:sz w:val="22"/>
          <w:szCs w:val="22"/>
        </w:rPr>
        <w:t>al</w:t>
      </w:r>
      <w:r w:rsidRPr="00150D35">
        <w:rPr>
          <w:rFonts w:ascii="Calibri" w:eastAsia="Times New Roman" w:hAnsi="Calibri" w:cs="Calibri"/>
          <w:color w:val="000000"/>
          <w:sz w:val="22"/>
          <w:szCs w:val="22"/>
        </w:rPr>
        <w:t xml:space="preserve"> engagement in other areas, does not qualify as the “guidance” referred to in the GNSO instructions.</w:t>
      </w:r>
      <w:r>
        <w:rPr>
          <w:rFonts w:ascii="Calibri" w:eastAsia="Times New Roman" w:hAnsi="Calibri" w:cs="Calibri"/>
          <w:color w:val="000000"/>
          <w:sz w:val="22"/>
          <w:szCs w:val="22"/>
        </w:rPr>
        <w:t xml:space="preserve">  </w:t>
      </w:r>
      <w:r w:rsidR="009520F3" w:rsidRPr="009520F3">
        <w:rPr>
          <w:rFonts w:ascii="Calibri" w:eastAsia="Times New Roman" w:hAnsi="Calibri" w:cs="Calibri"/>
          <w:color w:val="000000"/>
          <w:sz w:val="22"/>
          <w:szCs w:val="22"/>
        </w:rPr>
        <w:t>The existence (or not) of a standardized data element does nothing to assist</w:t>
      </w:r>
      <w:r w:rsidR="00676BF6">
        <w:rPr>
          <w:rFonts w:ascii="Calibri" w:eastAsia="Times New Roman" w:hAnsi="Calibri" w:cs="Calibri"/>
          <w:color w:val="000000"/>
          <w:sz w:val="22"/>
          <w:szCs w:val="22"/>
        </w:rPr>
        <w:t xml:space="preserve"> parties in the process of differentiat</w:t>
      </w:r>
      <w:r w:rsidR="00A95B35">
        <w:rPr>
          <w:rFonts w:ascii="Calibri" w:eastAsia="Times New Roman" w:hAnsi="Calibri" w:cs="Calibri"/>
          <w:color w:val="000000"/>
          <w:sz w:val="22"/>
          <w:szCs w:val="22"/>
        </w:rPr>
        <w:t>ion</w:t>
      </w:r>
      <w:r w:rsidR="00676BF6">
        <w:rPr>
          <w:rFonts w:ascii="Calibri" w:eastAsia="Times New Roman" w:hAnsi="Calibri" w:cs="Calibri"/>
          <w:color w:val="000000"/>
          <w:sz w:val="22"/>
          <w:szCs w:val="22"/>
        </w:rPr>
        <w:t>,</w:t>
      </w:r>
      <w:r w:rsidR="009520F3" w:rsidRPr="009520F3">
        <w:rPr>
          <w:rFonts w:ascii="Calibri" w:eastAsia="Times New Roman" w:hAnsi="Calibri" w:cs="Calibri"/>
          <w:color w:val="000000"/>
          <w:sz w:val="22"/>
          <w:szCs w:val="22"/>
        </w:rPr>
        <w:t xml:space="preserve"> it merely captures the outcome of that process.</w:t>
      </w:r>
      <w:r w:rsidR="001D3CB1" w:rsidRPr="001D3CB1">
        <w:rPr>
          <w:rFonts w:ascii="Calibri" w:eastAsia="Times New Roman" w:hAnsi="Calibri" w:cs="Calibri"/>
          <w:color w:val="000000"/>
          <w:sz w:val="22"/>
          <w:szCs w:val="22"/>
        </w:rPr>
        <w:t xml:space="preserve"> </w:t>
      </w:r>
      <w:r w:rsidR="00844B63">
        <w:rPr>
          <w:rFonts w:ascii="Calibri" w:eastAsia="Times New Roman" w:hAnsi="Calibri" w:cs="Calibri"/>
          <w:color w:val="000000"/>
          <w:sz w:val="22"/>
          <w:szCs w:val="22"/>
        </w:rPr>
        <w:t>F</w:t>
      </w:r>
      <w:r w:rsidR="001D3CB1" w:rsidRPr="001D3CB1">
        <w:rPr>
          <w:rFonts w:ascii="Calibri" w:eastAsia="Times New Roman" w:hAnsi="Calibri" w:cs="Calibri"/>
          <w:color w:val="000000"/>
          <w:sz w:val="22"/>
          <w:szCs w:val="22"/>
        </w:rPr>
        <w:t>ocusing on the outcome rather than the process is not guidance, at least not practical guidance that is meaningful and therefore does not conform to the EPDP’s instructions from Council. </w:t>
      </w:r>
    </w:p>
    <w:p w14:paraId="6F144AAE" w14:textId="68C1DE84" w:rsidR="001D3CB1" w:rsidRPr="001D3CB1" w:rsidRDefault="001D3CB1" w:rsidP="001D3CB1">
      <w:pPr>
        <w:spacing w:after="160"/>
        <w:rPr>
          <w:rFonts w:ascii="Times New Roman" w:eastAsia="Times New Roman" w:hAnsi="Times New Roman" w:cs="Times New Roman"/>
        </w:rPr>
      </w:pPr>
      <w:r w:rsidRPr="001D3CB1">
        <w:rPr>
          <w:rFonts w:ascii="Calibri" w:eastAsia="Times New Roman" w:hAnsi="Calibri" w:cs="Calibri"/>
          <w:color w:val="000000"/>
          <w:sz w:val="22"/>
          <w:szCs w:val="22"/>
        </w:rPr>
        <w:t>Similarly, we do not</w:t>
      </w:r>
      <w:r w:rsidR="00DD6EAB">
        <w:rPr>
          <w:rFonts w:ascii="Calibri" w:eastAsia="Times New Roman" w:hAnsi="Calibri" w:cs="Calibri"/>
          <w:color w:val="000000"/>
          <w:sz w:val="22"/>
          <w:szCs w:val="22"/>
        </w:rPr>
        <w:t>, i</w:t>
      </w:r>
      <w:r w:rsidR="009520F3" w:rsidRPr="009520F3">
        <w:rPr>
          <w:rFonts w:ascii="Calibri" w:eastAsia="Times New Roman" w:hAnsi="Calibri" w:cs="Calibri"/>
          <w:color w:val="000000"/>
          <w:sz w:val="22"/>
          <w:szCs w:val="22"/>
        </w:rPr>
        <w:t xml:space="preserve">n considering the possibility of a standard data element, agree that </w:t>
      </w:r>
      <w:r w:rsidRPr="001D3CB1">
        <w:rPr>
          <w:rFonts w:ascii="Calibri" w:eastAsia="Times New Roman" w:hAnsi="Calibri" w:cs="Calibri"/>
          <w:color w:val="000000"/>
          <w:sz w:val="22"/>
          <w:szCs w:val="22"/>
        </w:rPr>
        <w:t>recommending a new data element is related to guidance simply because the data element is referenced in that guidance. We cannot bootstrap items into the scope of the PDP in this manner. The EPDP should not go beyond the scope of its instructions, and our recommendations must be similarly focused.</w:t>
      </w:r>
    </w:p>
    <w:p w14:paraId="7881E706" w14:textId="70826BD4" w:rsidR="001D3CB1" w:rsidRPr="00D3718C" w:rsidRDefault="001D3CB1" w:rsidP="00D3718C">
      <w:pPr>
        <w:pStyle w:val="ListParagraph"/>
        <w:numPr>
          <w:ilvl w:val="0"/>
          <w:numId w:val="26"/>
        </w:numPr>
        <w:spacing w:after="160"/>
        <w:textAlignment w:val="baseline"/>
        <w:rPr>
          <w:rFonts w:ascii="Calibri" w:eastAsia="Times New Roman" w:hAnsi="Calibri" w:cs="Calibri"/>
          <w:b/>
          <w:bCs/>
          <w:color w:val="000000"/>
          <w:sz w:val="22"/>
          <w:szCs w:val="22"/>
        </w:rPr>
      </w:pPr>
      <w:r w:rsidRPr="00D3718C">
        <w:rPr>
          <w:rFonts w:ascii="Calibri" w:eastAsia="Times New Roman" w:hAnsi="Calibri" w:cs="Calibri"/>
          <w:b/>
          <w:bCs/>
          <w:color w:val="000000"/>
          <w:sz w:val="22"/>
          <w:szCs w:val="22"/>
        </w:rPr>
        <w:t>Creating a new data element raises significant implementation issues</w:t>
      </w:r>
    </w:p>
    <w:p w14:paraId="2A88CE16" w14:textId="77777777" w:rsidR="001D3CB1" w:rsidRPr="001D3CB1" w:rsidRDefault="001D3CB1" w:rsidP="001D3CB1">
      <w:pPr>
        <w:spacing w:after="160"/>
        <w:rPr>
          <w:rFonts w:ascii="Times New Roman" w:eastAsia="Times New Roman" w:hAnsi="Times New Roman" w:cs="Times New Roman"/>
        </w:rPr>
      </w:pPr>
      <w:r w:rsidRPr="001D3CB1">
        <w:rPr>
          <w:rFonts w:ascii="Calibri" w:eastAsia="Times New Roman" w:hAnsi="Calibri" w:cs="Calibri"/>
          <w:color w:val="000000"/>
          <w:sz w:val="22"/>
          <w:szCs w:val="22"/>
        </w:rPr>
        <w:t>If the GNSO determines that Recommendation #1 is in scope of Phase 2A, the RySG still believes that there are significant implementation issues that the GNSO and ICANN must closely consider before adopting this recommendation.</w:t>
      </w:r>
    </w:p>
    <w:p w14:paraId="532CF9BF" w14:textId="70B3039A" w:rsidR="001D3CB1" w:rsidRPr="001D3CB1" w:rsidRDefault="000B4E1B" w:rsidP="001D3CB1">
      <w:pPr>
        <w:spacing w:after="160"/>
        <w:rPr>
          <w:rFonts w:ascii="Times New Roman" w:eastAsia="Times New Roman" w:hAnsi="Times New Roman" w:cs="Times New Roman"/>
        </w:rPr>
      </w:pPr>
      <w:r>
        <w:rPr>
          <w:rFonts w:ascii="Calibri" w:eastAsia="Times New Roman" w:hAnsi="Calibri" w:cs="Calibri"/>
          <w:color w:val="000000"/>
          <w:sz w:val="22"/>
          <w:szCs w:val="22"/>
        </w:rPr>
        <w:t>T</w:t>
      </w:r>
      <w:r w:rsidR="001D3CB1" w:rsidRPr="001D3CB1">
        <w:rPr>
          <w:rFonts w:ascii="Calibri" w:eastAsia="Times New Roman" w:hAnsi="Calibri" w:cs="Calibri"/>
          <w:color w:val="000000"/>
          <w:sz w:val="22"/>
          <w:szCs w:val="22"/>
        </w:rPr>
        <w:t xml:space="preserve">he proposed data element is not something that ICANN can create on its own. The EPP and RDAP Internet Standards (the technical specifications), both of which are the basis </w:t>
      </w:r>
      <w:r w:rsidR="009520F3" w:rsidRPr="009520F3">
        <w:rPr>
          <w:rFonts w:ascii="Calibri" w:eastAsia="Times New Roman" w:hAnsi="Calibri" w:cs="Calibri"/>
          <w:color w:val="000000"/>
          <w:sz w:val="22"/>
          <w:szCs w:val="22"/>
        </w:rPr>
        <w:t xml:space="preserve">for </w:t>
      </w:r>
      <w:r w:rsidR="001D3CB1" w:rsidRPr="001D3CB1">
        <w:rPr>
          <w:rFonts w:ascii="Calibri" w:eastAsia="Times New Roman" w:hAnsi="Calibri" w:cs="Calibri"/>
          <w:color w:val="000000"/>
          <w:sz w:val="22"/>
          <w:szCs w:val="22"/>
        </w:rPr>
        <w:t xml:space="preserve">most communication channels used for registration data, are controlled by the IETF. </w:t>
      </w:r>
      <w:r w:rsidR="0035246B">
        <w:rPr>
          <w:rFonts w:ascii="Calibri" w:eastAsia="Times New Roman" w:hAnsi="Calibri" w:cs="Calibri"/>
          <w:color w:val="000000"/>
          <w:sz w:val="22"/>
          <w:szCs w:val="22"/>
        </w:rPr>
        <w:t>T</w:t>
      </w:r>
      <w:r w:rsidR="001D3CB1" w:rsidRPr="001D3CB1">
        <w:rPr>
          <w:rFonts w:ascii="Calibri" w:eastAsia="Times New Roman" w:hAnsi="Calibri" w:cs="Calibri"/>
          <w:color w:val="000000"/>
          <w:sz w:val="22"/>
          <w:szCs w:val="22"/>
        </w:rPr>
        <w:t xml:space="preserve">he IETF has a process independent of </w:t>
      </w:r>
      <w:r w:rsidR="001D3CB1" w:rsidRPr="001D3CB1">
        <w:rPr>
          <w:rFonts w:ascii="Calibri" w:eastAsia="Times New Roman" w:hAnsi="Calibri" w:cs="Calibri"/>
          <w:color w:val="000000"/>
          <w:sz w:val="22"/>
          <w:szCs w:val="22"/>
        </w:rPr>
        <w:lastRenderedPageBreak/>
        <w:t>ICANN within a technical community comprised of more than just ICANN-related parties</w:t>
      </w:r>
      <w:r>
        <w:rPr>
          <w:rFonts w:ascii="Calibri" w:eastAsia="Times New Roman" w:hAnsi="Calibri" w:cs="Calibri"/>
          <w:color w:val="000000"/>
          <w:sz w:val="22"/>
          <w:szCs w:val="22"/>
        </w:rPr>
        <w:t xml:space="preserve"> potentially creating implementation challenges. </w:t>
      </w:r>
    </w:p>
    <w:p w14:paraId="0A75F044" w14:textId="1E9E0D2E" w:rsidR="001D3CB1" w:rsidRPr="001D3CB1" w:rsidRDefault="000B4E1B" w:rsidP="001D3CB1">
      <w:pPr>
        <w:spacing w:after="160"/>
        <w:rPr>
          <w:rFonts w:ascii="Times New Roman" w:eastAsia="Times New Roman" w:hAnsi="Times New Roman" w:cs="Times New Roman"/>
        </w:rPr>
      </w:pPr>
      <w:r>
        <w:rPr>
          <w:rFonts w:ascii="Calibri" w:eastAsia="Times New Roman" w:hAnsi="Calibri" w:cs="Calibri"/>
          <w:color w:val="000000"/>
          <w:sz w:val="22"/>
          <w:szCs w:val="22"/>
        </w:rPr>
        <w:t>G</w:t>
      </w:r>
      <w:r w:rsidR="001D3CB1" w:rsidRPr="001D3CB1">
        <w:rPr>
          <w:rFonts w:ascii="Calibri" w:eastAsia="Times New Roman" w:hAnsi="Calibri" w:cs="Calibri"/>
          <w:color w:val="000000"/>
          <w:sz w:val="22"/>
          <w:szCs w:val="22"/>
        </w:rPr>
        <w:t xml:space="preserve">iven the significant concerns raised regarding the adoption of this data element, we note that </w:t>
      </w:r>
      <w:r w:rsidR="0035246B">
        <w:rPr>
          <w:rFonts w:ascii="Calibri" w:eastAsia="Times New Roman" w:hAnsi="Calibri" w:cs="Calibri"/>
          <w:color w:val="000000"/>
          <w:sz w:val="22"/>
          <w:szCs w:val="22"/>
        </w:rPr>
        <w:t xml:space="preserve">no </w:t>
      </w:r>
      <w:r w:rsidR="001D3CB1" w:rsidRPr="001D3CB1">
        <w:rPr>
          <w:rFonts w:ascii="Calibri" w:eastAsia="Times New Roman" w:hAnsi="Calibri" w:cs="Calibri"/>
          <w:color w:val="000000"/>
          <w:sz w:val="22"/>
          <w:szCs w:val="22"/>
        </w:rPr>
        <w:t xml:space="preserve">compelling </w:t>
      </w:r>
      <w:r w:rsidR="0035246B">
        <w:rPr>
          <w:rFonts w:ascii="Calibri" w:eastAsia="Times New Roman" w:hAnsi="Calibri" w:cs="Calibri"/>
          <w:color w:val="000000"/>
          <w:sz w:val="22"/>
          <w:szCs w:val="22"/>
        </w:rPr>
        <w:t>justification as to</w:t>
      </w:r>
      <w:r w:rsidR="001D3CB1" w:rsidRPr="001D3CB1">
        <w:rPr>
          <w:rFonts w:ascii="Calibri" w:eastAsia="Times New Roman" w:hAnsi="Calibri" w:cs="Calibri"/>
          <w:color w:val="000000"/>
          <w:sz w:val="22"/>
          <w:szCs w:val="22"/>
        </w:rPr>
        <w:t xml:space="preserve"> why this data element is necessary or beneficial, particularly as part of the public RDDS</w:t>
      </w:r>
      <w:r w:rsidR="0035246B">
        <w:rPr>
          <w:rFonts w:ascii="Calibri" w:eastAsia="Times New Roman" w:hAnsi="Calibri" w:cs="Calibri"/>
          <w:color w:val="000000"/>
          <w:sz w:val="22"/>
          <w:szCs w:val="22"/>
        </w:rPr>
        <w:t xml:space="preserve"> have been provided</w:t>
      </w:r>
      <w:r w:rsidR="001D3CB1" w:rsidRPr="001D3CB1">
        <w:rPr>
          <w:rFonts w:ascii="Calibri" w:eastAsia="Times New Roman" w:hAnsi="Calibri" w:cs="Calibri"/>
          <w:color w:val="000000"/>
          <w:sz w:val="22"/>
          <w:szCs w:val="22"/>
        </w:rPr>
        <w:t>. The</w:t>
      </w:r>
      <w:r>
        <w:rPr>
          <w:rFonts w:ascii="Calibri" w:eastAsia="Times New Roman" w:hAnsi="Calibri" w:cs="Calibri"/>
          <w:color w:val="000000"/>
          <w:sz w:val="22"/>
          <w:szCs w:val="22"/>
        </w:rPr>
        <w:t>,</w:t>
      </w:r>
      <w:r w:rsidR="001D3CB1" w:rsidRPr="001D3CB1">
        <w:rPr>
          <w:rFonts w:ascii="Calibri" w:eastAsia="Times New Roman" w:hAnsi="Calibri" w:cs="Calibri"/>
          <w:color w:val="000000"/>
          <w:sz w:val="22"/>
          <w:szCs w:val="22"/>
        </w:rPr>
        <w:t xml:space="preserve"> rationales put forward, including (</w:t>
      </w:r>
      <w:proofErr w:type="spellStart"/>
      <w:r w:rsidR="001D3CB1" w:rsidRPr="001D3CB1">
        <w:rPr>
          <w:rFonts w:ascii="Calibri" w:eastAsia="Times New Roman" w:hAnsi="Calibri" w:cs="Calibri"/>
          <w:color w:val="000000"/>
          <w:sz w:val="22"/>
          <w:szCs w:val="22"/>
        </w:rPr>
        <w:t>i</w:t>
      </w:r>
      <w:proofErr w:type="spellEnd"/>
      <w:r w:rsidR="001D3CB1" w:rsidRPr="001D3CB1">
        <w:rPr>
          <w:rFonts w:ascii="Calibri" w:eastAsia="Times New Roman" w:hAnsi="Calibri" w:cs="Calibri"/>
          <w:color w:val="000000"/>
          <w:sz w:val="22"/>
          <w:szCs w:val="22"/>
        </w:rPr>
        <w:t xml:space="preserve">) tracking to what extent Contracted Parties are implementing differentiation; (ii) allowing the public to verify the accuracy of a legal vs. natural designation; (iii) determining compliance with applicable laws, (iv) passing references to “consistency”, and (v) ‘what harm’ is there in adopting the data element?; </w:t>
      </w:r>
      <w:r w:rsidR="0035246B">
        <w:rPr>
          <w:rFonts w:ascii="Calibri" w:eastAsia="Times New Roman" w:hAnsi="Calibri" w:cs="Calibri"/>
          <w:color w:val="000000"/>
          <w:sz w:val="22"/>
          <w:szCs w:val="22"/>
        </w:rPr>
        <w:t xml:space="preserve"> lack specific benefit</w:t>
      </w:r>
      <w:r w:rsidR="001D3CB1" w:rsidRPr="001D3CB1">
        <w:rPr>
          <w:rFonts w:ascii="Calibri" w:eastAsia="Times New Roman" w:hAnsi="Calibri" w:cs="Calibri"/>
          <w:color w:val="000000"/>
          <w:sz w:val="22"/>
          <w:szCs w:val="22"/>
        </w:rPr>
        <w:t xml:space="preserve">, and </w:t>
      </w:r>
      <w:r w:rsidR="0035246B">
        <w:rPr>
          <w:rFonts w:ascii="Calibri" w:eastAsia="Times New Roman" w:hAnsi="Calibri" w:cs="Calibri"/>
          <w:color w:val="000000"/>
          <w:sz w:val="22"/>
          <w:szCs w:val="22"/>
        </w:rPr>
        <w:t xml:space="preserve">are </w:t>
      </w:r>
      <w:r w:rsidR="001D3CB1" w:rsidRPr="001D3CB1">
        <w:rPr>
          <w:rFonts w:ascii="Calibri" w:eastAsia="Times New Roman" w:hAnsi="Calibri" w:cs="Calibri"/>
          <w:color w:val="000000"/>
          <w:sz w:val="22"/>
          <w:szCs w:val="22"/>
        </w:rPr>
        <w:t xml:space="preserve">likely achievable via existing mechanisms. None of the rationales presented </w:t>
      </w:r>
      <w:r w:rsidR="009520F3" w:rsidRPr="009520F3">
        <w:rPr>
          <w:rFonts w:ascii="Calibri" w:eastAsia="Times New Roman" w:hAnsi="Calibri" w:cs="Calibri"/>
          <w:color w:val="000000"/>
          <w:sz w:val="22"/>
          <w:szCs w:val="22"/>
        </w:rPr>
        <w:t xml:space="preserve">make </w:t>
      </w:r>
      <w:r w:rsidR="001D3CB1" w:rsidRPr="001D3CB1">
        <w:rPr>
          <w:rFonts w:ascii="Calibri" w:eastAsia="Times New Roman" w:hAnsi="Calibri" w:cs="Calibri"/>
          <w:color w:val="000000"/>
          <w:sz w:val="22"/>
          <w:szCs w:val="22"/>
        </w:rPr>
        <w:t>much</w:t>
      </w:r>
      <w:r>
        <w:rPr>
          <w:rFonts w:ascii="Calibri" w:eastAsia="Times New Roman" w:hAnsi="Calibri" w:cs="Calibri"/>
          <w:color w:val="000000"/>
          <w:sz w:val="22"/>
          <w:szCs w:val="22"/>
        </w:rPr>
        <w:t xml:space="preserve"> practical</w:t>
      </w:r>
      <w:r w:rsidR="001D3CB1" w:rsidRPr="001D3CB1">
        <w:rPr>
          <w:rFonts w:ascii="Calibri" w:eastAsia="Times New Roman" w:hAnsi="Calibri" w:cs="Calibri"/>
          <w:color w:val="000000"/>
          <w:sz w:val="22"/>
          <w:szCs w:val="22"/>
        </w:rPr>
        <w:t xml:space="preserve"> </w:t>
      </w:r>
      <w:r w:rsidR="009520F3" w:rsidRPr="009520F3">
        <w:rPr>
          <w:rFonts w:ascii="Calibri" w:eastAsia="Times New Roman" w:hAnsi="Calibri" w:cs="Calibri"/>
          <w:color w:val="000000"/>
          <w:sz w:val="22"/>
          <w:szCs w:val="22"/>
        </w:rPr>
        <w:t>sense</w:t>
      </w:r>
      <w:r w:rsidR="001D3CB1" w:rsidRPr="001D3CB1">
        <w:rPr>
          <w:rFonts w:ascii="Calibri" w:eastAsia="Times New Roman" w:hAnsi="Calibri" w:cs="Calibri"/>
          <w:color w:val="000000"/>
          <w:sz w:val="22"/>
          <w:szCs w:val="22"/>
        </w:rPr>
        <w:t>, let alone are necessary or compelling enough to justify such significant and out-of-scope changes to existing policy.</w:t>
      </w:r>
    </w:p>
    <w:p w14:paraId="08F83747" w14:textId="12A9E9AE" w:rsidR="0035246B" w:rsidRPr="0035246B" w:rsidRDefault="00A95B35" w:rsidP="00637DB5">
      <w:pPr>
        <w:spacing w:after="160"/>
        <w:rPr>
          <w:rFonts w:ascii="Times New Roman" w:eastAsia="Times New Roman" w:hAnsi="Times New Roman" w:cs="Times New Roman"/>
        </w:rPr>
      </w:pPr>
      <w:r>
        <w:rPr>
          <w:rFonts w:ascii="Calibri" w:eastAsia="Times New Roman" w:hAnsi="Calibri" w:cs="Calibri"/>
          <w:color w:val="000000"/>
          <w:sz w:val="22"/>
          <w:szCs w:val="22"/>
        </w:rPr>
        <w:t>As stated above, t</w:t>
      </w:r>
      <w:r w:rsidR="0035246B" w:rsidRPr="0035246B">
        <w:rPr>
          <w:rFonts w:ascii="Calibri" w:eastAsia="Times New Roman" w:hAnsi="Calibri" w:cs="Calibri"/>
          <w:color w:val="000000"/>
          <w:sz w:val="22"/>
          <w:szCs w:val="22"/>
        </w:rPr>
        <w:t xml:space="preserve">he existence (or not) of a standardized data element does nothing to assist </w:t>
      </w:r>
      <w:r w:rsidR="00F3133C">
        <w:rPr>
          <w:rFonts w:ascii="Calibri" w:eastAsia="Times New Roman" w:hAnsi="Calibri" w:cs="Calibri"/>
          <w:color w:val="000000"/>
          <w:sz w:val="22"/>
          <w:szCs w:val="22"/>
        </w:rPr>
        <w:t>C</w:t>
      </w:r>
      <w:r w:rsidR="00F3133C" w:rsidRPr="0035246B">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35246B">
        <w:rPr>
          <w:rFonts w:ascii="Calibri" w:eastAsia="Times New Roman" w:hAnsi="Calibri" w:cs="Calibri"/>
          <w:color w:val="000000"/>
          <w:sz w:val="22"/>
          <w:szCs w:val="22"/>
        </w:rPr>
        <w:t xml:space="preserve">arties </w:t>
      </w:r>
      <w:r w:rsidR="0035246B" w:rsidRPr="0035246B">
        <w:rPr>
          <w:rFonts w:ascii="Calibri" w:eastAsia="Times New Roman" w:hAnsi="Calibri" w:cs="Calibri"/>
          <w:color w:val="000000"/>
          <w:sz w:val="22"/>
          <w:szCs w:val="22"/>
        </w:rPr>
        <w:t xml:space="preserve">who wish to differentiate between legal and natural person registrations, it merely captures the outcome of that process.  In considering the possibility of a standard data element, </w:t>
      </w:r>
      <w:r w:rsidR="00293E14">
        <w:rPr>
          <w:rFonts w:ascii="Calibri" w:eastAsia="Times New Roman" w:hAnsi="Calibri" w:cs="Calibri"/>
          <w:color w:val="000000"/>
          <w:sz w:val="22"/>
          <w:szCs w:val="22"/>
        </w:rPr>
        <w:t>R</w:t>
      </w:r>
      <w:r w:rsidR="00293E14" w:rsidRPr="0035246B">
        <w:rPr>
          <w:rFonts w:ascii="Calibri" w:eastAsia="Times New Roman" w:hAnsi="Calibri" w:cs="Calibri"/>
          <w:color w:val="000000"/>
          <w:sz w:val="22"/>
          <w:szCs w:val="22"/>
        </w:rPr>
        <w:t xml:space="preserve">egistries </w:t>
      </w:r>
      <w:r w:rsidR="0035246B" w:rsidRPr="0035246B">
        <w:rPr>
          <w:rFonts w:ascii="Calibri" w:eastAsia="Times New Roman" w:hAnsi="Calibri" w:cs="Calibri"/>
          <w:color w:val="000000"/>
          <w:sz w:val="22"/>
          <w:szCs w:val="22"/>
        </w:rPr>
        <w:t xml:space="preserve">did agree that for purposes of integration with a possible future SSAD system, as recommended in </w:t>
      </w:r>
      <w:r w:rsidR="00844B63">
        <w:rPr>
          <w:rFonts w:ascii="Calibri" w:eastAsia="Times New Roman" w:hAnsi="Calibri" w:cs="Calibri"/>
          <w:color w:val="000000"/>
          <w:sz w:val="22"/>
          <w:szCs w:val="22"/>
        </w:rPr>
        <w:t>P</w:t>
      </w:r>
      <w:r w:rsidR="00844B63" w:rsidRPr="0035246B">
        <w:rPr>
          <w:rFonts w:ascii="Calibri" w:eastAsia="Times New Roman" w:hAnsi="Calibri" w:cs="Calibri"/>
          <w:color w:val="000000"/>
          <w:sz w:val="22"/>
          <w:szCs w:val="22"/>
        </w:rPr>
        <w:t xml:space="preserve">hase </w:t>
      </w:r>
      <w:r w:rsidR="0035246B" w:rsidRPr="0035246B">
        <w:rPr>
          <w:rFonts w:ascii="Calibri" w:eastAsia="Times New Roman" w:hAnsi="Calibri" w:cs="Calibri"/>
          <w:color w:val="000000"/>
          <w:sz w:val="22"/>
          <w:szCs w:val="22"/>
        </w:rPr>
        <w:t>2, it may make sense for a standardized way of indicating if a registration contains personal data or not. </w:t>
      </w:r>
      <w:r w:rsidR="009520F3" w:rsidRPr="009520F3">
        <w:rPr>
          <w:rFonts w:ascii="Calibri" w:eastAsia="Times New Roman" w:hAnsi="Calibri" w:cs="Calibri"/>
          <w:color w:val="000000"/>
          <w:sz w:val="22"/>
          <w:szCs w:val="22"/>
        </w:rPr>
        <w:t>While we acknowledge there may be a use case linked to disclosure decisions in the SSAD, we would prefer to defer those decisions, as is appropriate, to the development of the SSAD rather than taking steps now that may limit the utility of this data element once the SSAD is functional.</w:t>
      </w:r>
    </w:p>
    <w:p w14:paraId="63816AF2" w14:textId="506F7511"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The recommendation goes far beyond this, requiring ICANN to create this field in coordination with the technical community for use with EPP and the RDDS.  To be clear, the RySG does not support using this field in either EPP or RDDS.  As a compromise</w:t>
      </w:r>
      <w:r w:rsidR="00844B63">
        <w:rPr>
          <w:rFonts w:ascii="Calibri" w:eastAsia="Times New Roman" w:hAnsi="Calibri" w:cs="Calibri"/>
          <w:color w:val="000000"/>
          <w:sz w:val="22"/>
          <w:szCs w:val="22"/>
        </w:rPr>
        <w:t>,</w:t>
      </w:r>
      <w:r w:rsidRPr="009520F3">
        <w:rPr>
          <w:rFonts w:ascii="Calibri" w:eastAsia="Times New Roman" w:hAnsi="Calibri" w:cs="Calibri"/>
          <w:color w:val="000000"/>
          <w:sz w:val="22"/>
          <w:szCs w:val="22"/>
        </w:rPr>
        <w:t xml:space="preserve"> </w:t>
      </w:r>
      <w:r w:rsidR="00844B63">
        <w:rPr>
          <w:rFonts w:ascii="Calibri" w:eastAsia="Times New Roman" w:hAnsi="Calibri" w:cs="Calibri"/>
          <w:color w:val="000000"/>
          <w:sz w:val="22"/>
          <w:szCs w:val="22"/>
        </w:rPr>
        <w:t>we</w:t>
      </w:r>
      <w:r w:rsidRPr="009520F3">
        <w:rPr>
          <w:rFonts w:ascii="Calibri" w:eastAsia="Times New Roman" w:hAnsi="Calibri" w:cs="Calibri"/>
          <w:color w:val="000000"/>
          <w:sz w:val="22"/>
          <w:szCs w:val="22"/>
        </w:rPr>
        <w:t xml:space="preserve"> agreed that this is a completely optional field that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who choose to differentiate between legal and natural persons and/or indicate if a registration contains personal data or not could make use of, but are in no way required to use.</w:t>
      </w:r>
    </w:p>
    <w:p w14:paraId="76F0B302" w14:textId="6F6514FA"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In the interests of collaborating in good faith towards a compromise solution, </w:t>
      </w:r>
      <w:r w:rsidR="00293E14">
        <w:rPr>
          <w:rFonts w:ascii="Calibri" w:eastAsia="Times New Roman" w:hAnsi="Calibri" w:cs="Calibri"/>
          <w:color w:val="000000"/>
          <w:sz w:val="22"/>
          <w:szCs w:val="22"/>
        </w:rPr>
        <w:t>R</w:t>
      </w:r>
      <w:r w:rsidR="00293E14" w:rsidRPr="009520F3">
        <w:rPr>
          <w:rFonts w:ascii="Calibri" w:eastAsia="Times New Roman" w:hAnsi="Calibri" w:cs="Calibri"/>
          <w:color w:val="000000"/>
          <w:sz w:val="22"/>
          <w:szCs w:val="22"/>
        </w:rPr>
        <w:t xml:space="preserve">egistries </w:t>
      </w:r>
      <w:r w:rsidRPr="009520F3">
        <w:rPr>
          <w:rFonts w:ascii="Calibri" w:eastAsia="Times New Roman" w:hAnsi="Calibri" w:cs="Calibri"/>
          <w:color w:val="000000"/>
          <w:sz w:val="22"/>
          <w:szCs w:val="22"/>
        </w:rPr>
        <w:t xml:space="preserve">agreed to the creation of a standardized data element and that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could, if they choose to, make use of that standard data element.  We have considerable misgivings with the use of such a field in either EPP or RDDS and need to make clear that we don’t support its use with either.  We did not hear compelling rationale for why such a field should be used in either case and our support for the creation of such a field does not indicate guidance or a recommendation that it should be used.</w:t>
      </w:r>
    </w:p>
    <w:p w14:paraId="0B103F8D" w14:textId="77777777" w:rsidR="009520F3" w:rsidRPr="009520F3" w:rsidRDefault="009520F3" w:rsidP="009520F3">
      <w:pPr>
        <w:rPr>
          <w:rFonts w:ascii="Times New Roman" w:eastAsia="Times New Roman" w:hAnsi="Times New Roman" w:cs="Times New Roman"/>
        </w:rPr>
      </w:pPr>
    </w:p>
    <w:p w14:paraId="0962C663" w14:textId="5D56468D" w:rsidR="009520F3" w:rsidRPr="00637DB5" w:rsidRDefault="0035246B" w:rsidP="00637DB5">
      <w:pPr>
        <w:spacing w:after="160"/>
        <w:rPr>
          <w:rFonts w:ascii="Times New Roman" w:hAnsi="Times New Roman"/>
        </w:rPr>
      </w:pPr>
      <w:r>
        <w:rPr>
          <w:rFonts w:ascii="Calibri" w:eastAsia="Times New Roman" w:hAnsi="Calibri" w:cs="Calibri"/>
          <w:b/>
          <w:bCs/>
          <w:color w:val="000000"/>
          <w:sz w:val="22"/>
          <w:szCs w:val="22"/>
        </w:rPr>
        <w:t xml:space="preserve">V. </w:t>
      </w:r>
      <w:r w:rsidR="009520F3" w:rsidRPr="009520F3">
        <w:rPr>
          <w:rFonts w:ascii="Calibri" w:eastAsia="Times New Roman" w:hAnsi="Calibri" w:cs="Calibri"/>
          <w:b/>
          <w:bCs/>
          <w:color w:val="000000"/>
          <w:sz w:val="22"/>
          <w:szCs w:val="22"/>
        </w:rPr>
        <w:t>The Guidance Developed on Legal vs. Natural Differentiation is Insufficient</w:t>
      </w:r>
    </w:p>
    <w:p w14:paraId="5A98568C" w14:textId="6598B8C2" w:rsidR="0035246B" w:rsidRPr="009520F3" w:rsidRDefault="0035246B" w:rsidP="0035246B">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The RySG supports the concept of guidance that helps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 xml:space="preserve">navigate the complex legal and technical challenges that </w:t>
      </w:r>
      <w:r w:rsidR="00293E14">
        <w:rPr>
          <w:rFonts w:ascii="Calibri" w:eastAsia="Times New Roman" w:hAnsi="Calibri" w:cs="Calibri"/>
          <w:color w:val="000000"/>
          <w:sz w:val="22"/>
          <w:szCs w:val="22"/>
        </w:rPr>
        <w:t>R</w:t>
      </w:r>
      <w:r w:rsidR="00293E14" w:rsidRPr="009520F3">
        <w:rPr>
          <w:rFonts w:ascii="Calibri" w:eastAsia="Times New Roman" w:hAnsi="Calibri" w:cs="Calibri"/>
          <w:color w:val="000000"/>
          <w:sz w:val="22"/>
          <w:szCs w:val="22"/>
        </w:rPr>
        <w:t xml:space="preserve">egistries </w:t>
      </w:r>
      <w:r w:rsidRPr="009520F3">
        <w:rPr>
          <w:rFonts w:ascii="Calibri" w:eastAsia="Times New Roman" w:hAnsi="Calibri" w:cs="Calibri"/>
          <w:color w:val="000000"/>
          <w:sz w:val="22"/>
          <w:szCs w:val="22"/>
        </w:rPr>
        <w:t xml:space="preserve">and </w:t>
      </w:r>
      <w:r w:rsidR="00293E14">
        <w:rPr>
          <w:rFonts w:ascii="Calibri" w:eastAsia="Times New Roman" w:hAnsi="Calibri" w:cs="Calibri"/>
          <w:color w:val="000000"/>
          <w:sz w:val="22"/>
          <w:szCs w:val="22"/>
        </w:rPr>
        <w:t>R</w:t>
      </w:r>
      <w:r w:rsidR="00293E14" w:rsidRPr="009520F3">
        <w:rPr>
          <w:rFonts w:ascii="Calibri" w:eastAsia="Times New Roman" w:hAnsi="Calibri" w:cs="Calibri"/>
          <w:color w:val="000000"/>
          <w:sz w:val="22"/>
          <w:szCs w:val="22"/>
        </w:rPr>
        <w:t xml:space="preserve">egistrars </w:t>
      </w:r>
      <w:r w:rsidRPr="009520F3">
        <w:rPr>
          <w:rFonts w:ascii="Calibri" w:eastAsia="Times New Roman" w:hAnsi="Calibri" w:cs="Calibri"/>
          <w:color w:val="000000"/>
          <w:sz w:val="22"/>
          <w:szCs w:val="22"/>
        </w:rPr>
        <w:t xml:space="preserve">routinely face in operating our businesses. In our experience, the best guidance is drafted by those with the appropriate expertise and interests to confront complexity and offer clarity on difficult or ambiguous questions. Despite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continued objections and suggestions for improvement, the guidance included in this report on legal vs. natural differentiation meets none of these criteria.</w:t>
      </w:r>
    </w:p>
    <w:p w14:paraId="2D61865A" w14:textId="30DF2A0E"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In developing the guidance contained in </w:t>
      </w:r>
      <w:r w:rsidR="00844B63">
        <w:rPr>
          <w:rFonts w:ascii="Calibri" w:eastAsia="Times New Roman" w:hAnsi="Calibri" w:cs="Calibri"/>
          <w:color w:val="000000"/>
          <w:sz w:val="22"/>
          <w:szCs w:val="22"/>
        </w:rPr>
        <w:t>R</w:t>
      </w:r>
      <w:r w:rsidR="00844B63" w:rsidRPr="009520F3">
        <w:rPr>
          <w:rFonts w:ascii="Calibri" w:eastAsia="Times New Roman" w:hAnsi="Calibri" w:cs="Calibri"/>
          <w:color w:val="000000"/>
          <w:sz w:val="22"/>
          <w:szCs w:val="22"/>
        </w:rPr>
        <w:t xml:space="preserve">ecommendation </w:t>
      </w:r>
      <w:r w:rsidRPr="009520F3">
        <w:rPr>
          <w:rFonts w:ascii="Calibri" w:eastAsia="Times New Roman" w:hAnsi="Calibri" w:cs="Calibri"/>
          <w:color w:val="000000"/>
          <w:sz w:val="22"/>
          <w:szCs w:val="22"/>
        </w:rPr>
        <w:t xml:space="preserve">#2, the working group agreed that this is optional guidance that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 xml:space="preserve">who choose to differentiate between legal and natural person registrations can leverage at their discretion.  </w:t>
      </w:r>
      <w:r w:rsidR="00293E14">
        <w:rPr>
          <w:rFonts w:ascii="Calibri" w:eastAsia="Times New Roman" w:hAnsi="Calibri" w:cs="Calibri"/>
          <w:color w:val="000000"/>
          <w:sz w:val="22"/>
          <w:szCs w:val="22"/>
        </w:rPr>
        <w:t>However, t</w:t>
      </w:r>
      <w:r w:rsidRPr="009520F3">
        <w:rPr>
          <w:rFonts w:ascii="Calibri" w:eastAsia="Times New Roman" w:hAnsi="Calibri" w:cs="Calibri"/>
          <w:color w:val="000000"/>
          <w:sz w:val="22"/>
          <w:szCs w:val="22"/>
        </w:rPr>
        <w:t xml:space="preserve">he final report language for Recommendation #2 says the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 xml:space="preserve">who choose to differentiate SHOULD follow this guidance.  The RySG feels that the use of the word SHOULD here does not accurately capture what was agreed to by the working group.  Per RFC 2119, “SHOULD . . . means that that there may exist valid reasons in particular </w:t>
      </w:r>
      <w:r w:rsidRPr="009520F3">
        <w:rPr>
          <w:rFonts w:ascii="Calibri" w:eastAsia="Times New Roman" w:hAnsi="Calibri" w:cs="Calibri"/>
          <w:color w:val="000000"/>
          <w:sz w:val="22"/>
          <w:szCs w:val="22"/>
        </w:rPr>
        <w:lastRenderedPageBreak/>
        <w:t xml:space="preserve">circumstances to ignore a particular item, but the full implications must be understood and carefully weighed before choosing a different course.” Since following this guidance for differentiation is optional, the more appropriate term here is MAY (“an item is truly optional”).  While in the interest of collaborating in good faith towards a compromise solution, </w:t>
      </w:r>
      <w:r w:rsidR="00293E14">
        <w:rPr>
          <w:rFonts w:ascii="Calibri" w:eastAsia="Times New Roman" w:hAnsi="Calibri" w:cs="Calibri"/>
          <w:color w:val="000000"/>
          <w:sz w:val="22"/>
          <w:szCs w:val="22"/>
        </w:rPr>
        <w:t>R</w:t>
      </w:r>
      <w:r w:rsidR="00293E14" w:rsidRPr="009520F3">
        <w:rPr>
          <w:rFonts w:ascii="Calibri" w:eastAsia="Times New Roman" w:hAnsi="Calibri" w:cs="Calibri"/>
          <w:color w:val="000000"/>
          <w:sz w:val="22"/>
          <w:szCs w:val="22"/>
        </w:rPr>
        <w:t xml:space="preserve">egistries </w:t>
      </w:r>
      <w:r w:rsidRPr="009520F3">
        <w:rPr>
          <w:rFonts w:ascii="Calibri" w:eastAsia="Times New Roman" w:hAnsi="Calibri" w:cs="Calibri"/>
          <w:color w:val="000000"/>
          <w:sz w:val="22"/>
          <w:szCs w:val="22"/>
        </w:rPr>
        <w:t xml:space="preserve">chose to support the recommendation, we must note that we don’t agree with the use of SHOULD and that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need to consider if the guidance is useful and applicable to them before deciding if they adopt it.</w:t>
      </w:r>
    </w:p>
    <w:p w14:paraId="779511D6" w14:textId="1C9692DC"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In short, the guidance included in this report on legal vs. natural differentiation is woefully inadequate if its purpose is </w:t>
      </w:r>
      <w:proofErr w:type="gramStart"/>
      <w:r w:rsidRPr="009520F3">
        <w:rPr>
          <w:rFonts w:ascii="Calibri" w:eastAsia="Times New Roman" w:hAnsi="Calibri" w:cs="Calibri"/>
          <w:color w:val="000000"/>
          <w:sz w:val="22"/>
          <w:szCs w:val="22"/>
        </w:rPr>
        <w:t>actually assisting</w:t>
      </w:r>
      <w:proofErr w:type="gramEnd"/>
      <w:r w:rsidRPr="009520F3">
        <w:rPr>
          <w:rFonts w:ascii="Calibri" w:eastAsia="Times New Roman" w:hAnsi="Calibri" w:cs="Calibri"/>
          <w:color w:val="000000"/>
          <w:sz w:val="22"/>
          <w:szCs w:val="22"/>
        </w:rPr>
        <w:t xml:space="preserve"> a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arty </w:t>
      </w:r>
      <w:r w:rsidRPr="009520F3">
        <w:rPr>
          <w:rFonts w:ascii="Calibri" w:eastAsia="Times New Roman" w:hAnsi="Calibri" w:cs="Calibri"/>
          <w:color w:val="000000"/>
          <w:sz w:val="22"/>
          <w:szCs w:val="22"/>
        </w:rPr>
        <w:t>who wants to differentiate. The guidance falls short for several reasons. First, the guidance is deliberately and unreasonably outcome oriented. Those who have advocated for the necessity of this guidance minimize</w:t>
      </w:r>
      <w:r w:rsidR="00A95B35">
        <w:rPr>
          <w:rFonts w:ascii="Calibri" w:eastAsia="Times New Roman" w:hAnsi="Calibri" w:cs="Calibri"/>
          <w:color w:val="000000"/>
          <w:sz w:val="22"/>
          <w:szCs w:val="22"/>
        </w:rPr>
        <w:t>d</w:t>
      </w:r>
      <w:r w:rsidRPr="009520F3">
        <w:rPr>
          <w:rFonts w:ascii="Calibri" w:eastAsia="Times New Roman" w:hAnsi="Calibri" w:cs="Calibri"/>
          <w:color w:val="000000"/>
          <w:sz w:val="22"/>
          <w:szCs w:val="22"/>
        </w:rPr>
        <w:t xml:space="preserve"> the process by which differentiation happens, and the associated legal requirements and considerations.  This approach almost intentionally obscures rather than grapples with the complexities and risks involved in the process of differentiation, which does nothing to assist the user of the guidance in understanding and addressing those complexities and risks.</w:t>
      </w:r>
    </w:p>
    <w:p w14:paraId="2CDA3129" w14:textId="77777777"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Second, the guidance is not practical. Again, by failing to grapple with the complexities and risks inherent in differentiation, the resulting guidance is barely more than a restatement of the law and expected outcomes. For example, the guidance states: </w:t>
      </w:r>
    </w:p>
    <w:p w14:paraId="499CB375" w14:textId="77777777" w:rsidR="009520F3" w:rsidRPr="009520F3" w:rsidRDefault="009520F3" w:rsidP="009520F3">
      <w:pPr>
        <w:ind w:left="864" w:right="864"/>
        <w:jc w:val="both"/>
        <w:rPr>
          <w:rFonts w:ascii="Times New Roman" w:eastAsia="Times New Roman" w:hAnsi="Times New Roman" w:cs="Times New Roman"/>
        </w:rPr>
      </w:pPr>
      <w:r w:rsidRPr="009520F3">
        <w:rPr>
          <w:rFonts w:ascii="Calibri" w:eastAsia="Times New Roman" w:hAnsi="Calibri" w:cs="Calibri"/>
          <w:i/>
          <w:iCs/>
          <w:color w:val="000000"/>
          <w:sz w:val="22"/>
          <w:szCs w:val="22"/>
        </w:rPr>
        <w:t>“Registrars should ensure that they clearly communicate the nature and consequences of a registrant identifying as a legal person. These communications should include:</w:t>
      </w:r>
    </w:p>
    <w:p w14:paraId="1B9D66DF" w14:textId="77777777" w:rsidR="009520F3" w:rsidRPr="009520F3" w:rsidRDefault="009520F3" w:rsidP="00637DB5">
      <w:pPr>
        <w:numPr>
          <w:ilvl w:val="0"/>
          <w:numId w:val="4"/>
        </w:numPr>
        <w:ind w:left="1584" w:right="864"/>
        <w:jc w:val="both"/>
        <w:textAlignment w:val="baseline"/>
        <w:rPr>
          <w:rFonts w:ascii="Arial" w:eastAsia="Times New Roman" w:hAnsi="Arial" w:cs="Arial"/>
          <w:i/>
          <w:iCs/>
          <w:color w:val="000000"/>
          <w:sz w:val="22"/>
          <w:szCs w:val="22"/>
        </w:rPr>
      </w:pPr>
      <w:r w:rsidRPr="009520F3">
        <w:rPr>
          <w:rFonts w:ascii="Calibri" w:eastAsia="Times New Roman" w:hAnsi="Calibri" w:cs="Calibri"/>
          <w:i/>
          <w:iCs/>
          <w:color w:val="000000"/>
          <w:sz w:val="22"/>
          <w:szCs w:val="22"/>
        </w:rPr>
        <w:t>An explanation of what a legal person is in plain language that is easy to understand.</w:t>
      </w:r>
    </w:p>
    <w:p w14:paraId="00804AEA" w14:textId="77777777" w:rsidR="009520F3" w:rsidRPr="009520F3" w:rsidRDefault="009520F3" w:rsidP="00637DB5">
      <w:pPr>
        <w:numPr>
          <w:ilvl w:val="0"/>
          <w:numId w:val="4"/>
        </w:numPr>
        <w:ind w:left="1584" w:right="864"/>
        <w:jc w:val="both"/>
        <w:textAlignment w:val="baseline"/>
        <w:rPr>
          <w:rFonts w:ascii="Arial" w:eastAsia="Times New Roman" w:hAnsi="Arial" w:cs="Arial"/>
          <w:i/>
          <w:iCs/>
          <w:color w:val="000000"/>
          <w:sz w:val="22"/>
          <w:szCs w:val="22"/>
        </w:rPr>
      </w:pPr>
      <w:r w:rsidRPr="009520F3">
        <w:rPr>
          <w:rFonts w:ascii="Calibri" w:eastAsia="Times New Roman" w:hAnsi="Calibri" w:cs="Calibri"/>
          <w:i/>
          <w:iCs/>
          <w:color w:val="000000"/>
          <w:sz w:val="22"/>
          <w:szCs w:val="22"/>
        </w:rPr>
        <w:t>Guidance to the registrant (data subject)35 641 by the Registrar concerning the possible consequences of:</w:t>
      </w:r>
    </w:p>
    <w:p w14:paraId="54C69493" w14:textId="77777777" w:rsidR="009520F3" w:rsidRPr="009520F3" w:rsidRDefault="009520F3" w:rsidP="00637DB5">
      <w:pPr>
        <w:numPr>
          <w:ilvl w:val="1"/>
          <w:numId w:val="5"/>
        </w:numPr>
        <w:ind w:left="2304" w:right="864"/>
        <w:jc w:val="both"/>
        <w:textAlignment w:val="baseline"/>
        <w:rPr>
          <w:rFonts w:ascii="Courier New" w:eastAsia="Times New Roman" w:hAnsi="Courier New" w:cs="Courier New"/>
          <w:i/>
          <w:iCs/>
          <w:color w:val="000000"/>
          <w:sz w:val="22"/>
          <w:szCs w:val="22"/>
        </w:rPr>
      </w:pPr>
      <w:r w:rsidRPr="009520F3">
        <w:rPr>
          <w:rFonts w:ascii="Calibri" w:eastAsia="Times New Roman" w:hAnsi="Calibri" w:cs="Calibri"/>
          <w:i/>
          <w:iCs/>
          <w:color w:val="000000"/>
          <w:sz w:val="22"/>
          <w:szCs w:val="22"/>
        </w:rPr>
        <w:t>Identifying their domain name registration data as being of a legal person;</w:t>
      </w:r>
    </w:p>
    <w:p w14:paraId="613EB3A1" w14:textId="77777777" w:rsidR="009520F3" w:rsidRPr="009520F3" w:rsidRDefault="009520F3" w:rsidP="00637DB5">
      <w:pPr>
        <w:numPr>
          <w:ilvl w:val="1"/>
          <w:numId w:val="5"/>
        </w:numPr>
        <w:ind w:left="2304" w:right="864"/>
        <w:jc w:val="both"/>
        <w:textAlignment w:val="baseline"/>
        <w:rPr>
          <w:rFonts w:ascii="Courier New" w:eastAsia="Times New Roman" w:hAnsi="Courier New" w:cs="Courier New"/>
          <w:i/>
          <w:iCs/>
          <w:color w:val="000000"/>
          <w:sz w:val="22"/>
          <w:szCs w:val="22"/>
        </w:rPr>
      </w:pPr>
      <w:r w:rsidRPr="009520F3">
        <w:rPr>
          <w:rFonts w:ascii="Calibri" w:eastAsia="Times New Roman" w:hAnsi="Calibri" w:cs="Calibri"/>
          <w:i/>
          <w:iCs/>
          <w:color w:val="000000"/>
          <w:sz w:val="22"/>
          <w:szCs w:val="22"/>
        </w:rPr>
        <w:t>Confirming the presence of personal data or non-personal data, and;</w:t>
      </w:r>
    </w:p>
    <w:p w14:paraId="3D7DFFD4" w14:textId="77777777" w:rsidR="009520F3" w:rsidRPr="009520F3" w:rsidRDefault="009520F3" w:rsidP="00637DB5">
      <w:pPr>
        <w:numPr>
          <w:ilvl w:val="1"/>
          <w:numId w:val="5"/>
        </w:numPr>
        <w:ind w:left="2304" w:right="864"/>
        <w:jc w:val="both"/>
        <w:textAlignment w:val="baseline"/>
        <w:rPr>
          <w:rFonts w:ascii="Courier New" w:eastAsia="Times New Roman" w:hAnsi="Courier New" w:cs="Courier New"/>
          <w:i/>
          <w:iCs/>
          <w:color w:val="000000"/>
          <w:sz w:val="22"/>
          <w:szCs w:val="22"/>
        </w:rPr>
      </w:pPr>
      <w:r w:rsidRPr="009520F3">
        <w:rPr>
          <w:rFonts w:ascii="Calibri" w:eastAsia="Times New Roman" w:hAnsi="Calibri" w:cs="Calibri"/>
          <w:i/>
          <w:iCs/>
          <w:color w:val="000000"/>
          <w:sz w:val="22"/>
          <w:szCs w:val="22"/>
        </w:rPr>
        <w:t>Providing consent. This is also consistent with section 3.7.7.4 of the Registrar Accreditation Agreement (RAA).”</w:t>
      </w:r>
    </w:p>
    <w:p w14:paraId="25CC47C7" w14:textId="77777777" w:rsidR="009520F3" w:rsidRPr="009520F3" w:rsidRDefault="009520F3" w:rsidP="009520F3">
      <w:pPr>
        <w:rPr>
          <w:rFonts w:ascii="Times New Roman" w:eastAsia="Times New Roman" w:hAnsi="Times New Roman" w:cs="Times New Roman"/>
        </w:rPr>
      </w:pPr>
    </w:p>
    <w:p w14:paraId="28EA5604" w14:textId="77777777"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Unfortunately, for a user of this guidance, this brief section raises more questions than it answers. What is a legal person? What if the registrant is not the data subject? What are the consequences to flag for the data subject? What steps are needed to ensure that the data subject understands this messaging (e.g., A/B testing, user panels)? What are the risks if these steps are not followed? How is meaningful consent obtained, especially where the registrant may not be the data subject? Is education of, or notice to the registrant </w:t>
      </w:r>
      <w:proofErr w:type="gramStart"/>
      <w:r w:rsidRPr="009520F3">
        <w:rPr>
          <w:rFonts w:ascii="Calibri" w:eastAsia="Times New Roman" w:hAnsi="Calibri" w:cs="Calibri"/>
          <w:color w:val="000000"/>
          <w:sz w:val="22"/>
          <w:szCs w:val="22"/>
        </w:rPr>
        <w:t>sufficient</w:t>
      </w:r>
      <w:proofErr w:type="gramEnd"/>
      <w:r w:rsidRPr="009520F3">
        <w:rPr>
          <w:rFonts w:ascii="Calibri" w:eastAsia="Times New Roman" w:hAnsi="Calibri" w:cs="Calibri"/>
          <w:color w:val="000000"/>
          <w:sz w:val="22"/>
          <w:szCs w:val="22"/>
        </w:rPr>
        <w:t xml:space="preserve"> to mitigate risk? Merely restating obligations that are largely already dictated by law does very little here to </w:t>
      </w:r>
      <w:proofErr w:type="gramStart"/>
      <w:r w:rsidRPr="009520F3">
        <w:rPr>
          <w:rFonts w:ascii="Calibri" w:eastAsia="Times New Roman" w:hAnsi="Calibri" w:cs="Calibri"/>
          <w:color w:val="000000"/>
          <w:sz w:val="22"/>
          <w:szCs w:val="22"/>
        </w:rPr>
        <w:t>actually assist</w:t>
      </w:r>
      <w:proofErr w:type="gramEnd"/>
      <w:r w:rsidRPr="009520F3">
        <w:rPr>
          <w:rFonts w:ascii="Calibri" w:eastAsia="Times New Roman" w:hAnsi="Calibri" w:cs="Calibri"/>
          <w:color w:val="000000"/>
          <w:sz w:val="22"/>
          <w:szCs w:val="22"/>
        </w:rPr>
        <w:t xml:space="preserve"> a user of the guidance in navigating these issues.</w:t>
      </w:r>
    </w:p>
    <w:p w14:paraId="40F29E30" w14:textId="77777777"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Similarly, the guidance states in the very last paragraph that:</w:t>
      </w:r>
    </w:p>
    <w:p w14:paraId="36AB5CE6" w14:textId="77777777" w:rsidR="009520F3" w:rsidRPr="009520F3" w:rsidRDefault="009520F3" w:rsidP="009520F3">
      <w:pPr>
        <w:spacing w:before="200" w:after="160"/>
        <w:ind w:left="864" w:right="864"/>
        <w:jc w:val="both"/>
        <w:rPr>
          <w:rFonts w:ascii="Times New Roman" w:eastAsia="Times New Roman" w:hAnsi="Times New Roman" w:cs="Times New Roman"/>
        </w:rPr>
      </w:pPr>
      <w:r w:rsidRPr="009520F3">
        <w:rPr>
          <w:rFonts w:ascii="Calibri" w:eastAsia="Times New Roman" w:hAnsi="Calibri" w:cs="Calibri"/>
          <w:i/>
          <w:iCs/>
          <w:color w:val="000000"/>
          <w:sz w:val="22"/>
          <w:szCs w:val="22"/>
        </w:rPr>
        <w:t>Distinguishing between legal and natural person registrants alone may not be dispositive of how the information should be treated (made public or masked), as the data provided by legal persons may include personal data that is protected under data protection law, such as GDPR.</w:t>
      </w:r>
    </w:p>
    <w:p w14:paraId="113A665D" w14:textId="578CD52B" w:rsidR="009520F3" w:rsidRPr="009520F3" w:rsidRDefault="009520F3" w:rsidP="00637DB5">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 xml:space="preserve">This is in fact the hardest and riskiest issue in differentiating between legal and natural person registrations. As the EDPB directed ICANN, “[t]he mere fact that a registrant is a legal person does not necessarily justify unlimited publication of personal data relating to natural persons who work for or </w:t>
      </w:r>
      <w:r w:rsidRPr="009520F3">
        <w:rPr>
          <w:rFonts w:ascii="Calibri" w:eastAsia="Times New Roman" w:hAnsi="Calibri" w:cs="Calibri"/>
          <w:color w:val="000000"/>
          <w:sz w:val="22"/>
          <w:szCs w:val="22"/>
        </w:rPr>
        <w:lastRenderedPageBreak/>
        <w:t>represent that organization.”</w:t>
      </w:r>
      <w:r w:rsidR="007D5D28">
        <w:rPr>
          <w:rStyle w:val="FootnoteReference"/>
          <w:rFonts w:ascii="Calibri" w:eastAsia="Times New Roman" w:hAnsi="Calibri" w:cs="Calibri"/>
          <w:color w:val="000000"/>
          <w:sz w:val="22"/>
          <w:szCs w:val="22"/>
        </w:rPr>
        <w:footnoteReference w:id="8"/>
      </w:r>
      <w:r w:rsidRPr="009520F3">
        <w:rPr>
          <w:rFonts w:ascii="Calibri" w:eastAsia="Times New Roman" w:hAnsi="Calibri" w:cs="Calibri"/>
          <w:color w:val="000000"/>
          <w:sz w:val="22"/>
          <w:szCs w:val="22"/>
        </w:rPr>
        <w:t xml:space="preserve"> This guidance does nothing to contemplate or even minimally explain how a </w:t>
      </w:r>
      <w:r w:rsidR="00293E14">
        <w:rPr>
          <w:rFonts w:ascii="Calibri" w:eastAsia="Times New Roman" w:hAnsi="Calibri" w:cs="Calibri"/>
          <w:color w:val="000000"/>
          <w:sz w:val="22"/>
          <w:szCs w:val="22"/>
        </w:rPr>
        <w:t>R</w:t>
      </w:r>
      <w:r w:rsidR="00293E14" w:rsidRPr="009520F3">
        <w:rPr>
          <w:rFonts w:ascii="Calibri" w:eastAsia="Times New Roman" w:hAnsi="Calibri" w:cs="Calibri"/>
          <w:color w:val="000000"/>
          <w:sz w:val="22"/>
          <w:szCs w:val="22"/>
        </w:rPr>
        <w:t xml:space="preserve">egistrar </w:t>
      </w:r>
      <w:r w:rsidRPr="009520F3">
        <w:rPr>
          <w:rFonts w:ascii="Calibri" w:eastAsia="Times New Roman" w:hAnsi="Calibri" w:cs="Calibri"/>
          <w:color w:val="000000"/>
          <w:sz w:val="22"/>
          <w:szCs w:val="22"/>
        </w:rPr>
        <w:t>might begin to approach the issue. Addressing this core challenge almost in passing severely undermines the utility of this guidance and increases our concern about the overall practicality of this advice.</w:t>
      </w:r>
    </w:p>
    <w:p w14:paraId="0875B2D7" w14:textId="6EF4A999" w:rsidR="009520F3" w:rsidRPr="009520F3" w:rsidRDefault="009520F3" w:rsidP="009520F3">
      <w:pPr>
        <w:spacing w:after="160"/>
        <w:rPr>
          <w:rFonts w:ascii="Times New Roman" w:eastAsia="Times New Roman" w:hAnsi="Times New Roman" w:cs="Times New Roman"/>
        </w:rPr>
      </w:pPr>
      <w:r w:rsidRPr="009520F3">
        <w:rPr>
          <w:rFonts w:ascii="Calibri" w:eastAsia="Times New Roman" w:hAnsi="Calibri" w:cs="Calibri"/>
          <w:color w:val="000000"/>
          <w:sz w:val="22"/>
          <w:szCs w:val="22"/>
        </w:rPr>
        <w:t>In the interest of collaborating in good faith, the RySG agreed to support the publication of this guidance</w:t>
      </w:r>
      <w:r w:rsidR="00130C80">
        <w:rPr>
          <w:rFonts w:ascii="Calibri" w:eastAsia="Times New Roman" w:hAnsi="Calibri" w:cs="Calibri"/>
          <w:color w:val="000000"/>
          <w:sz w:val="22"/>
          <w:szCs w:val="22"/>
        </w:rPr>
        <w:t xml:space="preserve"> despite the concerns outlined above</w:t>
      </w:r>
      <w:r w:rsidR="00B807BA">
        <w:rPr>
          <w:rFonts w:ascii="Calibri" w:eastAsia="Times New Roman" w:hAnsi="Calibri" w:cs="Calibri"/>
          <w:color w:val="000000"/>
          <w:sz w:val="22"/>
          <w:szCs w:val="22"/>
        </w:rPr>
        <w:t>, as the recommendation makes</w:t>
      </w:r>
      <w:r w:rsidRPr="009520F3">
        <w:rPr>
          <w:rFonts w:ascii="Calibri" w:eastAsia="Times New Roman" w:hAnsi="Calibri" w:cs="Calibri"/>
          <w:color w:val="000000"/>
          <w:sz w:val="22"/>
          <w:szCs w:val="22"/>
        </w:rPr>
        <w:t xml:space="preserve"> clear that the guidance is truly optional and </w:t>
      </w:r>
      <w:r w:rsidR="00F3133C">
        <w:rPr>
          <w:rFonts w:ascii="Calibri" w:eastAsia="Times New Roman" w:hAnsi="Calibri" w:cs="Calibri"/>
          <w:color w:val="000000"/>
          <w:sz w:val="22"/>
          <w:szCs w:val="22"/>
        </w:rPr>
        <w:t>C</w:t>
      </w:r>
      <w:r w:rsidR="00F3133C" w:rsidRPr="009520F3">
        <w:rPr>
          <w:rFonts w:ascii="Calibri" w:eastAsia="Times New Roman" w:hAnsi="Calibri" w:cs="Calibri"/>
          <w:color w:val="000000"/>
          <w:sz w:val="22"/>
          <w:szCs w:val="22"/>
        </w:rPr>
        <w:t xml:space="preserve">ontracted </w:t>
      </w:r>
      <w:r w:rsidR="00F3133C">
        <w:rPr>
          <w:rFonts w:ascii="Calibri" w:eastAsia="Times New Roman" w:hAnsi="Calibri" w:cs="Calibri"/>
          <w:color w:val="000000"/>
          <w:sz w:val="22"/>
          <w:szCs w:val="22"/>
        </w:rPr>
        <w:t>P</w:t>
      </w:r>
      <w:r w:rsidR="00F3133C" w:rsidRPr="009520F3">
        <w:rPr>
          <w:rFonts w:ascii="Calibri" w:eastAsia="Times New Roman" w:hAnsi="Calibri" w:cs="Calibri"/>
          <w:color w:val="000000"/>
          <w:sz w:val="22"/>
          <w:szCs w:val="22"/>
        </w:rPr>
        <w:t xml:space="preserve">arties </w:t>
      </w:r>
      <w:r w:rsidRPr="009520F3">
        <w:rPr>
          <w:rFonts w:ascii="Calibri" w:eastAsia="Times New Roman" w:hAnsi="Calibri" w:cs="Calibri"/>
          <w:color w:val="000000"/>
          <w:sz w:val="22"/>
          <w:szCs w:val="22"/>
        </w:rPr>
        <w:t>(even those who choose to differentiate) are in no way required to follow Recommendation #2. We are skeptical that this guidance will be widely adopted, not because guidance on this issue is not wanted, but because these guidelines do nothing to guide practical implementation and do not offer any comfort to the parties that bear the legal risks.</w:t>
      </w:r>
    </w:p>
    <w:p w14:paraId="2CBCE92F" w14:textId="0FAF4061" w:rsidR="001D3CB1" w:rsidRPr="00B807BA" w:rsidRDefault="00B807BA" w:rsidP="00B807BA">
      <w:pPr>
        <w:spacing w:after="160"/>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VI. </w:t>
      </w:r>
      <w:r w:rsidR="001D3CB1" w:rsidRPr="00B807BA">
        <w:rPr>
          <w:rFonts w:ascii="Calibri" w:eastAsia="Times New Roman" w:hAnsi="Calibri" w:cs="Calibri"/>
          <w:b/>
          <w:bCs/>
          <w:color w:val="000000"/>
          <w:sz w:val="22"/>
          <w:szCs w:val="22"/>
        </w:rPr>
        <w:t>Conclusion</w:t>
      </w:r>
    </w:p>
    <w:p w14:paraId="664A742F" w14:textId="151B8624" w:rsidR="001D3CB1" w:rsidRPr="001D3CB1" w:rsidRDefault="001D3CB1" w:rsidP="001D3CB1">
      <w:pPr>
        <w:spacing w:after="160"/>
        <w:rPr>
          <w:rFonts w:ascii="Times New Roman" w:eastAsia="Times New Roman" w:hAnsi="Times New Roman" w:cs="Times New Roman"/>
        </w:rPr>
      </w:pPr>
      <w:r w:rsidRPr="001D3CB1">
        <w:rPr>
          <w:rFonts w:ascii="Calibri" w:eastAsia="Times New Roman" w:hAnsi="Calibri" w:cs="Calibri"/>
          <w:color w:val="000000"/>
          <w:sz w:val="22"/>
          <w:szCs w:val="22"/>
        </w:rPr>
        <w:t> For all the above reasons, given the continued support of the various parties in the EPDP team for the publication of this final report and the recommendations as stated, and notwithstanding our concerns relating to the scope of the recommendations, the RYSG does not object to th</w:t>
      </w:r>
      <w:bookmarkStart w:id="0" w:name="_GoBack"/>
      <w:bookmarkEnd w:id="0"/>
      <w:r w:rsidRPr="001D3CB1">
        <w:rPr>
          <w:rFonts w:ascii="Calibri" w:eastAsia="Times New Roman" w:hAnsi="Calibri" w:cs="Calibri"/>
          <w:color w:val="000000"/>
          <w:sz w:val="22"/>
          <w:szCs w:val="22"/>
        </w:rPr>
        <w:t xml:space="preserve">e passage of this report and the recommendations as stated. It is noted however, that this support is based on the good faith belief that all parties maintain the agreed level of consensus. </w:t>
      </w:r>
      <w:r w:rsidR="00B807BA">
        <w:rPr>
          <w:rFonts w:ascii="Calibri" w:eastAsia="Times New Roman" w:hAnsi="Calibri" w:cs="Calibri"/>
          <w:color w:val="000000"/>
          <w:sz w:val="22"/>
          <w:szCs w:val="22"/>
        </w:rPr>
        <w:t>W</w:t>
      </w:r>
      <w:r w:rsidR="00DD6EAB">
        <w:rPr>
          <w:rFonts w:ascii="Calibri" w:eastAsia="Times New Roman" w:hAnsi="Calibri" w:cs="Calibri"/>
          <w:color w:val="000000"/>
          <w:sz w:val="22"/>
          <w:szCs w:val="22"/>
        </w:rPr>
        <w:t>hile, t</w:t>
      </w:r>
      <w:r w:rsidRPr="001D3CB1">
        <w:rPr>
          <w:rFonts w:ascii="Calibri" w:eastAsia="Times New Roman" w:hAnsi="Calibri" w:cs="Calibri"/>
          <w:color w:val="000000"/>
          <w:sz w:val="22"/>
          <w:szCs w:val="22"/>
        </w:rPr>
        <w:t xml:space="preserve">he RYSG does not support </w:t>
      </w:r>
      <w:proofErr w:type="gramStart"/>
      <w:r w:rsidRPr="001D3CB1">
        <w:rPr>
          <w:rFonts w:ascii="Calibri" w:eastAsia="Times New Roman" w:hAnsi="Calibri" w:cs="Calibri"/>
          <w:color w:val="000000"/>
          <w:sz w:val="22"/>
          <w:szCs w:val="22"/>
        </w:rPr>
        <w:t>a number of</w:t>
      </w:r>
      <w:proofErr w:type="gramEnd"/>
      <w:r w:rsidRPr="001D3CB1">
        <w:rPr>
          <w:rFonts w:ascii="Calibri" w:eastAsia="Times New Roman" w:hAnsi="Calibri" w:cs="Calibri"/>
          <w:color w:val="000000"/>
          <w:sz w:val="22"/>
          <w:szCs w:val="22"/>
        </w:rPr>
        <w:t xml:space="preserve"> aspects of this report,</w:t>
      </w:r>
      <w:r w:rsidR="00637DB5">
        <w:rPr>
          <w:rFonts w:ascii="Calibri" w:eastAsia="Times New Roman" w:hAnsi="Calibri" w:cs="Calibri"/>
          <w:color w:val="000000"/>
          <w:sz w:val="22"/>
          <w:szCs w:val="22"/>
        </w:rPr>
        <w:t xml:space="preserve"> </w:t>
      </w:r>
      <w:r w:rsidRPr="001D3CB1">
        <w:rPr>
          <w:rFonts w:ascii="Calibri" w:eastAsia="Times New Roman" w:hAnsi="Calibri" w:cs="Calibri"/>
          <w:color w:val="000000"/>
          <w:sz w:val="22"/>
          <w:szCs w:val="22"/>
        </w:rPr>
        <w:t>in the spirit</w:t>
      </w:r>
      <w:r w:rsidR="00DD6EAB">
        <w:rPr>
          <w:rFonts w:ascii="Calibri" w:eastAsia="Times New Roman" w:hAnsi="Calibri" w:cs="Calibri"/>
          <w:color w:val="000000"/>
          <w:sz w:val="22"/>
          <w:szCs w:val="22"/>
        </w:rPr>
        <w:t>, and support,</w:t>
      </w:r>
      <w:r w:rsidRPr="001D3CB1">
        <w:rPr>
          <w:rFonts w:ascii="Calibri" w:eastAsia="Times New Roman" w:hAnsi="Calibri" w:cs="Calibri"/>
          <w:color w:val="000000"/>
          <w:sz w:val="22"/>
          <w:szCs w:val="22"/>
        </w:rPr>
        <w:t xml:space="preserve"> of</w:t>
      </w:r>
      <w:r w:rsidR="00DD6EAB">
        <w:rPr>
          <w:rFonts w:ascii="Calibri" w:eastAsia="Times New Roman" w:hAnsi="Calibri" w:cs="Calibri"/>
          <w:color w:val="000000"/>
          <w:sz w:val="22"/>
          <w:szCs w:val="22"/>
        </w:rPr>
        <w:t xml:space="preserve"> </w:t>
      </w:r>
      <w:r w:rsidRPr="001D3CB1">
        <w:rPr>
          <w:rFonts w:ascii="Calibri" w:eastAsia="Times New Roman" w:hAnsi="Calibri" w:cs="Calibri"/>
          <w:color w:val="000000"/>
          <w:sz w:val="22"/>
          <w:szCs w:val="22"/>
        </w:rPr>
        <w:t>the multistakeholder model</w:t>
      </w:r>
      <w:r w:rsidR="00DD6EAB">
        <w:rPr>
          <w:rFonts w:ascii="Calibri" w:eastAsia="Times New Roman" w:hAnsi="Calibri" w:cs="Calibri"/>
          <w:color w:val="000000"/>
          <w:sz w:val="22"/>
          <w:szCs w:val="22"/>
        </w:rPr>
        <w:t>, we have compromised.</w:t>
      </w:r>
    </w:p>
    <w:p w14:paraId="265A864C" w14:textId="51580D2F" w:rsidR="009520F3" w:rsidRPr="009520F3" w:rsidRDefault="009520F3" w:rsidP="009520F3">
      <w:pPr>
        <w:rPr>
          <w:rFonts w:ascii="Times New Roman" w:eastAsia="Times New Roman" w:hAnsi="Times New Roman" w:cs="Times New Roman"/>
        </w:rPr>
      </w:pPr>
    </w:p>
    <w:p w14:paraId="373740CB" w14:textId="77777777" w:rsidR="003D4AFD" w:rsidRDefault="003D4AFD"/>
    <w:sectPr w:rsidR="003D4AF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3911" w14:textId="77777777" w:rsidR="006B7AE8" w:rsidRDefault="006B7AE8" w:rsidP="00637DB5">
      <w:r>
        <w:separator/>
      </w:r>
    </w:p>
  </w:endnote>
  <w:endnote w:type="continuationSeparator" w:id="0">
    <w:p w14:paraId="0B79BCA9" w14:textId="77777777" w:rsidR="006B7AE8" w:rsidRDefault="006B7AE8" w:rsidP="0063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0521701"/>
      <w:docPartObj>
        <w:docPartGallery w:val="Page Numbers (Bottom of Page)"/>
        <w:docPartUnique/>
      </w:docPartObj>
    </w:sdtPr>
    <w:sdtEndPr>
      <w:rPr>
        <w:rStyle w:val="PageNumber"/>
      </w:rPr>
    </w:sdtEndPr>
    <w:sdtContent>
      <w:p w14:paraId="2177E48F" w14:textId="6DBCA9D2" w:rsidR="00637DB5" w:rsidRDefault="00637DB5" w:rsidP="00A94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C86B1" w14:textId="77777777" w:rsidR="00637DB5" w:rsidRDefault="0063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7051614"/>
      <w:docPartObj>
        <w:docPartGallery w:val="Page Numbers (Bottom of Page)"/>
        <w:docPartUnique/>
      </w:docPartObj>
    </w:sdtPr>
    <w:sdtEndPr>
      <w:rPr>
        <w:rStyle w:val="PageNumber"/>
      </w:rPr>
    </w:sdtEndPr>
    <w:sdtContent>
      <w:p w14:paraId="2AD11546" w14:textId="02B9DBD8" w:rsidR="00637DB5" w:rsidRDefault="00637DB5" w:rsidP="00A94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3E14">
          <w:rPr>
            <w:rStyle w:val="PageNumber"/>
            <w:noProof/>
          </w:rPr>
          <w:t>7</w:t>
        </w:r>
        <w:r>
          <w:rPr>
            <w:rStyle w:val="PageNumber"/>
          </w:rPr>
          <w:fldChar w:fldCharType="end"/>
        </w:r>
      </w:p>
    </w:sdtContent>
  </w:sdt>
  <w:p w14:paraId="746A3DC8" w14:textId="77777777" w:rsidR="00637DB5" w:rsidRDefault="0063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210D" w14:textId="77777777" w:rsidR="006B7AE8" w:rsidRDefault="006B7AE8" w:rsidP="00637DB5">
      <w:r>
        <w:separator/>
      </w:r>
    </w:p>
  </w:footnote>
  <w:footnote w:type="continuationSeparator" w:id="0">
    <w:p w14:paraId="60DBAB6E" w14:textId="77777777" w:rsidR="006B7AE8" w:rsidRDefault="006B7AE8" w:rsidP="00637DB5">
      <w:r>
        <w:continuationSeparator/>
      </w:r>
    </w:p>
  </w:footnote>
  <w:footnote w:id="1">
    <w:p w14:paraId="163FCCAD" w14:textId="374B6FCF" w:rsidR="00B27379" w:rsidRDefault="00B27379" w:rsidP="00B27379">
      <w:pPr>
        <w:pStyle w:val="NormalWeb"/>
        <w:spacing w:before="0" w:beforeAutospacing="0" w:after="0" w:afterAutospacing="0"/>
      </w:pPr>
      <w:r>
        <w:rPr>
          <w:rStyle w:val="FootnoteReference"/>
        </w:rPr>
        <w:footnoteRef/>
      </w:r>
      <w:r>
        <w:rPr>
          <w:rFonts w:ascii="Calibri" w:hAnsi="Calibri" w:cs="Calibri"/>
          <w:color w:val="000000"/>
          <w:sz w:val="20"/>
          <w:szCs w:val="20"/>
        </w:rPr>
        <w:t xml:space="preserve"> GNSO Council Instructions for Legal vs. Natural in Phase 2A: “[T]he EPDP Team is expected to review the study undertaken by ICANN org (as requested by the EPDP Team and approved by the GNSO Council </w:t>
      </w:r>
    </w:p>
    <w:p w14:paraId="289BB788" w14:textId="77777777" w:rsidR="00B27379" w:rsidRDefault="00B27379" w:rsidP="00B27379">
      <w:pPr>
        <w:pStyle w:val="NormalWeb"/>
        <w:spacing w:before="0" w:beforeAutospacing="0" w:after="0" w:afterAutospacing="0"/>
      </w:pPr>
      <w:r>
        <w:rPr>
          <w:rFonts w:ascii="Calibri" w:hAnsi="Calibri" w:cs="Calibri"/>
          <w:color w:val="000000"/>
          <w:sz w:val="20"/>
          <w:szCs w:val="20"/>
        </w:rPr>
        <w:t>during Phase 1) together with the legal guidance provided by Bird &amp; Bird as well as the substantive input provided on this topic during the public comment forum on the addendum and answer: </w:t>
      </w:r>
    </w:p>
    <w:p w14:paraId="78DC9619" w14:textId="77777777" w:rsidR="00B27379" w:rsidRDefault="00B27379" w:rsidP="00B27379">
      <w:pPr>
        <w:pStyle w:val="NormalWeb"/>
        <w:numPr>
          <w:ilvl w:val="0"/>
          <w:numId w:val="22"/>
        </w:numPr>
        <w:spacing w:before="0" w:beforeAutospacing="0" w:after="0" w:afterAutospacing="0"/>
      </w:pPr>
      <w:r>
        <w:rPr>
          <w:rFonts w:ascii="Calibri" w:hAnsi="Calibri" w:cs="Calibri"/>
          <w:color w:val="000000"/>
          <w:sz w:val="20"/>
          <w:szCs w:val="20"/>
        </w:rPr>
        <w:t xml:space="preserve">Whether any updates are required to the EPDP Phase 1 recommendation on this topic (“Registrars and Registry Operators are permitted to differentiate between registrations of legal and natural persons, but are not obligated to do </w:t>
      </w:r>
      <w:proofErr w:type="gramStart"/>
      <w:r>
        <w:rPr>
          <w:rFonts w:ascii="Calibri" w:hAnsi="Calibri" w:cs="Calibri"/>
          <w:color w:val="000000"/>
          <w:sz w:val="20"/>
          <w:szCs w:val="20"/>
        </w:rPr>
        <w:t>so“</w:t>
      </w:r>
      <w:proofErr w:type="gramEnd"/>
      <w:r>
        <w:rPr>
          <w:rFonts w:ascii="Calibri" w:hAnsi="Calibri" w:cs="Calibri"/>
          <w:color w:val="000000"/>
          <w:sz w:val="20"/>
          <w:szCs w:val="20"/>
        </w:rPr>
        <w:t>); </w:t>
      </w:r>
    </w:p>
    <w:p w14:paraId="54EBC031" w14:textId="5C7B07C3" w:rsidR="00B27379" w:rsidRDefault="00B27379" w:rsidP="004C3538">
      <w:pPr>
        <w:pStyle w:val="NormalWeb"/>
        <w:numPr>
          <w:ilvl w:val="0"/>
          <w:numId w:val="22"/>
        </w:numPr>
        <w:spacing w:before="0" w:beforeAutospacing="0" w:after="0" w:afterAutospacing="0"/>
      </w:pPr>
      <w:r w:rsidRPr="007D5D28">
        <w:rPr>
          <w:rFonts w:ascii="Calibri" w:hAnsi="Calibri" w:cs="Calibri"/>
          <w:color w:val="000000"/>
          <w:sz w:val="20"/>
          <w:szCs w:val="20"/>
        </w:rPr>
        <w:t>What guidance, if any, can be provided to Registrars and/or Registries who differentiate between registrations of legal and natural persons.”</w:t>
      </w:r>
    </w:p>
  </w:footnote>
  <w:footnote w:id="2">
    <w:p w14:paraId="3B5A09AD" w14:textId="77777777" w:rsidR="00B27379" w:rsidRDefault="00B27379" w:rsidP="00B27379">
      <w:pPr>
        <w:pStyle w:val="NormalWeb"/>
        <w:spacing w:before="0" w:beforeAutospacing="0" w:after="0" w:afterAutospacing="0"/>
      </w:pPr>
      <w:r>
        <w:rPr>
          <w:rStyle w:val="FootnoteReference"/>
        </w:rPr>
        <w:footnoteRef/>
      </w:r>
      <w:r>
        <w:t xml:space="preserve"> </w:t>
      </w:r>
      <w:r>
        <w:rPr>
          <w:rFonts w:ascii="Calibri" w:hAnsi="Calibri" w:cs="Calibri"/>
          <w:color w:val="000000"/>
          <w:sz w:val="22"/>
          <w:szCs w:val="22"/>
        </w:rPr>
        <w:t> </w:t>
      </w:r>
      <w:hyperlink r:id="rId1" w:history="1">
        <w:r>
          <w:rPr>
            <w:rStyle w:val="Hyperlink"/>
            <w:rFonts w:ascii="Calibri" w:hAnsi="Calibri" w:cs="Calibri"/>
            <w:color w:val="0563C1"/>
            <w:sz w:val="20"/>
            <w:szCs w:val="20"/>
          </w:rPr>
          <w:t>The EPDP Phase I Final Report</w:t>
        </w:r>
      </w:hyperlink>
      <w:r>
        <w:rPr>
          <w:rFonts w:ascii="Calibri" w:hAnsi="Calibri" w:cs="Calibri"/>
          <w:color w:val="000000"/>
          <w:sz w:val="20"/>
          <w:szCs w:val="20"/>
        </w:rPr>
        <w:t xml:space="preserve"> contains the following recommendation</w:t>
      </w:r>
      <w:r>
        <w:rPr>
          <w:rFonts w:ascii="Calibri" w:hAnsi="Calibri" w:cs="Calibri"/>
          <w:b/>
          <w:bCs/>
          <w:color w:val="000000"/>
          <w:sz w:val="20"/>
          <w:szCs w:val="20"/>
        </w:rPr>
        <w:t xml:space="preserve"> </w:t>
      </w:r>
      <w:r>
        <w:rPr>
          <w:rFonts w:ascii="Calibri" w:hAnsi="Calibri" w:cs="Calibri"/>
          <w:color w:val="000000"/>
          <w:sz w:val="20"/>
          <w:szCs w:val="20"/>
        </w:rPr>
        <w:t>on the legal vs. natural person issue:</w:t>
      </w:r>
      <w:r>
        <w:rPr>
          <w:rFonts w:ascii="Calibri" w:hAnsi="Calibri" w:cs="Calibri"/>
          <w:b/>
          <w:bCs/>
          <w:color w:val="000000"/>
          <w:sz w:val="20"/>
          <w:szCs w:val="20"/>
        </w:rPr>
        <w:t xml:space="preserve"> Recommendation 17.1:</w:t>
      </w:r>
      <w:r>
        <w:rPr>
          <w:rFonts w:ascii="Calibri" w:hAnsi="Calibri" w:cs="Calibri"/>
          <w:color w:val="000000"/>
          <w:sz w:val="20"/>
          <w:szCs w:val="20"/>
        </w:rPr>
        <w:t xml:space="preserve"> “The EPDP Team recommends that Registrars and Registry Operators are permitted to    differentiate between registrations of legal and natural persons, but are not obligated to do so.”</w:t>
      </w:r>
    </w:p>
    <w:p w14:paraId="0832180E" w14:textId="77777777" w:rsidR="00B27379" w:rsidRDefault="00B27379" w:rsidP="00B27379">
      <w:pPr>
        <w:pStyle w:val="NormalWeb"/>
        <w:spacing w:before="0" w:beforeAutospacing="0" w:after="0" w:afterAutospacing="0"/>
      </w:pPr>
      <w:r>
        <w:rPr>
          <w:rFonts w:ascii="Calibri" w:hAnsi="Calibri" w:cs="Calibri"/>
          <w:b/>
          <w:bCs/>
          <w:color w:val="000000"/>
          <w:sz w:val="20"/>
          <w:szCs w:val="20"/>
        </w:rPr>
        <w:t>Recommendation 17.2:</w:t>
      </w:r>
      <w:r>
        <w:rPr>
          <w:rFonts w:ascii="Calibri" w:hAnsi="Calibri" w:cs="Calibri"/>
          <w:color w:val="000000"/>
          <w:sz w:val="20"/>
          <w:szCs w:val="20"/>
        </w:rPr>
        <w:t xml:space="preserve"> “The EPDP Team recommends that as soon as possible ICANN Org undertakes a study, for which the terms of reference are developed in consultation with the community, that considers:</w:t>
      </w:r>
    </w:p>
    <w:p w14:paraId="04D17B46" w14:textId="77777777" w:rsidR="00B27379" w:rsidRDefault="00B27379" w:rsidP="00B27379">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0"/>
          <w:szCs w:val="20"/>
        </w:rPr>
        <w:t>The feasibility and costs including both implementation and potential liability costs of differentiating between legal and natural persons;</w:t>
      </w:r>
    </w:p>
    <w:p w14:paraId="24C05D60" w14:textId="77777777" w:rsidR="00B27379" w:rsidRPr="00B27379" w:rsidRDefault="00B27379" w:rsidP="00B27379">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0"/>
          <w:szCs w:val="20"/>
        </w:rPr>
        <w:t>Examples of industries or other organizations that have successfully differentiated between legal and natural persons;</w:t>
      </w:r>
      <w:r w:rsidRPr="00B27379">
        <w:rPr>
          <w:rFonts w:ascii="Calibri" w:hAnsi="Calibri" w:cs="Calibri"/>
          <w:color w:val="000000"/>
          <w:sz w:val="20"/>
          <w:szCs w:val="20"/>
        </w:rPr>
        <w:t xml:space="preserve"> </w:t>
      </w:r>
    </w:p>
    <w:p w14:paraId="0243CB62" w14:textId="4650CC74" w:rsidR="00B27379" w:rsidRPr="00B27379" w:rsidRDefault="00B27379" w:rsidP="00B27379">
      <w:pPr>
        <w:pStyle w:val="NormalWeb"/>
        <w:numPr>
          <w:ilvl w:val="0"/>
          <w:numId w:val="25"/>
        </w:numPr>
        <w:spacing w:before="0" w:beforeAutospacing="0" w:after="0" w:afterAutospacing="0"/>
        <w:textAlignment w:val="baseline"/>
        <w:rPr>
          <w:rFonts w:ascii="Arial" w:hAnsi="Arial" w:cs="Arial"/>
          <w:color w:val="000000"/>
          <w:sz w:val="20"/>
          <w:szCs w:val="20"/>
        </w:rPr>
      </w:pPr>
      <w:r w:rsidRPr="00B27379">
        <w:rPr>
          <w:rFonts w:ascii="Calibri" w:hAnsi="Calibri" w:cs="Calibri"/>
          <w:color w:val="000000"/>
          <w:sz w:val="20"/>
          <w:szCs w:val="20"/>
        </w:rPr>
        <w:t>Privacy risks to registered name holders of differentiating between legal and natural persons; and</w:t>
      </w:r>
    </w:p>
    <w:p w14:paraId="7DDE334F" w14:textId="77777777" w:rsidR="00B27379" w:rsidRPr="00B27379" w:rsidRDefault="00B27379" w:rsidP="00B27379">
      <w:pPr>
        <w:numPr>
          <w:ilvl w:val="0"/>
          <w:numId w:val="25"/>
        </w:numPr>
        <w:textAlignment w:val="baseline"/>
        <w:rPr>
          <w:rFonts w:ascii="Arial" w:eastAsia="Times New Roman" w:hAnsi="Arial" w:cs="Arial"/>
          <w:color w:val="000000"/>
          <w:sz w:val="20"/>
          <w:szCs w:val="20"/>
        </w:rPr>
      </w:pPr>
      <w:r w:rsidRPr="00B27379">
        <w:rPr>
          <w:rFonts w:ascii="Calibri" w:eastAsia="Times New Roman" w:hAnsi="Calibri" w:cs="Calibri"/>
          <w:color w:val="000000"/>
          <w:sz w:val="20"/>
          <w:szCs w:val="20"/>
        </w:rPr>
        <w:t>Other potential risks (if any) to registrars and registries of not differentiating.”</w:t>
      </w:r>
    </w:p>
    <w:p w14:paraId="7CC7BE68" w14:textId="76E5AFBC" w:rsidR="00B27379" w:rsidRDefault="00B27379" w:rsidP="007D5D28">
      <w:pPr>
        <w:pStyle w:val="NormalWeb"/>
        <w:spacing w:before="0" w:beforeAutospacing="0" w:after="0" w:afterAutospacing="0"/>
        <w:textAlignment w:val="baseline"/>
      </w:pPr>
      <w:r w:rsidRPr="00B27379">
        <w:rPr>
          <w:rFonts w:ascii="Calibri" w:hAnsi="Calibri" w:cs="Calibri"/>
          <w:b/>
          <w:bCs/>
          <w:color w:val="000000"/>
          <w:sz w:val="20"/>
          <w:szCs w:val="20"/>
        </w:rPr>
        <w:t xml:space="preserve">Recommendation 17.3: </w:t>
      </w:r>
      <w:r w:rsidRPr="00B27379">
        <w:rPr>
          <w:rFonts w:ascii="Calibri" w:hAnsi="Calibri" w:cs="Calibri"/>
          <w:color w:val="000000"/>
          <w:sz w:val="20"/>
          <w:szCs w:val="20"/>
        </w:rPr>
        <w:t>“The EPDP Team will determine and resolve the Legal vs. Natural issue in Phase 2.”</w:t>
      </w:r>
    </w:p>
  </w:footnote>
  <w:footnote w:id="3">
    <w:p w14:paraId="0BD905F1" w14:textId="4C62BB8D" w:rsidR="00B27379" w:rsidRDefault="00B27379">
      <w:pPr>
        <w:pStyle w:val="FootnoteText"/>
      </w:pPr>
      <w:r>
        <w:rPr>
          <w:rStyle w:val="FootnoteReference"/>
        </w:rPr>
        <w:footnoteRef/>
      </w:r>
      <w:r>
        <w:t xml:space="preserve"> </w:t>
      </w:r>
      <w:r>
        <w:rPr>
          <w:rFonts w:ascii="Calibri" w:hAnsi="Calibri" w:cs="Calibri"/>
          <w:color w:val="000000"/>
        </w:rPr>
        <w:t xml:space="preserve"> Recommendation 17.1: “The EPDP Team recommends that Registrars and Registry Operators are permitted to    differentiate between registrations of legal and natural </w:t>
      </w:r>
      <w:proofErr w:type="gramStart"/>
      <w:r>
        <w:rPr>
          <w:rFonts w:ascii="Calibri" w:hAnsi="Calibri" w:cs="Calibri"/>
          <w:color w:val="000000"/>
        </w:rPr>
        <w:t>persons, but</w:t>
      </w:r>
      <w:proofErr w:type="gramEnd"/>
      <w:r>
        <w:rPr>
          <w:rFonts w:ascii="Calibri" w:hAnsi="Calibri" w:cs="Calibri"/>
          <w:color w:val="000000"/>
        </w:rPr>
        <w:t xml:space="preserve"> are not obligated to do so.”</w:t>
      </w:r>
    </w:p>
  </w:footnote>
  <w:footnote w:id="4">
    <w:p w14:paraId="315DFABA" w14:textId="336D3D5D" w:rsidR="001B1120" w:rsidRDefault="00B27379">
      <w:pPr>
        <w:pStyle w:val="FootnoteText"/>
      </w:pPr>
      <w:r>
        <w:rPr>
          <w:rStyle w:val="FootnoteReference"/>
        </w:rPr>
        <w:footnoteRef/>
      </w:r>
      <w:r>
        <w:t xml:space="preserve"> </w:t>
      </w:r>
      <w:r>
        <w:rPr>
          <w:rFonts w:ascii="Calibri" w:hAnsi="Calibri" w:cs="Calibri"/>
          <w:color w:val="000000"/>
        </w:rPr>
        <w:t xml:space="preserve"> “Advice on liability in connection with a registrant's self-identification as a natural or non-natural person pursuant to the General Data Protection Regulation (Regulation (EU) 2016/679) ("GDPR"),” by Ruth Boardman &amp; Gabe </w:t>
      </w:r>
      <w:proofErr w:type="spellStart"/>
      <w:r>
        <w:rPr>
          <w:rFonts w:ascii="Calibri" w:hAnsi="Calibri" w:cs="Calibri"/>
          <w:color w:val="000000"/>
        </w:rPr>
        <w:t>Maldoff</w:t>
      </w:r>
      <w:proofErr w:type="spellEnd"/>
      <w:r>
        <w:rPr>
          <w:rFonts w:ascii="Calibri" w:hAnsi="Calibri" w:cs="Calibri"/>
          <w:color w:val="000000"/>
        </w:rPr>
        <w:t>, dated January 25, 2019</w:t>
      </w:r>
      <w:r w:rsidR="001B1120">
        <w:rPr>
          <w:rFonts w:ascii="Calibri" w:hAnsi="Calibri" w:cs="Calibri"/>
          <w:color w:val="000000"/>
        </w:rPr>
        <w:t xml:space="preserve">: </w:t>
      </w:r>
      <w:hyperlink r:id="rId2" w:history="1">
        <w:r w:rsidR="001B1120" w:rsidRPr="008B0CFF">
          <w:rPr>
            <w:rStyle w:val="Hyperlink"/>
            <w:rFonts w:ascii="Calibri" w:hAnsi="Calibri" w:cs="Calibri"/>
          </w:rPr>
          <w:t>https://community.icann.org/download/attachments/102138857/Natural%20vs.%20Legal%20Memo.docx</w:t>
        </w:r>
      </w:hyperlink>
    </w:p>
  </w:footnote>
  <w:footnote w:id="5">
    <w:p w14:paraId="26494A0A" w14:textId="6EE11140" w:rsidR="007D5D28" w:rsidRDefault="007D5D28">
      <w:pPr>
        <w:pStyle w:val="FootnoteText"/>
      </w:pPr>
      <w:r>
        <w:rPr>
          <w:rStyle w:val="FootnoteReference"/>
        </w:rPr>
        <w:footnoteRef/>
      </w:r>
      <w:r>
        <w:t xml:space="preserve"> </w:t>
      </w:r>
      <w:r w:rsidR="001B1120">
        <w:t>Id</w:t>
      </w:r>
    </w:p>
  </w:footnote>
  <w:footnote w:id="6">
    <w:p w14:paraId="57CC25C8" w14:textId="163DDD53" w:rsidR="007D5D28" w:rsidRDefault="007D5D28">
      <w:pPr>
        <w:pStyle w:val="FootnoteText"/>
      </w:pPr>
      <w:r>
        <w:rPr>
          <w:rStyle w:val="FootnoteReference"/>
        </w:rPr>
        <w:footnoteRef/>
      </w:r>
      <w:r>
        <w:t xml:space="preserve"> </w:t>
      </w:r>
      <w:r>
        <w:rPr>
          <w:rFonts w:ascii="Calibri" w:hAnsi="Calibri" w:cs="Calibri"/>
          <w:color w:val="000000"/>
        </w:rPr>
        <w:t> GNSO Phase 2A Charter, available at https://gnso.icann.org/sites/default/files/file/field-file-attach/epdp-2-priority-2-items-10sep20-en.pdf</w:t>
      </w:r>
    </w:p>
  </w:footnote>
  <w:footnote w:id="7">
    <w:p w14:paraId="19E8602E" w14:textId="72D83841" w:rsidR="007D5D28" w:rsidRDefault="007D5D28">
      <w:pPr>
        <w:pStyle w:val="FootnoteText"/>
      </w:pPr>
      <w:r>
        <w:rPr>
          <w:rStyle w:val="FootnoteReference"/>
        </w:rPr>
        <w:footnoteRef/>
      </w:r>
      <w:r>
        <w:t xml:space="preserve"> </w:t>
      </w:r>
      <w:r>
        <w:rPr>
          <w:rFonts w:ascii="Calibri" w:hAnsi="Calibri" w:cs="Calibri"/>
          <w:color w:val="000000"/>
        </w:rPr>
        <w:t> “On your point about scope, the leadership team and staff have discussed this. It’s my view that what we are discussing here as it relates to guidance is within the scope of the EPDP charter and guidance that was given to us, the questions that were given to us. And I think that if the GNSO Council feels like what we are producing is out of scope, that they will communicate that. And that we have a liaison here with Philippe, who is also the GNSO chair, who will manage any issue along those lines related to scope.” EPDP Chair, Phase 2A Meeting, August 5, 2021.</w:t>
      </w:r>
    </w:p>
  </w:footnote>
  <w:footnote w:id="8">
    <w:p w14:paraId="10A28038" w14:textId="66F1416F" w:rsidR="007D5D28" w:rsidRDefault="007D5D28">
      <w:pPr>
        <w:pStyle w:val="FootnoteText"/>
      </w:pPr>
      <w:r>
        <w:rPr>
          <w:rStyle w:val="FootnoteReference"/>
        </w:rPr>
        <w:footnoteRef/>
      </w:r>
      <w:r>
        <w:t xml:space="preserve"> </w:t>
      </w:r>
      <w:r>
        <w:rPr>
          <w:rFonts w:ascii="Calibri" w:hAnsi="Calibri" w:cs="Calibri"/>
          <w:color w:val="000000"/>
        </w:rPr>
        <w:t xml:space="preserve"> EDPB Letter to Goran </w:t>
      </w:r>
      <w:proofErr w:type="spellStart"/>
      <w:r>
        <w:rPr>
          <w:rFonts w:ascii="Calibri" w:hAnsi="Calibri" w:cs="Calibri"/>
          <w:color w:val="000000"/>
        </w:rPr>
        <w:t>Marby</w:t>
      </w:r>
      <w:proofErr w:type="spellEnd"/>
      <w:r>
        <w:rPr>
          <w:rFonts w:ascii="Calibri" w:hAnsi="Calibri" w:cs="Calibri"/>
          <w:color w:val="000000"/>
        </w:rPr>
        <w:t>, dated July 2018, available at https://www.icann.org/en/system/files/correspondence/jelinek-to-marby-05jul18-en.pdf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E02"/>
    <w:multiLevelType w:val="hybridMultilevel"/>
    <w:tmpl w:val="9C8E6014"/>
    <w:lvl w:ilvl="0" w:tplc="3EEC3A2C">
      <w:start w:val="1"/>
      <w:numFmt w:val="lowerLetter"/>
      <w:lvlText w:val="%1."/>
      <w:lvlJc w:val="left"/>
      <w:pPr>
        <w:ind w:left="1080" w:hanging="360"/>
      </w:pPr>
      <w:rPr>
        <w:rFonts w:asciiTheme="minorHAnsi" w:hAnsi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D476C"/>
    <w:multiLevelType w:val="hybridMultilevel"/>
    <w:tmpl w:val="2B16435E"/>
    <w:lvl w:ilvl="0" w:tplc="02385722">
      <w:start w:val="1"/>
      <w:numFmt w:val="upperRoman"/>
      <w:lvlText w:val="%1."/>
      <w:lvlJc w:val="righ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F1C"/>
    <w:multiLevelType w:val="hybridMultilevel"/>
    <w:tmpl w:val="BD609306"/>
    <w:lvl w:ilvl="0" w:tplc="F8323FE6">
      <w:start w:val="3"/>
      <w:numFmt w:val="lowerLetter"/>
      <w:lvlText w:val="%1."/>
      <w:lvlJc w:val="left"/>
      <w:pPr>
        <w:tabs>
          <w:tab w:val="num" w:pos="720"/>
        </w:tabs>
        <w:ind w:left="720" w:hanging="360"/>
      </w:pPr>
    </w:lvl>
    <w:lvl w:ilvl="1" w:tplc="E6525906" w:tentative="1">
      <w:start w:val="1"/>
      <w:numFmt w:val="decimal"/>
      <w:lvlText w:val="%2."/>
      <w:lvlJc w:val="left"/>
      <w:pPr>
        <w:tabs>
          <w:tab w:val="num" w:pos="1440"/>
        </w:tabs>
        <w:ind w:left="1440" w:hanging="360"/>
      </w:pPr>
    </w:lvl>
    <w:lvl w:ilvl="2" w:tplc="A1EA36F0" w:tentative="1">
      <w:start w:val="1"/>
      <w:numFmt w:val="decimal"/>
      <w:lvlText w:val="%3."/>
      <w:lvlJc w:val="left"/>
      <w:pPr>
        <w:tabs>
          <w:tab w:val="num" w:pos="2160"/>
        </w:tabs>
        <w:ind w:left="2160" w:hanging="360"/>
      </w:pPr>
    </w:lvl>
    <w:lvl w:ilvl="3" w:tplc="01AC734E" w:tentative="1">
      <w:start w:val="1"/>
      <w:numFmt w:val="decimal"/>
      <w:lvlText w:val="%4."/>
      <w:lvlJc w:val="left"/>
      <w:pPr>
        <w:tabs>
          <w:tab w:val="num" w:pos="2880"/>
        </w:tabs>
        <w:ind w:left="2880" w:hanging="360"/>
      </w:pPr>
    </w:lvl>
    <w:lvl w:ilvl="4" w:tplc="04322CD6" w:tentative="1">
      <w:start w:val="1"/>
      <w:numFmt w:val="decimal"/>
      <w:lvlText w:val="%5."/>
      <w:lvlJc w:val="left"/>
      <w:pPr>
        <w:tabs>
          <w:tab w:val="num" w:pos="3600"/>
        </w:tabs>
        <w:ind w:left="3600" w:hanging="360"/>
      </w:pPr>
    </w:lvl>
    <w:lvl w:ilvl="5" w:tplc="871A9160" w:tentative="1">
      <w:start w:val="1"/>
      <w:numFmt w:val="decimal"/>
      <w:lvlText w:val="%6."/>
      <w:lvlJc w:val="left"/>
      <w:pPr>
        <w:tabs>
          <w:tab w:val="num" w:pos="4320"/>
        </w:tabs>
        <w:ind w:left="4320" w:hanging="360"/>
      </w:pPr>
    </w:lvl>
    <w:lvl w:ilvl="6" w:tplc="85B63080" w:tentative="1">
      <w:start w:val="1"/>
      <w:numFmt w:val="decimal"/>
      <w:lvlText w:val="%7."/>
      <w:lvlJc w:val="left"/>
      <w:pPr>
        <w:tabs>
          <w:tab w:val="num" w:pos="5040"/>
        </w:tabs>
        <w:ind w:left="5040" w:hanging="360"/>
      </w:pPr>
    </w:lvl>
    <w:lvl w:ilvl="7" w:tplc="E4AE8AD4" w:tentative="1">
      <w:start w:val="1"/>
      <w:numFmt w:val="decimal"/>
      <w:lvlText w:val="%8."/>
      <w:lvlJc w:val="left"/>
      <w:pPr>
        <w:tabs>
          <w:tab w:val="num" w:pos="5760"/>
        </w:tabs>
        <w:ind w:left="5760" w:hanging="360"/>
      </w:pPr>
    </w:lvl>
    <w:lvl w:ilvl="8" w:tplc="80E8D98E" w:tentative="1">
      <w:start w:val="1"/>
      <w:numFmt w:val="decimal"/>
      <w:lvlText w:val="%9."/>
      <w:lvlJc w:val="left"/>
      <w:pPr>
        <w:tabs>
          <w:tab w:val="num" w:pos="6480"/>
        </w:tabs>
        <w:ind w:left="6480" w:hanging="360"/>
      </w:pPr>
    </w:lvl>
  </w:abstractNum>
  <w:abstractNum w:abstractNumId="3" w15:restartNumberingAfterBreak="0">
    <w:nsid w:val="0F1B3F49"/>
    <w:multiLevelType w:val="multilevel"/>
    <w:tmpl w:val="3CB4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54B97"/>
    <w:multiLevelType w:val="hybridMultilevel"/>
    <w:tmpl w:val="95E647E8"/>
    <w:lvl w:ilvl="0" w:tplc="A65A6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B6951"/>
    <w:multiLevelType w:val="hybridMultilevel"/>
    <w:tmpl w:val="429CD09E"/>
    <w:lvl w:ilvl="0" w:tplc="D33884A2">
      <w:start w:val="3"/>
      <w:numFmt w:val="upperRoman"/>
      <w:lvlText w:val="%1."/>
      <w:lvlJc w:val="right"/>
      <w:pPr>
        <w:tabs>
          <w:tab w:val="num" w:pos="720"/>
        </w:tabs>
        <w:ind w:left="720" w:hanging="360"/>
      </w:pPr>
    </w:lvl>
    <w:lvl w:ilvl="1" w:tplc="C3F05F4C" w:tentative="1">
      <w:start w:val="1"/>
      <w:numFmt w:val="decimal"/>
      <w:lvlText w:val="%2."/>
      <w:lvlJc w:val="left"/>
      <w:pPr>
        <w:tabs>
          <w:tab w:val="num" w:pos="1440"/>
        </w:tabs>
        <w:ind w:left="1440" w:hanging="360"/>
      </w:pPr>
    </w:lvl>
    <w:lvl w:ilvl="2" w:tplc="4FFAB38C" w:tentative="1">
      <w:start w:val="1"/>
      <w:numFmt w:val="decimal"/>
      <w:lvlText w:val="%3."/>
      <w:lvlJc w:val="left"/>
      <w:pPr>
        <w:tabs>
          <w:tab w:val="num" w:pos="2160"/>
        </w:tabs>
        <w:ind w:left="2160" w:hanging="360"/>
      </w:pPr>
    </w:lvl>
    <w:lvl w:ilvl="3" w:tplc="8E4A38AC" w:tentative="1">
      <w:start w:val="1"/>
      <w:numFmt w:val="decimal"/>
      <w:lvlText w:val="%4."/>
      <w:lvlJc w:val="left"/>
      <w:pPr>
        <w:tabs>
          <w:tab w:val="num" w:pos="2880"/>
        </w:tabs>
        <w:ind w:left="2880" w:hanging="360"/>
      </w:pPr>
    </w:lvl>
    <w:lvl w:ilvl="4" w:tplc="7FB26004" w:tentative="1">
      <w:start w:val="1"/>
      <w:numFmt w:val="decimal"/>
      <w:lvlText w:val="%5."/>
      <w:lvlJc w:val="left"/>
      <w:pPr>
        <w:tabs>
          <w:tab w:val="num" w:pos="3600"/>
        </w:tabs>
        <w:ind w:left="3600" w:hanging="360"/>
      </w:pPr>
    </w:lvl>
    <w:lvl w:ilvl="5" w:tplc="CF6CF43C" w:tentative="1">
      <w:start w:val="1"/>
      <w:numFmt w:val="decimal"/>
      <w:lvlText w:val="%6."/>
      <w:lvlJc w:val="left"/>
      <w:pPr>
        <w:tabs>
          <w:tab w:val="num" w:pos="4320"/>
        </w:tabs>
        <w:ind w:left="4320" w:hanging="360"/>
      </w:pPr>
    </w:lvl>
    <w:lvl w:ilvl="6" w:tplc="64B634E4" w:tentative="1">
      <w:start w:val="1"/>
      <w:numFmt w:val="decimal"/>
      <w:lvlText w:val="%7."/>
      <w:lvlJc w:val="left"/>
      <w:pPr>
        <w:tabs>
          <w:tab w:val="num" w:pos="5040"/>
        </w:tabs>
        <w:ind w:left="5040" w:hanging="360"/>
      </w:pPr>
    </w:lvl>
    <w:lvl w:ilvl="7" w:tplc="625AAEA0" w:tentative="1">
      <w:start w:val="1"/>
      <w:numFmt w:val="decimal"/>
      <w:lvlText w:val="%8."/>
      <w:lvlJc w:val="left"/>
      <w:pPr>
        <w:tabs>
          <w:tab w:val="num" w:pos="5760"/>
        </w:tabs>
        <w:ind w:left="5760" w:hanging="360"/>
      </w:pPr>
    </w:lvl>
    <w:lvl w:ilvl="8" w:tplc="D49871D6" w:tentative="1">
      <w:start w:val="1"/>
      <w:numFmt w:val="decimal"/>
      <w:lvlText w:val="%9."/>
      <w:lvlJc w:val="left"/>
      <w:pPr>
        <w:tabs>
          <w:tab w:val="num" w:pos="6480"/>
        </w:tabs>
        <w:ind w:left="6480" w:hanging="360"/>
      </w:pPr>
    </w:lvl>
  </w:abstractNum>
  <w:abstractNum w:abstractNumId="6" w15:restartNumberingAfterBreak="0">
    <w:nsid w:val="2B9350D1"/>
    <w:multiLevelType w:val="hybridMultilevel"/>
    <w:tmpl w:val="470E4386"/>
    <w:lvl w:ilvl="0" w:tplc="C5142C36">
      <w:start w:val="4"/>
      <w:numFmt w:val="upperRoman"/>
      <w:lvlText w:val="%1."/>
      <w:lvlJc w:val="right"/>
      <w:pPr>
        <w:tabs>
          <w:tab w:val="num" w:pos="720"/>
        </w:tabs>
        <w:ind w:left="720" w:hanging="360"/>
      </w:pPr>
    </w:lvl>
    <w:lvl w:ilvl="1" w:tplc="7B945928" w:tentative="1">
      <w:start w:val="1"/>
      <w:numFmt w:val="decimal"/>
      <w:lvlText w:val="%2."/>
      <w:lvlJc w:val="left"/>
      <w:pPr>
        <w:tabs>
          <w:tab w:val="num" w:pos="1440"/>
        </w:tabs>
        <w:ind w:left="1440" w:hanging="360"/>
      </w:pPr>
    </w:lvl>
    <w:lvl w:ilvl="2" w:tplc="CB2E5534" w:tentative="1">
      <w:start w:val="1"/>
      <w:numFmt w:val="decimal"/>
      <w:lvlText w:val="%3."/>
      <w:lvlJc w:val="left"/>
      <w:pPr>
        <w:tabs>
          <w:tab w:val="num" w:pos="2160"/>
        </w:tabs>
        <w:ind w:left="2160" w:hanging="360"/>
      </w:pPr>
    </w:lvl>
    <w:lvl w:ilvl="3" w:tplc="10E68C0C" w:tentative="1">
      <w:start w:val="1"/>
      <w:numFmt w:val="decimal"/>
      <w:lvlText w:val="%4."/>
      <w:lvlJc w:val="left"/>
      <w:pPr>
        <w:tabs>
          <w:tab w:val="num" w:pos="2880"/>
        </w:tabs>
        <w:ind w:left="2880" w:hanging="360"/>
      </w:pPr>
    </w:lvl>
    <w:lvl w:ilvl="4" w:tplc="2E1C3458" w:tentative="1">
      <w:start w:val="1"/>
      <w:numFmt w:val="decimal"/>
      <w:lvlText w:val="%5."/>
      <w:lvlJc w:val="left"/>
      <w:pPr>
        <w:tabs>
          <w:tab w:val="num" w:pos="3600"/>
        </w:tabs>
        <w:ind w:left="3600" w:hanging="360"/>
      </w:pPr>
    </w:lvl>
    <w:lvl w:ilvl="5" w:tplc="94680340" w:tentative="1">
      <w:start w:val="1"/>
      <w:numFmt w:val="decimal"/>
      <w:lvlText w:val="%6."/>
      <w:lvlJc w:val="left"/>
      <w:pPr>
        <w:tabs>
          <w:tab w:val="num" w:pos="4320"/>
        </w:tabs>
        <w:ind w:left="4320" w:hanging="360"/>
      </w:pPr>
    </w:lvl>
    <w:lvl w:ilvl="6" w:tplc="FB24432E" w:tentative="1">
      <w:start w:val="1"/>
      <w:numFmt w:val="decimal"/>
      <w:lvlText w:val="%7."/>
      <w:lvlJc w:val="left"/>
      <w:pPr>
        <w:tabs>
          <w:tab w:val="num" w:pos="5040"/>
        </w:tabs>
        <w:ind w:left="5040" w:hanging="360"/>
      </w:pPr>
    </w:lvl>
    <w:lvl w:ilvl="7" w:tplc="C1661AEC" w:tentative="1">
      <w:start w:val="1"/>
      <w:numFmt w:val="decimal"/>
      <w:lvlText w:val="%8."/>
      <w:lvlJc w:val="left"/>
      <w:pPr>
        <w:tabs>
          <w:tab w:val="num" w:pos="5760"/>
        </w:tabs>
        <w:ind w:left="5760" w:hanging="360"/>
      </w:pPr>
    </w:lvl>
    <w:lvl w:ilvl="8" w:tplc="1C9C0D9C" w:tentative="1">
      <w:start w:val="1"/>
      <w:numFmt w:val="decimal"/>
      <w:lvlText w:val="%9."/>
      <w:lvlJc w:val="left"/>
      <w:pPr>
        <w:tabs>
          <w:tab w:val="num" w:pos="6480"/>
        </w:tabs>
        <w:ind w:left="6480" w:hanging="360"/>
      </w:pPr>
    </w:lvl>
  </w:abstractNum>
  <w:abstractNum w:abstractNumId="7" w15:restartNumberingAfterBreak="0">
    <w:nsid w:val="2D653D3B"/>
    <w:multiLevelType w:val="multilevel"/>
    <w:tmpl w:val="6370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91D92"/>
    <w:multiLevelType w:val="multilevel"/>
    <w:tmpl w:val="4EA6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7180C"/>
    <w:multiLevelType w:val="hybridMultilevel"/>
    <w:tmpl w:val="342009DA"/>
    <w:lvl w:ilvl="0" w:tplc="8AC2D4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43D2A"/>
    <w:multiLevelType w:val="multilevel"/>
    <w:tmpl w:val="7C16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F4AA1"/>
    <w:multiLevelType w:val="multilevel"/>
    <w:tmpl w:val="7FE8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A6D33"/>
    <w:multiLevelType w:val="hybridMultilevel"/>
    <w:tmpl w:val="82AA2596"/>
    <w:lvl w:ilvl="0" w:tplc="3EEC3A2C">
      <w:start w:val="1"/>
      <w:numFmt w:val="lowerLetter"/>
      <w:lvlText w:val="%1."/>
      <w:lvlJc w:val="left"/>
      <w:pPr>
        <w:ind w:left="1080" w:hanging="360"/>
      </w:pPr>
      <w:rPr>
        <w:rFonts w:asciiTheme="minorHAnsi" w:hAnsi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81A7C"/>
    <w:multiLevelType w:val="multilevel"/>
    <w:tmpl w:val="599E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41A95"/>
    <w:multiLevelType w:val="hybridMultilevel"/>
    <w:tmpl w:val="0AD4D4DE"/>
    <w:lvl w:ilvl="0" w:tplc="C3E00672">
      <w:start w:val="2"/>
      <w:numFmt w:val="upperRoman"/>
      <w:lvlText w:val="%1."/>
      <w:lvlJc w:val="right"/>
      <w:pPr>
        <w:tabs>
          <w:tab w:val="num" w:pos="720"/>
        </w:tabs>
        <w:ind w:left="720" w:hanging="360"/>
      </w:pPr>
    </w:lvl>
    <w:lvl w:ilvl="1" w:tplc="8FF2D1B4" w:tentative="1">
      <w:start w:val="1"/>
      <w:numFmt w:val="decimal"/>
      <w:lvlText w:val="%2."/>
      <w:lvlJc w:val="left"/>
      <w:pPr>
        <w:tabs>
          <w:tab w:val="num" w:pos="1440"/>
        </w:tabs>
        <w:ind w:left="1440" w:hanging="360"/>
      </w:pPr>
    </w:lvl>
    <w:lvl w:ilvl="2" w:tplc="87240064" w:tentative="1">
      <w:start w:val="1"/>
      <w:numFmt w:val="decimal"/>
      <w:lvlText w:val="%3."/>
      <w:lvlJc w:val="left"/>
      <w:pPr>
        <w:tabs>
          <w:tab w:val="num" w:pos="2160"/>
        </w:tabs>
        <w:ind w:left="2160" w:hanging="360"/>
      </w:pPr>
    </w:lvl>
    <w:lvl w:ilvl="3" w:tplc="6D9C5CEE" w:tentative="1">
      <w:start w:val="1"/>
      <w:numFmt w:val="decimal"/>
      <w:lvlText w:val="%4."/>
      <w:lvlJc w:val="left"/>
      <w:pPr>
        <w:tabs>
          <w:tab w:val="num" w:pos="2880"/>
        </w:tabs>
        <w:ind w:left="2880" w:hanging="360"/>
      </w:pPr>
    </w:lvl>
    <w:lvl w:ilvl="4" w:tplc="80EA2FB4" w:tentative="1">
      <w:start w:val="1"/>
      <w:numFmt w:val="decimal"/>
      <w:lvlText w:val="%5."/>
      <w:lvlJc w:val="left"/>
      <w:pPr>
        <w:tabs>
          <w:tab w:val="num" w:pos="3600"/>
        </w:tabs>
        <w:ind w:left="3600" w:hanging="360"/>
      </w:pPr>
    </w:lvl>
    <w:lvl w:ilvl="5" w:tplc="71B22D30" w:tentative="1">
      <w:start w:val="1"/>
      <w:numFmt w:val="decimal"/>
      <w:lvlText w:val="%6."/>
      <w:lvlJc w:val="left"/>
      <w:pPr>
        <w:tabs>
          <w:tab w:val="num" w:pos="4320"/>
        </w:tabs>
        <w:ind w:left="4320" w:hanging="360"/>
      </w:pPr>
    </w:lvl>
    <w:lvl w:ilvl="6" w:tplc="FB685236" w:tentative="1">
      <w:start w:val="1"/>
      <w:numFmt w:val="decimal"/>
      <w:lvlText w:val="%7."/>
      <w:lvlJc w:val="left"/>
      <w:pPr>
        <w:tabs>
          <w:tab w:val="num" w:pos="5040"/>
        </w:tabs>
        <w:ind w:left="5040" w:hanging="360"/>
      </w:pPr>
    </w:lvl>
    <w:lvl w:ilvl="7" w:tplc="663EDED8" w:tentative="1">
      <w:start w:val="1"/>
      <w:numFmt w:val="decimal"/>
      <w:lvlText w:val="%8."/>
      <w:lvlJc w:val="left"/>
      <w:pPr>
        <w:tabs>
          <w:tab w:val="num" w:pos="5760"/>
        </w:tabs>
        <w:ind w:left="5760" w:hanging="360"/>
      </w:pPr>
    </w:lvl>
    <w:lvl w:ilvl="8" w:tplc="A08C97D6" w:tentative="1">
      <w:start w:val="1"/>
      <w:numFmt w:val="decimal"/>
      <w:lvlText w:val="%9."/>
      <w:lvlJc w:val="left"/>
      <w:pPr>
        <w:tabs>
          <w:tab w:val="num" w:pos="6480"/>
        </w:tabs>
        <w:ind w:left="6480" w:hanging="360"/>
      </w:pPr>
    </w:lvl>
  </w:abstractNum>
  <w:abstractNum w:abstractNumId="15" w15:restartNumberingAfterBreak="0">
    <w:nsid w:val="5C805696"/>
    <w:multiLevelType w:val="multilevel"/>
    <w:tmpl w:val="066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C6800"/>
    <w:multiLevelType w:val="multilevel"/>
    <w:tmpl w:val="0662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708F8"/>
    <w:multiLevelType w:val="hybridMultilevel"/>
    <w:tmpl w:val="7B7E2024"/>
    <w:lvl w:ilvl="0" w:tplc="6B1A1C18">
      <w:start w:val="5"/>
      <w:numFmt w:val="upperRoman"/>
      <w:lvlText w:val="%1."/>
      <w:lvlJc w:val="right"/>
      <w:pPr>
        <w:tabs>
          <w:tab w:val="num" w:pos="720"/>
        </w:tabs>
        <w:ind w:left="720" w:hanging="360"/>
      </w:pPr>
    </w:lvl>
    <w:lvl w:ilvl="1" w:tplc="3C40C6C4" w:tentative="1">
      <w:start w:val="1"/>
      <w:numFmt w:val="decimal"/>
      <w:lvlText w:val="%2."/>
      <w:lvlJc w:val="left"/>
      <w:pPr>
        <w:tabs>
          <w:tab w:val="num" w:pos="1440"/>
        </w:tabs>
        <w:ind w:left="1440" w:hanging="360"/>
      </w:pPr>
    </w:lvl>
    <w:lvl w:ilvl="2" w:tplc="ED324B76" w:tentative="1">
      <w:start w:val="1"/>
      <w:numFmt w:val="decimal"/>
      <w:lvlText w:val="%3."/>
      <w:lvlJc w:val="left"/>
      <w:pPr>
        <w:tabs>
          <w:tab w:val="num" w:pos="2160"/>
        </w:tabs>
        <w:ind w:left="2160" w:hanging="360"/>
      </w:pPr>
    </w:lvl>
    <w:lvl w:ilvl="3" w:tplc="4164E840" w:tentative="1">
      <w:start w:val="1"/>
      <w:numFmt w:val="decimal"/>
      <w:lvlText w:val="%4."/>
      <w:lvlJc w:val="left"/>
      <w:pPr>
        <w:tabs>
          <w:tab w:val="num" w:pos="2880"/>
        </w:tabs>
        <w:ind w:left="2880" w:hanging="360"/>
      </w:pPr>
    </w:lvl>
    <w:lvl w:ilvl="4" w:tplc="850ED8CA" w:tentative="1">
      <w:start w:val="1"/>
      <w:numFmt w:val="decimal"/>
      <w:lvlText w:val="%5."/>
      <w:lvlJc w:val="left"/>
      <w:pPr>
        <w:tabs>
          <w:tab w:val="num" w:pos="3600"/>
        </w:tabs>
        <w:ind w:left="3600" w:hanging="360"/>
      </w:pPr>
    </w:lvl>
    <w:lvl w:ilvl="5" w:tplc="57E2107E" w:tentative="1">
      <w:start w:val="1"/>
      <w:numFmt w:val="decimal"/>
      <w:lvlText w:val="%6."/>
      <w:lvlJc w:val="left"/>
      <w:pPr>
        <w:tabs>
          <w:tab w:val="num" w:pos="4320"/>
        </w:tabs>
        <w:ind w:left="4320" w:hanging="360"/>
      </w:pPr>
    </w:lvl>
    <w:lvl w:ilvl="6" w:tplc="372856BC" w:tentative="1">
      <w:start w:val="1"/>
      <w:numFmt w:val="decimal"/>
      <w:lvlText w:val="%7."/>
      <w:lvlJc w:val="left"/>
      <w:pPr>
        <w:tabs>
          <w:tab w:val="num" w:pos="5040"/>
        </w:tabs>
        <w:ind w:left="5040" w:hanging="360"/>
      </w:pPr>
    </w:lvl>
    <w:lvl w:ilvl="7" w:tplc="C382F8D2" w:tentative="1">
      <w:start w:val="1"/>
      <w:numFmt w:val="decimal"/>
      <w:lvlText w:val="%8."/>
      <w:lvlJc w:val="left"/>
      <w:pPr>
        <w:tabs>
          <w:tab w:val="num" w:pos="5760"/>
        </w:tabs>
        <w:ind w:left="5760" w:hanging="360"/>
      </w:pPr>
    </w:lvl>
    <w:lvl w:ilvl="8" w:tplc="2CC02DD4" w:tentative="1">
      <w:start w:val="1"/>
      <w:numFmt w:val="decimal"/>
      <w:lvlText w:val="%9."/>
      <w:lvlJc w:val="left"/>
      <w:pPr>
        <w:tabs>
          <w:tab w:val="num" w:pos="6480"/>
        </w:tabs>
        <w:ind w:left="6480" w:hanging="360"/>
      </w:pPr>
    </w:lvl>
  </w:abstractNum>
  <w:abstractNum w:abstractNumId="18" w15:restartNumberingAfterBreak="0">
    <w:nsid w:val="6BCA788A"/>
    <w:multiLevelType w:val="hybridMultilevel"/>
    <w:tmpl w:val="17427EE4"/>
    <w:lvl w:ilvl="0" w:tplc="71E6FA08">
      <w:start w:val="2"/>
      <w:numFmt w:val="lowerLetter"/>
      <w:lvlText w:val="%1."/>
      <w:lvlJc w:val="left"/>
      <w:pPr>
        <w:tabs>
          <w:tab w:val="num" w:pos="720"/>
        </w:tabs>
        <w:ind w:left="720" w:hanging="360"/>
      </w:pPr>
    </w:lvl>
    <w:lvl w:ilvl="1" w:tplc="CD9C85FC" w:tentative="1">
      <w:start w:val="1"/>
      <w:numFmt w:val="decimal"/>
      <w:lvlText w:val="%2."/>
      <w:lvlJc w:val="left"/>
      <w:pPr>
        <w:tabs>
          <w:tab w:val="num" w:pos="1440"/>
        </w:tabs>
        <w:ind w:left="1440" w:hanging="360"/>
      </w:pPr>
    </w:lvl>
    <w:lvl w:ilvl="2" w:tplc="864226F4" w:tentative="1">
      <w:start w:val="1"/>
      <w:numFmt w:val="decimal"/>
      <w:lvlText w:val="%3."/>
      <w:lvlJc w:val="left"/>
      <w:pPr>
        <w:tabs>
          <w:tab w:val="num" w:pos="2160"/>
        </w:tabs>
        <w:ind w:left="2160" w:hanging="360"/>
      </w:pPr>
    </w:lvl>
    <w:lvl w:ilvl="3" w:tplc="CEFC47BE" w:tentative="1">
      <w:start w:val="1"/>
      <w:numFmt w:val="decimal"/>
      <w:lvlText w:val="%4."/>
      <w:lvlJc w:val="left"/>
      <w:pPr>
        <w:tabs>
          <w:tab w:val="num" w:pos="2880"/>
        </w:tabs>
        <w:ind w:left="2880" w:hanging="360"/>
      </w:pPr>
    </w:lvl>
    <w:lvl w:ilvl="4" w:tplc="C6288E38" w:tentative="1">
      <w:start w:val="1"/>
      <w:numFmt w:val="decimal"/>
      <w:lvlText w:val="%5."/>
      <w:lvlJc w:val="left"/>
      <w:pPr>
        <w:tabs>
          <w:tab w:val="num" w:pos="3600"/>
        </w:tabs>
        <w:ind w:left="3600" w:hanging="360"/>
      </w:pPr>
    </w:lvl>
    <w:lvl w:ilvl="5" w:tplc="77E27B42" w:tentative="1">
      <w:start w:val="1"/>
      <w:numFmt w:val="decimal"/>
      <w:lvlText w:val="%6."/>
      <w:lvlJc w:val="left"/>
      <w:pPr>
        <w:tabs>
          <w:tab w:val="num" w:pos="4320"/>
        </w:tabs>
        <w:ind w:left="4320" w:hanging="360"/>
      </w:pPr>
    </w:lvl>
    <w:lvl w:ilvl="6" w:tplc="15748680" w:tentative="1">
      <w:start w:val="1"/>
      <w:numFmt w:val="decimal"/>
      <w:lvlText w:val="%7."/>
      <w:lvlJc w:val="left"/>
      <w:pPr>
        <w:tabs>
          <w:tab w:val="num" w:pos="5040"/>
        </w:tabs>
        <w:ind w:left="5040" w:hanging="360"/>
      </w:pPr>
    </w:lvl>
    <w:lvl w:ilvl="7" w:tplc="6C54538A" w:tentative="1">
      <w:start w:val="1"/>
      <w:numFmt w:val="decimal"/>
      <w:lvlText w:val="%8."/>
      <w:lvlJc w:val="left"/>
      <w:pPr>
        <w:tabs>
          <w:tab w:val="num" w:pos="5760"/>
        </w:tabs>
        <w:ind w:left="5760" w:hanging="360"/>
      </w:pPr>
    </w:lvl>
    <w:lvl w:ilvl="8" w:tplc="6AD6FD04" w:tentative="1">
      <w:start w:val="1"/>
      <w:numFmt w:val="decimal"/>
      <w:lvlText w:val="%9."/>
      <w:lvlJc w:val="left"/>
      <w:pPr>
        <w:tabs>
          <w:tab w:val="num" w:pos="6480"/>
        </w:tabs>
        <w:ind w:left="6480" w:hanging="360"/>
      </w:pPr>
    </w:lvl>
  </w:abstractNum>
  <w:abstractNum w:abstractNumId="19" w15:restartNumberingAfterBreak="0">
    <w:nsid w:val="70FD5A50"/>
    <w:multiLevelType w:val="hybridMultilevel"/>
    <w:tmpl w:val="11CE6DBC"/>
    <w:lvl w:ilvl="0" w:tplc="59AC7322">
      <w:start w:val="6"/>
      <w:numFmt w:val="upperRoman"/>
      <w:lvlText w:val="%1."/>
      <w:lvlJc w:val="right"/>
      <w:pPr>
        <w:tabs>
          <w:tab w:val="num" w:pos="1080"/>
        </w:tabs>
        <w:ind w:left="1080" w:hanging="360"/>
      </w:pPr>
    </w:lvl>
    <w:lvl w:ilvl="1" w:tplc="7716EC78" w:tentative="1">
      <w:start w:val="1"/>
      <w:numFmt w:val="decimal"/>
      <w:lvlText w:val="%2."/>
      <w:lvlJc w:val="left"/>
      <w:pPr>
        <w:tabs>
          <w:tab w:val="num" w:pos="1800"/>
        </w:tabs>
        <w:ind w:left="1800" w:hanging="360"/>
      </w:pPr>
    </w:lvl>
    <w:lvl w:ilvl="2" w:tplc="6358A28C" w:tentative="1">
      <w:start w:val="1"/>
      <w:numFmt w:val="decimal"/>
      <w:lvlText w:val="%3."/>
      <w:lvlJc w:val="left"/>
      <w:pPr>
        <w:tabs>
          <w:tab w:val="num" w:pos="2520"/>
        </w:tabs>
        <w:ind w:left="2520" w:hanging="360"/>
      </w:pPr>
    </w:lvl>
    <w:lvl w:ilvl="3" w:tplc="47504940" w:tentative="1">
      <w:start w:val="1"/>
      <w:numFmt w:val="decimal"/>
      <w:lvlText w:val="%4."/>
      <w:lvlJc w:val="left"/>
      <w:pPr>
        <w:tabs>
          <w:tab w:val="num" w:pos="3240"/>
        </w:tabs>
        <w:ind w:left="3240" w:hanging="360"/>
      </w:pPr>
    </w:lvl>
    <w:lvl w:ilvl="4" w:tplc="B1140416" w:tentative="1">
      <w:start w:val="1"/>
      <w:numFmt w:val="decimal"/>
      <w:lvlText w:val="%5."/>
      <w:lvlJc w:val="left"/>
      <w:pPr>
        <w:tabs>
          <w:tab w:val="num" w:pos="3960"/>
        </w:tabs>
        <w:ind w:left="3960" w:hanging="360"/>
      </w:pPr>
    </w:lvl>
    <w:lvl w:ilvl="5" w:tplc="12FA8676" w:tentative="1">
      <w:start w:val="1"/>
      <w:numFmt w:val="decimal"/>
      <w:lvlText w:val="%6."/>
      <w:lvlJc w:val="left"/>
      <w:pPr>
        <w:tabs>
          <w:tab w:val="num" w:pos="4680"/>
        </w:tabs>
        <w:ind w:left="4680" w:hanging="360"/>
      </w:pPr>
    </w:lvl>
    <w:lvl w:ilvl="6" w:tplc="DB60720C" w:tentative="1">
      <w:start w:val="1"/>
      <w:numFmt w:val="decimal"/>
      <w:lvlText w:val="%7."/>
      <w:lvlJc w:val="left"/>
      <w:pPr>
        <w:tabs>
          <w:tab w:val="num" w:pos="5400"/>
        </w:tabs>
        <w:ind w:left="5400" w:hanging="360"/>
      </w:pPr>
    </w:lvl>
    <w:lvl w:ilvl="7" w:tplc="979CC6A0" w:tentative="1">
      <w:start w:val="1"/>
      <w:numFmt w:val="decimal"/>
      <w:lvlText w:val="%8."/>
      <w:lvlJc w:val="left"/>
      <w:pPr>
        <w:tabs>
          <w:tab w:val="num" w:pos="6120"/>
        </w:tabs>
        <w:ind w:left="6120" w:hanging="360"/>
      </w:pPr>
    </w:lvl>
    <w:lvl w:ilvl="8" w:tplc="93BE6760" w:tentative="1">
      <w:start w:val="1"/>
      <w:numFmt w:val="decimal"/>
      <w:lvlText w:val="%9."/>
      <w:lvlJc w:val="left"/>
      <w:pPr>
        <w:tabs>
          <w:tab w:val="num" w:pos="6840"/>
        </w:tabs>
        <w:ind w:left="6840" w:hanging="360"/>
      </w:pPr>
    </w:lvl>
  </w:abstractNum>
  <w:abstractNum w:abstractNumId="20" w15:restartNumberingAfterBreak="0">
    <w:nsid w:val="735C5B52"/>
    <w:multiLevelType w:val="hybridMultilevel"/>
    <w:tmpl w:val="56F20FBE"/>
    <w:lvl w:ilvl="0" w:tplc="3662C36C">
      <w:start w:val="2"/>
      <w:numFmt w:val="lowerLetter"/>
      <w:lvlText w:val="%1."/>
      <w:lvlJc w:val="left"/>
      <w:pPr>
        <w:tabs>
          <w:tab w:val="num" w:pos="0"/>
        </w:tabs>
        <w:ind w:left="0" w:hanging="360"/>
      </w:pPr>
    </w:lvl>
    <w:lvl w:ilvl="1" w:tplc="BCB86BC8" w:tentative="1">
      <w:start w:val="1"/>
      <w:numFmt w:val="decimal"/>
      <w:lvlText w:val="%2."/>
      <w:lvlJc w:val="left"/>
      <w:pPr>
        <w:tabs>
          <w:tab w:val="num" w:pos="720"/>
        </w:tabs>
        <w:ind w:left="720" w:hanging="360"/>
      </w:pPr>
    </w:lvl>
    <w:lvl w:ilvl="2" w:tplc="64520220" w:tentative="1">
      <w:start w:val="1"/>
      <w:numFmt w:val="decimal"/>
      <w:lvlText w:val="%3."/>
      <w:lvlJc w:val="left"/>
      <w:pPr>
        <w:tabs>
          <w:tab w:val="num" w:pos="1440"/>
        </w:tabs>
        <w:ind w:left="1440" w:hanging="360"/>
      </w:pPr>
    </w:lvl>
    <w:lvl w:ilvl="3" w:tplc="BF26A88A" w:tentative="1">
      <w:start w:val="1"/>
      <w:numFmt w:val="decimal"/>
      <w:lvlText w:val="%4."/>
      <w:lvlJc w:val="left"/>
      <w:pPr>
        <w:tabs>
          <w:tab w:val="num" w:pos="2160"/>
        </w:tabs>
        <w:ind w:left="2160" w:hanging="360"/>
      </w:pPr>
    </w:lvl>
    <w:lvl w:ilvl="4" w:tplc="2758E936" w:tentative="1">
      <w:start w:val="1"/>
      <w:numFmt w:val="decimal"/>
      <w:lvlText w:val="%5."/>
      <w:lvlJc w:val="left"/>
      <w:pPr>
        <w:tabs>
          <w:tab w:val="num" w:pos="2880"/>
        </w:tabs>
        <w:ind w:left="2880" w:hanging="360"/>
      </w:pPr>
    </w:lvl>
    <w:lvl w:ilvl="5" w:tplc="6F56C30E" w:tentative="1">
      <w:start w:val="1"/>
      <w:numFmt w:val="decimal"/>
      <w:lvlText w:val="%6."/>
      <w:lvlJc w:val="left"/>
      <w:pPr>
        <w:tabs>
          <w:tab w:val="num" w:pos="3600"/>
        </w:tabs>
        <w:ind w:left="3600" w:hanging="360"/>
      </w:pPr>
    </w:lvl>
    <w:lvl w:ilvl="6" w:tplc="6E0892C2" w:tentative="1">
      <w:start w:val="1"/>
      <w:numFmt w:val="decimal"/>
      <w:lvlText w:val="%7."/>
      <w:lvlJc w:val="left"/>
      <w:pPr>
        <w:tabs>
          <w:tab w:val="num" w:pos="4320"/>
        </w:tabs>
        <w:ind w:left="4320" w:hanging="360"/>
      </w:pPr>
    </w:lvl>
    <w:lvl w:ilvl="7" w:tplc="B7E455F6" w:tentative="1">
      <w:start w:val="1"/>
      <w:numFmt w:val="decimal"/>
      <w:lvlText w:val="%8."/>
      <w:lvlJc w:val="left"/>
      <w:pPr>
        <w:tabs>
          <w:tab w:val="num" w:pos="5040"/>
        </w:tabs>
        <w:ind w:left="5040" w:hanging="360"/>
      </w:pPr>
    </w:lvl>
    <w:lvl w:ilvl="8" w:tplc="43E6406E" w:tentative="1">
      <w:start w:val="1"/>
      <w:numFmt w:val="decimal"/>
      <w:lvlText w:val="%9."/>
      <w:lvlJc w:val="left"/>
      <w:pPr>
        <w:tabs>
          <w:tab w:val="num" w:pos="5760"/>
        </w:tabs>
        <w:ind w:left="5760" w:hanging="360"/>
      </w:pPr>
    </w:lvl>
  </w:abstractNum>
  <w:abstractNum w:abstractNumId="21" w15:restartNumberingAfterBreak="0">
    <w:nsid w:val="766B2F72"/>
    <w:multiLevelType w:val="multilevel"/>
    <w:tmpl w:val="EA34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E33F4"/>
    <w:multiLevelType w:val="hybridMultilevel"/>
    <w:tmpl w:val="BBCE3C56"/>
    <w:lvl w:ilvl="0" w:tplc="15FA6F30">
      <w:start w:val="2"/>
      <w:numFmt w:val="lowerLetter"/>
      <w:lvlText w:val="%1."/>
      <w:lvlJc w:val="left"/>
      <w:pPr>
        <w:tabs>
          <w:tab w:val="num" w:pos="720"/>
        </w:tabs>
        <w:ind w:left="720" w:hanging="360"/>
      </w:pPr>
    </w:lvl>
    <w:lvl w:ilvl="1" w:tplc="E43EA23A" w:tentative="1">
      <w:start w:val="1"/>
      <w:numFmt w:val="decimal"/>
      <w:lvlText w:val="%2."/>
      <w:lvlJc w:val="left"/>
      <w:pPr>
        <w:tabs>
          <w:tab w:val="num" w:pos="1440"/>
        </w:tabs>
        <w:ind w:left="1440" w:hanging="360"/>
      </w:pPr>
    </w:lvl>
    <w:lvl w:ilvl="2" w:tplc="216209FC" w:tentative="1">
      <w:start w:val="1"/>
      <w:numFmt w:val="decimal"/>
      <w:lvlText w:val="%3."/>
      <w:lvlJc w:val="left"/>
      <w:pPr>
        <w:tabs>
          <w:tab w:val="num" w:pos="2160"/>
        </w:tabs>
        <w:ind w:left="2160" w:hanging="360"/>
      </w:pPr>
    </w:lvl>
    <w:lvl w:ilvl="3" w:tplc="6C6E59BA" w:tentative="1">
      <w:start w:val="1"/>
      <w:numFmt w:val="decimal"/>
      <w:lvlText w:val="%4."/>
      <w:lvlJc w:val="left"/>
      <w:pPr>
        <w:tabs>
          <w:tab w:val="num" w:pos="2880"/>
        </w:tabs>
        <w:ind w:left="2880" w:hanging="360"/>
      </w:pPr>
    </w:lvl>
    <w:lvl w:ilvl="4" w:tplc="BFB07662" w:tentative="1">
      <w:start w:val="1"/>
      <w:numFmt w:val="decimal"/>
      <w:lvlText w:val="%5."/>
      <w:lvlJc w:val="left"/>
      <w:pPr>
        <w:tabs>
          <w:tab w:val="num" w:pos="3600"/>
        </w:tabs>
        <w:ind w:left="3600" w:hanging="360"/>
      </w:pPr>
    </w:lvl>
    <w:lvl w:ilvl="5" w:tplc="EAFC6D98" w:tentative="1">
      <w:start w:val="1"/>
      <w:numFmt w:val="decimal"/>
      <w:lvlText w:val="%6."/>
      <w:lvlJc w:val="left"/>
      <w:pPr>
        <w:tabs>
          <w:tab w:val="num" w:pos="4320"/>
        </w:tabs>
        <w:ind w:left="4320" w:hanging="360"/>
      </w:pPr>
    </w:lvl>
    <w:lvl w:ilvl="6" w:tplc="BC4C5828" w:tentative="1">
      <w:start w:val="1"/>
      <w:numFmt w:val="decimal"/>
      <w:lvlText w:val="%7."/>
      <w:lvlJc w:val="left"/>
      <w:pPr>
        <w:tabs>
          <w:tab w:val="num" w:pos="5040"/>
        </w:tabs>
        <w:ind w:left="5040" w:hanging="360"/>
      </w:pPr>
    </w:lvl>
    <w:lvl w:ilvl="7" w:tplc="5114E0B2" w:tentative="1">
      <w:start w:val="1"/>
      <w:numFmt w:val="decimal"/>
      <w:lvlText w:val="%8."/>
      <w:lvlJc w:val="left"/>
      <w:pPr>
        <w:tabs>
          <w:tab w:val="num" w:pos="5760"/>
        </w:tabs>
        <w:ind w:left="5760" w:hanging="360"/>
      </w:pPr>
    </w:lvl>
    <w:lvl w:ilvl="8" w:tplc="C49AF6FA" w:tentative="1">
      <w:start w:val="1"/>
      <w:numFmt w:val="decimal"/>
      <w:lvlText w:val="%9."/>
      <w:lvlJc w:val="left"/>
      <w:pPr>
        <w:tabs>
          <w:tab w:val="num" w:pos="6480"/>
        </w:tabs>
        <w:ind w:left="6480" w:hanging="360"/>
      </w:pPr>
    </w:lvl>
  </w:abstractNum>
  <w:abstractNum w:abstractNumId="23" w15:restartNumberingAfterBreak="0">
    <w:nsid w:val="7DF02BCA"/>
    <w:multiLevelType w:val="hybridMultilevel"/>
    <w:tmpl w:val="5CD82EDA"/>
    <w:lvl w:ilvl="0" w:tplc="C35412F0">
      <w:start w:val="3"/>
      <w:numFmt w:val="lowerLetter"/>
      <w:lvlText w:val="%1."/>
      <w:lvlJc w:val="left"/>
      <w:pPr>
        <w:tabs>
          <w:tab w:val="num" w:pos="720"/>
        </w:tabs>
        <w:ind w:left="720" w:hanging="360"/>
      </w:pPr>
    </w:lvl>
    <w:lvl w:ilvl="1" w:tplc="C2B89174" w:tentative="1">
      <w:start w:val="1"/>
      <w:numFmt w:val="decimal"/>
      <w:lvlText w:val="%2."/>
      <w:lvlJc w:val="left"/>
      <w:pPr>
        <w:tabs>
          <w:tab w:val="num" w:pos="1440"/>
        </w:tabs>
        <w:ind w:left="1440" w:hanging="360"/>
      </w:pPr>
    </w:lvl>
    <w:lvl w:ilvl="2" w:tplc="A27E4746" w:tentative="1">
      <w:start w:val="1"/>
      <w:numFmt w:val="decimal"/>
      <w:lvlText w:val="%3."/>
      <w:lvlJc w:val="left"/>
      <w:pPr>
        <w:tabs>
          <w:tab w:val="num" w:pos="2160"/>
        </w:tabs>
        <w:ind w:left="2160" w:hanging="360"/>
      </w:pPr>
    </w:lvl>
    <w:lvl w:ilvl="3" w:tplc="A1F2372E" w:tentative="1">
      <w:start w:val="1"/>
      <w:numFmt w:val="decimal"/>
      <w:lvlText w:val="%4."/>
      <w:lvlJc w:val="left"/>
      <w:pPr>
        <w:tabs>
          <w:tab w:val="num" w:pos="2880"/>
        </w:tabs>
        <w:ind w:left="2880" w:hanging="360"/>
      </w:pPr>
    </w:lvl>
    <w:lvl w:ilvl="4" w:tplc="27AAED04" w:tentative="1">
      <w:start w:val="1"/>
      <w:numFmt w:val="decimal"/>
      <w:lvlText w:val="%5."/>
      <w:lvlJc w:val="left"/>
      <w:pPr>
        <w:tabs>
          <w:tab w:val="num" w:pos="3600"/>
        </w:tabs>
        <w:ind w:left="3600" w:hanging="360"/>
      </w:pPr>
    </w:lvl>
    <w:lvl w:ilvl="5" w:tplc="397E1610" w:tentative="1">
      <w:start w:val="1"/>
      <w:numFmt w:val="decimal"/>
      <w:lvlText w:val="%6."/>
      <w:lvlJc w:val="left"/>
      <w:pPr>
        <w:tabs>
          <w:tab w:val="num" w:pos="4320"/>
        </w:tabs>
        <w:ind w:left="4320" w:hanging="360"/>
      </w:pPr>
    </w:lvl>
    <w:lvl w:ilvl="6" w:tplc="A5D2FD0A" w:tentative="1">
      <w:start w:val="1"/>
      <w:numFmt w:val="decimal"/>
      <w:lvlText w:val="%7."/>
      <w:lvlJc w:val="left"/>
      <w:pPr>
        <w:tabs>
          <w:tab w:val="num" w:pos="5040"/>
        </w:tabs>
        <w:ind w:left="5040" w:hanging="360"/>
      </w:pPr>
    </w:lvl>
    <w:lvl w:ilvl="7" w:tplc="223E1F90" w:tentative="1">
      <w:start w:val="1"/>
      <w:numFmt w:val="decimal"/>
      <w:lvlText w:val="%8."/>
      <w:lvlJc w:val="left"/>
      <w:pPr>
        <w:tabs>
          <w:tab w:val="num" w:pos="5760"/>
        </w:tabs>
        <w:ind w:left="5760" w:hanging="360"/>
      </w:pPr>
    </w:lvl>
    <w:lvl w:ilvl="8" w:tplc="478E786C" w:tentative="1">
      <w:start w:val="1"/>
      <w:numFmt w:val="decimal"/>
      <w:lvlText w:val="%9."/>
      <w:lvlJc w:val="left"/>
      <w:pPr>
        <w:tabs>
          <w:tab w:val="num" w:pos="6480"/>
        </w:tabs>
        <w:ind w:left="6480" w:hanging="360"/>
      </w:pPr>
    </w:lvl>
  </w:abstractNum>
  <w:num w:numId="1">
    <w:abstractNumId w:val="10"/>
    <w:lvlOverride w:ilvl="0">
      <w:lvl w:ilvl="0">
        <w:numFmt w:val="lowerLetter"/>
        <w:lvlText w:val="%1."/>
        <w:lvlJc w:val="left"/>
      </w:lvl>
    </w:lvlOverride>
  </w:num>
  <w:num w:numId="2">
    <w:abstractNumId w:val="22"/>
  </w:num>
  <w:num w:numId="3">
    <w:abstractNumId w:val="2"/>
  </w:num>
  <w:num w:numId="4">
    <w:abstractNumId w:val="15"/>
  </w:num>
  <w:num w:numId="5">
    <w:abstractNumId w:val="15"/>
  </w:num>
  <w:num w:numId="6">
    <w:abstractNumId w:val="3"/>
    <w:lvlOverride w:ilvl="0">
      <w:lvl w:ilvl="0">
        <w:numFmt w:val="upperRoman"/>
        <w:lvlText w:val="%1."/>
        <w:lvlJc w:val="right"/>
      </w:lvl>
    </w:lvlOverride>
  </w:num>
  <w:num w:numId="7">
    <w:abstractNumId w:val="14"/>
  </w:num>
  <w:num w:numId="8">
    <w:abstractNumId w:val="8"/>
    <w:lvlOverride w:ilvl="0">
      <w:lvl w:ilvl="0">
        <w:numFmt w:val="lowerLetter"/>
        <w:lvlText w:val="%1."/>
        <w:lvlJc w:val="left"/>
      </w:lvl>
    </w:lvlOverride>
  </w:num>
  <w:num w:numId="9">
    <w:abstractNumId w:val="18"/>
  </w:num>
  <w:num w:numId="10">
    <w:abstractNumId w:val="23"/>
  </w:num>
  <w:num w:numId="11">
    <w:abstractNumId w:val="5"/>
  </w:num>
  <w:num w:numId="12">
    <w:abstractNumId w:val="13"/>
    <w:lvlOverride w:ilvl="0">
      <w:lvl w:ilvl="0">
        <w:numFmt w:val="lowerLetter"/>
        <w:lvlText w:val="%1."/>
        <w:lvlJc w:val="left"/>
      </w:lvl>
    </w:lvlOverride>
  </w:num>
  <w:num w:numId="13">
    <w:abstractNumId w:val="20"/>
  </w:num>
  <w:num w:numId="14">
    <w:abstractNumId w:val="6"/>
  </w:num>
  <w:num w:numId="15">
    <w:abstractNumId w:val="11"/>
  </w:num>
  <w:num w:numId="16">
    <w:abstractNumId w:val="11"/>
  </w:num>
  <w:num w:numId="17">
    <w:abstractNumId w:val="17"/>
  </w:num>
  <w:num w:numId="18">
    <w:abstractNumId w:val="19"/>
  </w:num>
  <w:num w:numId="19">
    <w:abstractNumId w:val="4"/>
  </w:num>
  <w:num w:numId="20">
    <w:abstractNumId w:val="0"/>
  </w:num>
  <w:num w:numId="21">
    <w:abstractNumId w:val="9"/>
  </w:num>
  <w:num w:numId="22">
    <w:abstractNumId w:val="1"/>
  </w:num>
  <w:num w:numId="23">
    <w:abstractNumId w:val="16"/>
  </w:num>
  <w:num w:numId="24">
    <w:abstractNumId w:val="2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F3"/>
    <w:rsid w:val="000B4E1B"/>
    <w:rsid w:val="00130C80"/>
    <w:rsid w:val="00150D35"/>
    <w:rsid w:val="0017420C"/>
    <w:rsid w:val="001A5084"/>
    <w:rsid w:val="001B1120"/>
    <w:rsid w:val="001D3CB1"/>
    <w:rsid w:val="001F7A42"/>
    <w:rsid w:val="00260F3F"/>
    <w:rsid w:val="002659E4"/>
    <w:rsid w:val="00293E14"/>
    <w:rsid w:val="0035246B"/>
    <w:rsid w:val="003727D4"/>
    <w:rsid w:val="003D4AFD"/>
    <w:rsid w:val="004F5BC1"/>
    <w:rsid w:val="00637DB5"/>
    <w:rsid w:val="00657A72"/>
    <w:rsid w:val="00676BF6"/>
    <w:rsid w:val="006823C0"/>
    <w:rsid w:val="006B7AE8"/>
    <w:rsid w:val="006F15E4"/>
    <w:rsid w:val="007D5D28"/>
    <w:rsid w:val="00844B63"/>
    <w:rsid w:val="009520F3"/>
    <w:rsid w:val="00A95B35"/>
    <w:rsid w:val="00AA2A93"/>
    <w:rsid w:val="00B231EB"/>
    <w:rsid w:val="00B27379"/>
    <w:rsid w:val="00B47BE6"/>
    <w:rsid w:val="00B807BA"/>
    <w:rsid w:val="00C52B54"/>
    <w:rsid w:val="00D3718C"/>
    <w:rsid w:val="00DD125D"/>
    <w:rsid w:val="00DD61EF"/>
    <w:rsid w:val="00DD6EAB"/>
    <w:rsid w:val="00E109B2"/>
    <w:rsid w:val="00EA2D57"/>
    <w:rsid w:val="00F3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4B3"/>
  <w15:chartTrackingRefBased/>
  <w15:docId w15:val="{928DC802-09C0-6D47-8455-CAA082E0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0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20F3"/>
    <w:rPr>
      <w:color w:val="0000FF"/>
      <w:u w:val="single"/>
    </w:rPr>
  </w:style>
  <w:style w:type="character" w:customStyle="1" w:styleId="apple-tab-span">
    <w:name w:val="apple-tab-span"/>
    <w:basedOn w:val="DefaultParagraphFont"/>
    <w:rsid w:val="00B47BE6"/>
  </w:style>
  <w:style w:type="paragraph" w:styleId="ListParagraph">
    <w:name w:val="List Paragraph"/>
    <w:basedOn w:val="Normal"/>
    <w:uiPriority w:val="34"/>
    <w:qFormat/>
    <w:rsid w:val="00DD61EF"/>
    <w:pPr>
      <w:ind w:left="720"/>
      <w:contextualSpacing/>
    </w:pPr>
  </w:style>
  <w:style w:type="paragraph" w:styleId="Revision">
    <w:name w:val="Revision"/>
    <w:hidden/>
    <w:uiPriority w:val="99"/>
    <w:semiHidden/>
    <w:rsid w:val="000B4E1B"/>
  </w:style>
  <w:style w:type="paragraph" w:styleId="Footer">
    <w:name w:val="footer"/>
    <w:basedOn w:val="Normal"/>
    <w:link w:val="FooterChar"/>
    <w:uiPriority w:val="99"/>
    <w:unhideWhenUsed/>
    <w:rsid w:val="00637DB5"/>
    <w:pPr>
      <w:tabs>
        <w:tab w:val="center" w:pos="4680"/>
        <w:tab w:val="right" w:pos="9360"/>
      </w:tabs>
    </w:pPr>
  </w:style>
  <w:style w:type="character" w:customStyle="1" w:styleId="FooterChar">
    <w:name w:val="Footer Char"/>
    <w:basedOn w:val="DefaultParagraphFont"/>
    <w:link w:val="Footer"/>
    <w:uiPriority w:val="99"/>
    <w:rsid w:val="00637DB5"/>
  </w:style>
  <w:style w:type="character" w:styleId="PageNumber">
    <w:name w:val="page number"/>
    <w:basedOn w:val="DefaultParagraphFont"/>
    <w:uiPriority w:val="99"/>
    <w:semiHidden/>
    <w:unhideWhenUsed/>
    <w:rsid w:val="00637DB5"/>
  </w:style>
  <w:style w:type="paragraph" w:styleId="EndnoteText">
    <w:name w:val="endnote text"/>
    <w:basedOn w:val="Normal"/>
    <w:link w:val="EndnoteTextChar"/>
    <w:uiPriority w:val="99"/>
    <w:semiHidden/>
    <w:unhideWhenUsed/>
    <w:rsid w:val="00B27379"/>
    <w:rPr>
      <w:sz w:val="20"/>
      <w:szCs w:val="20"/>
    </w:rPr>
  </w:style>
  <w:style w:type="character" w:customStyle="1" w:styleId="EndnoteTextChar">
    <w:name w:val="Endnote Text Char"/>
    <w:basedOn w:val="DefaultParagraphFont"/>
    <w:link w:val="EndnoteText"/>
    <w:uiPriority w:val="99"/>
    <w:semiHidden/>
    <w:rsid w:val="00B27379"/>
    <w:rPr>
      <w:sz w:val="20"/>
      <w:szCs w:val="20"/>
    </w:rPr>
  </w:style>
  <w:style w:type="character" w:styleId="EndnoteReference">
    <w:name w:val="endnote reference"/>
    <w:basedOn w:val="DefaultParagraphFont"/>
    <w:uiPriority w:val="99"/>
    <w:semiHidden/>
    <w:unhideWhenUsed/>
    <w:rsid w:val="00B27379"/>
    <w:rPr>
      <w:vertAlign w:val="superscript"/>
    </w:rPr>
  </w:style>
  <w:style w:type="paragraph" w:styleId="FootnoteText">
    <w:name w:val="footnote text"/>
    <w:basedOn w:val="Normal"/>
    <w:link w:val="FootnoteTextChar"/>
    <w:uiPriority w:val="99"/>
    <w:semiHidden/>
    <w:unhideWhenUsed/>
    <w:rsid w:val="00B27379"/>
    <w:rPr>
      <w:sz w:val="20"/>
      <w:szCs w:val="20"/>
    </w:rPr>
  </w:style>
  <w:style w:type="character" w:customStyle="1" w:styleId="FootnoteTextChar">
    <w:name w:val="Footnote Text Char"/>
    <w:basedOn w:val="DefaultParagraphFont"/>
    <w:link w:val="FootnoteText"/>
    <w:uiPriority w:val="99"/>
    <w:semiHidden/>
    <w:rsid w:val="00B27379"/>
    <w:rPr>
      <w:sz w:val="20"/>
      <w:szCs w:val="20"/>
    </w:rPr>
  </w:style>
  <w:style w:type="character" w:styleId="FootnoteReference">
    <w:name w:val="footnote reference"/>
    <w:basedOn w:val="DefaultParagraphFont"/>
    <w:uiPriority w:val="99"/>
    <w:semiHidden/>
    <w:unhideWhenUsed/>
    <w:rsid w:val="00B27379"/>
    <w:rPr>
      <w:vertAlign w:val="superscript"/>
    </w:rPr>
  </w:style>
  <w:style w:type="character" w:customStyle="1" w:styleId="UnresolvedMention1">
    <w:name w:val="Unresolved Mention1"/>
    <w:basedOn w:val="DefaultParagraphFont"/>
    <w:uiPriority w:val="99"/>
    <w:semiHidden/>
    <w:unhideWhenUsed/>
    <w:rsid w:val="001B1120"/>
    <w:rPr>
      <w:color w:val="605E5C"/>
      <w:shd w:val="clear" w:color="auto" w:fill="E1DFDD"/>
    </w:rPr>
  </w:style>
  <w:style w:type="character" w:styleId="CommentReference">
    <w:name w:val="annotation reference"/>
    <w:basedOn w:val="DefaultParagraphFont"/>
    <w:uiPriority w:val="99"/>
    <w:semiHidden/>
    <w:unhideWhenUsed/>
    <w:rsid w:val="00676BF6"/>
    <w:rPr>
      <w:sz w:val="16"/>
      <w:szCs w:val="16"/>
    </w:rPr>
  </w:style>
  <w:style w:type="paragraph" w:styleId="CommentText">
    <w:name w:val="annotation text"/>
    <w:basedOn w:val="Normal"/>
    <w:link w:val="CommentTextChar"/>
    <w:uiPriority w:val="99"/>
    <w:semiHidden/>
    <w:unhideWhenUsed/>
    <w:rsid w:val="00676BF6"/>
    <w:rPr>
      <w:sz w:val="20"/>
      <w:szCs w:val="20"/>
    </w:rPr>
  </w:style>
  <w:style w:type="character" w:customStyle="1" w:styleId="CommentTextChar">
    <w:name w:val="Comment Text Char"/>
    <w:basedOn w:val="DefaultParagraphFont"/>
    <w:link w:val="CommentText"/>
    <w:uiPriority w:val="99"/>
    <w:semiHidden/>
    <w:rsid w:val="00676BF6"/>
    <w:rPr>
      <w:sz w:val="20"/>
      <w:szCs w:val="20"/>
    </w:rPr>
  </w:style>
  <w:style w:type="paragraph" w:styleId="CommentSubject">
    <w:name w:val="annotation subject"/>
    <w:basedOn w:val="CommentText"/>
    <w:next w:val="CommentText"/>
    <w:link w:val="CommentSubjectChar"/>
    <w:uiPriority w:val="99"/>
    <w:semiHidden/>
    <w:unhideWhenUsed/>
    <w:rsid w:val="00676BF6"/>
    <w:rPr>
      <w:b/>
      <w:bCs/>
    </w:rPr>
  </w:style>
  <w:style w:type="character" w:customStyle="1" w:styleId="CommentSubjectChar">
    <w:name w:val="Comment Subject Char"/>
    <w:basedOn w:val="CommentTextChar"/>
    <w:link w:val="CommentSubject"/>
    <w:uiPriority w:val="99"/>
    <w:semiHidden/>
    <w:rsid w:val="00676BF6"/>
    <w:rPr>
      <w:b/>
      <w:bCs/>
      <w:sz w:val="20"/>
      <w:szCs w:val="20"/>
    </w:rPr>
  </w:style>
  <w:style w:type="paragraph" w:styleId="BalloonText">
    <w:name w:val="Balloon Text"/>
    <w:basedOn w:val="Normal"/>
    <w:link w:val="BalloonTextChar"/>
    <w:uiPriority w:val="99"/>
    <w:semiHidden/>
    <w:unhideWhenUsed/>
    <w:rsid w:val="00676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5046">
      <w:bodyDiv w:val="1"/>
      <w:marLeft w:val="0"/>
      <w:marRight w:val="0"/>
      <w:marTop w:val="0"/>
      <w:marBottom w:val="0"/>
      <w:divBdr>
        <w:top w:val="none" w:sz="0" w:space="0" w:color="auto"/>
        <w:left w:val="none" w:sz="0" w:space="0" w:color="auto"/>
        <w:bottom w:val="none" w:sz="0" w:space="0" w:color="auto"/>
        <w:right w:val="none" w:sz="0" w:space="0" w:color="auto"/>
      </w:divBdr>
    </w:div>
    <w:div w:id="494296979">
      <w:bodyDiv w:val="1"/>
      <w:marLeft w:val="0"/>
      <w:marRight w:val="0"/>
      <w:marTop w:val="0"/>
      <w:marBottom w:val="0"/>
      <w:divBdr>
        <w:top w:val="none" w:sz="0" w:space="0" w:color="auto"/>
        <w:left w:val="none" w:sz="0" w:space="0" w:color="auto"/>
        <w:bottom w:val="none" w:sz="0" w:space="0" w:color="auto"/>
        <w:right w:val="none" w:sz="0" w:space="0" w:color="auto"/>
      </w:divBdr>
    </w:div>
    <w:div w:id="960065115">
      <w:bodyDiv w:val="1"/>
      <w:marLeft w:val="0"/>
      <w:marRight w:val="0"/>
      <w:marTop w:val="0"/>
      <w:marBottom w:val="0"/>
      <w:divBdr>
        <w:top w:val="none" w:sz="0" w:space="0" w:color="auto"/>
        <w:left w:val="none" w:sz="0" w:space="0" w:color="auto"/>
        <w:bottom w:val="none" w:sz="0" w:space="0" w:color="auto"/>
        <w:right w:val="none" w:sz="0" w:space="0" w:color="auto"/>
      </w:divBdr>
    </w:div>
    <w:div w:id="995569590">
      <w:bodyDiv w:val="1"/>
      <w:marLeft w:val="0"/>
      <w:marRight w:val="0"/>
      <w:marTop w:val="0"/>
      <w:marBottom w:val="0"/>
      <w:divBdr>
        <w:top w:val="none" w:sz="0" w:space="0" w:color="auto"/>
        <w:left w:val="none" w:sz="0" w:space="0" w:color="auto"/>
        <w:bottom w:val="none" w:sz="0" w:space="0" w:color="auto"/>
        <w:right w:val="none" w:sz="0" w:space="0" w:color="auto"/>
      </w:divBdr>
    </w:div>
    <w:div w:id="1053580511">
      <w:bodyDiv w:val="1"/>
      <w:marLeft w:val="0"/>
      <w:marRight w:val="0"/>
      <w:marTop w:val="0"/>
      <w:marBottom w:val="0"/>
      <w:divBdr>
        <w:top w:val="none" w:sz="0" w:space="0" w:color="auto"/>
        <w:left w:val="none" w:sz="0" w:space="0" w:color="auto"/>
        <w:bottom w:val="none" w:sz="0" w:space="0" w:color="auto"/>
        <w:right w:val="none" w:sz="0" w:space="0" w:color="auto"/>
      </w:divBdr>
    </w:div>
    <w:div w:id="151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trategy.ec.europa.eu/en/library/revised-directive-security-network-and-information-systems-ni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download/attachments/102138857/Natural%20vs.%20Legal%20Memo.docx?version=1&amp;modificationDate=1548874825000&amp;api=v2" TargetMode="External"/><Relationship Id="rId1" Type="http://schemas.openxmlformats.org/officeDocument/2006/relationships/hyperlink" Target="https://gnso.icann.org/sites/default/files/file/field-file-attach/epdp-gtld-registration-data-specs-final-20feb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5100-B796-426F-A14D-D0ED44FE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Anderson, Marc</cp:lastModifiedBy>
  <cp:revision>4</cp:revision>
  <dcterms:created xsi:type="dcterms:W3CDTF">2021-09-10T21:55:00Z</dcterms:created>
  <dcterms:modified xsi:type="dcterms:W3CDTF">2021-09-10T22:02:00Z</dcterms:modified>
</cp:coreProperties>
</file>