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668B2" w14:textId="03AC204A" w:rsidR="00411AC4" w:rsidRDefault="00411AC4" w:rsidP="00411AC4">
      <w:pPr>
        <w:rPr>
          <w:b/>
          <w:bCs/>
          <w:lang w:val="en-US"/>
        </w:rPr>
      </w:pPr>
      <w:r w:rsidRPr="00411AC4">
        <w:rPr>
          <w:b/>
          <w:bCs/>
          <w:lang w:val="en-US"/>
        </w:rPr>
        <w:t xml:space="preserve">ICANN71 – </w:t>
      </w:r>
      <w:r w:rsidRPr="00411AC4">
        <w:rPr>
          <w:b/>
          <w:bCs/>
          <w:lang w:val="en-US"/>
        </w:rPr>
        <w:t>GNSO EPDP Phase 2A Community Update and Consultation</w:t>
      </w:r>
    </w:p>
    <w:p w14:paraId="7D5F6E54" w14:textId="5E3E42B9" w:rsidR="00411AC4" w:rsidRDefault="00411AC4" w:rsidP="00411AC4">
      <w:pPr>
        <w:rPr>
          <w:i/>
          <w:iCs/>
          <w:lang w:val="en-US"/>
        </w:rPr>
      </w:pPr>
      <w:r w:rsidRPr="00411AC4">
        <w:rPr>
          <w:i/>
          <w:iCs/>
          <w:lang w:val="en-US"/>
        </w:rPr>
        <w:t>Wednesday 16 June from 14.30 – 15.30 UTC</w:t>
      </w:r>
      <w:r>
        <w:rPr>
          <w:i/>
          <w:iCs/>
          <w:lang w:val="en-US"/>
        </w:rPr>
        <w:t xml:space="preserve"> (16.30 – 17.30 local time)</w:t>
      </w:r>
    </w:p>
    <w:p w14:paraId="1592AADF" w14:textId="3A0DF312" w:rsidR="00411AC4" w:rsidRDefault="00411AC4" w:rsidP="00411AC4">
      <w:pPr>
        <w:rPr>
          <w:i/>
          <w:iCs/>
          <w:lang w:val="en-US"/>
        </w:rPr>
      </w:pPr>
    </w:p>
    <w:p w14:paraId="4432BFF9" w14:textId="6F22BC67" w:rsidR="00411AC4" w:rsidRDefault="00411AC4" w:rsidP="00411AC4">
      <w:pPr>
        <w:rPr>
          <w:lang w:val="en-US"/>
        </w:rPr>
      </w:pPr>
      <w:r>
        <w:rPr>
          <w:lang w:val="en-US"/>
        </w:rPr>
        <w:t xml:space="preserve">Note: speakers are expected to represent the EPDP Team, not their respective groups. As such, they are expected to provide a balanced view of the recommendations and questions in the report with the objective of encouraging community members to come forward with new information and/or proposals that may help the EPDP Team in its deliberations. </w:t>
      </w:r>
    </w:p>
    <w:p w14:paraId="22A2A897" w14:textId="552A755B" w:rsidR="00FF6357" w:rsidRDefault="00FF6357" w:rsidP="00411AC4">
      <w:pPr>
        <w:rPr>
          <w:lang w:val="en-US"/>
        </w:rPr>
      </w:pPr>
    </w:p>
    <w:p w14:paraId="58E50F5B" w14:textId="1C9093A8" w:rsidR="00FF6357" w:rsidRPr="00411AC4" w:rsidRDefault="00FF6357" w:rsidP="00411AC4">
      <w:pPr>
        <w:rPr>
          <w:lang w:val="en-US"/>
        </w:rPr>
      </w:pPr>
      <w:r>
        <w:rPr>
          <w:lang w:val="en-US"/>
        </w:rPr>
        <w:t xml:space="preserve">The staff support team will assist with the development of slides that facilitate the introduction of each recommendation &amp; question. </w:t>
      </w:r>
    </w:p>
    <w:p w14:paraId="70ECFF59" w14:textId="77777777" w:rsidR="00411AC4" w:rsidRDefault="00411AC4" w:rsidP="00411AC4">
      <w:pPr>
        <w:rPr>
          <w:i/>
          <w:iCs/>
          <w:lang w:val="en-US"/>
        </w:rPr>
      </w:pPr>
    </w:p>
    <w:p w14:paraId="6173C7C7" w14:textId="75ABDC67" w:rsidR="00411AC4" w:rsidRPr="00411AC4" w:rsidRDefault="00411AC4" w:rsidP="00411AC4">
      <w:pPr>
        <w:rPr>
          <w:b/>
          <w:bCs/>
          <w:lang w:val="en-US"/>
        </w:rPr>
      </w:pPr>
      <w:r w:rsidRPr="00411AC4">
        <w:rPr>
          <w:b/>
          <w:bCs/>
          <w:lang w:val="en-US"/>
        </w:rPr>
        <w:t>Proposed Agenda</w:t>
      </w:r>
    </w:p>
    <w:p w14:paraId="5D334BF5" w14:textId="13F5EF9E" w:rsidR="00411AC4" w:rsidRDefault="00411AC4" w:rsidP="00411AC4">
      <w:pPr>
        <w:rPr>
          <w:lang w:val="en-US"/>
        </w:rPr>
      </w:pPr>
    </w:p>
    <w:tbl>
      <w:tblPr>
        <w:tblStyle w:val="TableGrid"/>
        <w:tblW w:w="0" w:type="auto"/>
        <w:tblLook w:val="04A0" w:firstRow="1" w:lastRow="0" w:firstColumn="1" w:lastColumn="0" w:noHBand="0" w:noVBand="1"/>
      </w:tblPr>
      <w:tblGrid>
        <w:gridCol w:w="1555"/>
        <w:gridCol w:w="1417"/>
        <w:gridCol w:w="2693"/>
        <w:gridCol w:w="7938"/>
      </w:tblGrid>
      <w:tr w:rsidR="00411AC4" w:rsidRPr="00411AC4" w14:paraId="03822955" w14:textId="77777777" w:rsidTr="00C75613">
        <w:tc>
          <w:tcPr>
            <w:tcW w:w="1555" w:type="dxa"/>
          </w:tcPr>
          <w:p w14:paraId="62BED04D" w14:textId="34F7D387" w:rsidR="00411AC4" w:rsidRPr="00411AC4" w:rsidRDefault="00411AC4" w:rsidP="00411AC4">
            <w:pPr>
              <w:rPr>
                <w:b/>
                <w:bCs/>
                <w:sz w:val="22"/>
                <w:szCs w:val="22"/>
                <w:lang w:val="en-US"/>
              </w:rPr>
            </w:pPr>
            <w:r w:rsidRPr="00411AC4">
              <w:rPr>
                <w:b/>
                <w:bCs/>
                <w:sz w:val="22"/>
                <w:szCs w:val="22"/>
                <w:lang w:val="en-US"/>
              </w:rPr>
              <w:t>Time</w:t>
            </w:r>
          </w:p>
        </w:tc>
        <w:tc>
          <w:tcPr>
            <w:tcW w:w="1417" w:type="dxa"/>
          </w:tcPr>
          <w:p w14:paraId="4D4A15FA" w14:textId="52D58628" w:rsidR="00411AC4" w:rsidRPr="00411AC4" w:rsidRDefault="00411AC4" w:rsidP="00411AC4">
            <w:pPr>
              <w:rPr>
                <w:b/>
                <w:bCs/>
                <w:sz w:val="22"/>
                <w:szCs w:val="22"/>
                <w:lang w:val="en-US"/>
              </w:rPr>
            </w:pPr>
            <w:r w:rsidRPr="00411AC4">
              <w:rPr>
                <w:b/>
                <w:bCs/>
                <w:sz w:val="22"/>
                <w:szCs w:val="22"/>
                <w:lang w:val="en-US"/>
              </w:rPr>
              <w:t>Speaker</w:t>
            </w:r>
          </w:p>
        </w:tc>
        <w:tc>
          <w:tcPr>
            <w:tcW w:w="2693" w:type="dxa"/>
          </w:tcPr>
          <w:p w14:paraId="2633B19D" w14:textId="3DDF6451" w:rsidR="00411AC4" w:rsidRPr="00411AC4" w:rsidRDefault="00411AC4" w:rsidP="00411AC4">
            <w:pPr>
              <w:rPr>
                <w:b/>
                <w:bCs/>
                <w:sz w:val="22"/>
                <w:szCs w:val="22"/>
                <w:lang w:val="en-US"/>
              </w:rPr>
            </w:pPr>
            <w:r w:rsidRPr="00411AC4">
              <w:rPr>
                <w:b/>
                <w:bCs/>
                <w:sz w:val="22"/>
                <w:szCs w:val="22"/>
                <w:lang w:val="en-US"/>
              </w:rPr>
              <w:t>Topic</w:t>
            </w:r>
          </w:p>
        </w:tc>
        <w:tc>
          <w:tcPr>
            <w:tcW w:w="7938" w:type="dxa"/>
          </w:tcPr>
          <w:p w14:paraId="2E3A0943" w14:textId="7847905F" w:rsidR="00411AC4" w:rsidRPr="00411AC4" w:rsidRDefault="00411AC4" w:rsidP="00411AC4">
            <w:pPr>
              <w:rPr>
                <w:b/>
                <w:bCs/>
                <w:sz w:val="22"/>
                <w:szCs w:val="22"/>
                <w:lang w:val="en-US"/>
              </w:rPr>
            </w:pPr>
            <w:r w:rsidRPr="00411AC4">
              <w:rPr>
                <w:b/>
                <w:bCs/>
                <w:sz w:val="22"/>
                <w:szCs w:val="22"/>
                <w:lang w:val="en-US"/>
              </w:rPr>
              <w:t>Objective</w:t>
            </w:r>
            <w:r w:rsidR="00C75613">
              <w:rPr>
                <w:b/>
                <w:bCs/>
                <w:sz w:val="22"/>
                <w:szCs w:val="22"/>
                <w:lang w:val="en-US"/>
              </w:rPr>
              <w:t xml:space="preserve"> / Speaking Notes</w:t>
            </w:r>
          </w:p>
        </w:tc>
      </w:tr>
      <w:tr w:rsidR="00411AC4" w:rsidRPr="00411AC4" w14:paraId="762B1DFD" w14:textId="77777777" w:rsidTr="00C75613">
        <w:tc>
          <w:tcPr>
            <w:tcW w:w="1555" w:type="dxa"/>
          </w:tcPr>
          <w:p w14:paraId="33785B20" w14:textId="58D7110A" w:rsidR="00411AC4" w:rsidRPr="00411AC4" w:rsidRDefault="00411AC4" w:rsidP="00411AC4">
            <w:pPr>
              <w:rPr>
                <w:sz w:val="22"/>
                <w:szCs w:val="22"/>
                <w:lang w:val="en-US"/>
              </w:rPr>
            </w:pPr>
            <w:r w:rsidRPr="00411AC4">
              <w:rPr>
                <w:sz w:val="22"/>
                <w:szCs w:val="22"/>
                <w:lang w:val="en-US"/>
              </w:rPr>
              <w:t>14.30 – 14.40</w:t>
            </w:r>
          </w:p>
        </w:tc>
        <w:tc>
          <w:tcPr>
            <w:tcW w:w="1417" w:type="dxa"/>
          </w:tcPr>
          <w:p w14:paraId="2B4CABC6" w14:textId="5F929EFF" w:rsidR="00411AC4" w:rsidRPr="00411AC4" w:rsidRDefault="00411AC4" w:rsidP="00411AC4">
            <w:pPr>
              <w:rPr>
                <w:sz w:val="22"/>
                <w:szCs w:val="22"/>
                <w:lang w:val="en-US"/>
              </w:rPr>
            </w:pPr>
            <w:r>
              <w:rPr>
                <w:sz w:val="22"/>
                <w:szCs w:val="22"/>
                <w:lang w:val="en-US"/>
              </w:rPr>
              <w:t xml:space="preserve">Keith </w:t>
            </w:r>
            <w:proofErr w:type="spellStart"/>
            <w:r>
              <w:rPr>
                <w:sz w:val="22"/>
                <w:szCs w:val="22"/>
                <w:lang w:val="en-US"/>
              </w:rPr>
              <w:t>Drazek</w:t>
            </w:r>
            <w:proofErr w:type="spellEnd"/>
            <w:r>
              <w:rPr>
                <w:sz w:val="22"/>
                <w:szCs w:val="22"/>
                <w:lang w:val="en-US"/>
              </w:rPr>
              <w:t xml:space="preserve"> (EPDP Chair)</w:t>
            </w:r>
          </w:p>
        </w:tc>
        <w:tc>
          <w:tcPr>
            <w:tcW w:w="2693" w:type="dxa"/>
          </w:tcPr>
          <w:p w14:paraId="13DA0835" w14:textId="034DFD61" w:rsidR="00411AC4" w:rsidRPr="00411AC4" w:rsidRDefault="00411AC4" w:rsidP="00411AC4">
            <w:pPr>
              <w:rPr>
                <w:sz w:val="22"/>
                <w:szCs w:val="22"/>
                <w:lang w:val="en-US"/>
              </w:rPr>
            </w:pPr>
            <w:r>
              <w:rPr>
                <w:sz w:val="22"/>
                <w:szCs w:val="22"/>
                <w:lang w:val="en-US"/>
              </w:rPr>
              <w:t>Welcome &amp; Introduction</w:t>
            </w:r>
          </w:p>
        </w:tc>
        <w:tc>
          <w:tcPr>
            <w:tcW w:w="7938" w:type="dxa"/>
          </w:tcPr>
          <w:p w14:paraId="3D24A0B3" w14:textId="77777777" w:rsidR="00411AC4" w:rsidRDefault="00411AC4" w:rsidP="00411AC4">
            <w:pPr>
              <w:pStyle w:val="ListParagraph"/>
              <w:numPr>
                <w:ilvl w:val="0"/>
                <w:numId w:val="1"/>
              </w:numPr>
              <w:rPr>
                <w:sz w:val="22"/>
                <w:szCs w:val="22"/>
                <w:lang w:val="en-US"/>
              </w:rPr>
            </w:pPr>
            <w:r w:rsidRPr="00411AC4">
              <w:rPr>
                <w:sz w:val="22"/>
                <w:szCs w:val="22"/>
                <w:lang w:val="en-US"/>
              </w:rPr>
              <w:t>Provide a brief overview of the background and assignment of the EPDP Phase 2</w:t>
            </w:r>
            <w:r>
              <w:rPr>
                <w:sz w:val="22"/>
                <w:szCs w:val="22"/>
                <w:lang w:val="en-US"/>
              </w:rPr>
              <w:t>A</w:t>
            </w:r>
          </w:p>
          <w:p w14:paraId="6EB011CB" w14:textId="77777777" w:rsidR="00411AC4" w:rsidRDefault="00411AC4" w:rsidP="00411AC4">
            <w:pPr>
              <w:pStyle w:val="ListParagraph"/>
              <w:numPr>
                <w:ilvl w:val="0"/>
                <w:numId w:val="1"/>
              </w:numPr>
              <w:rPr>
                <w:sz w:val="22"/>
                <w:szCs w:val="22"/>
                <w:lang w:val="en-US"/>
              </w:rPr>
            </w:pPr>
            <w:r>
              <w:rPr>
                <w:sz w:val="22"/>
                <w:szCs w:val="22"/>
                <w:lang w:val="en-US"/>
              </w:rPr>
              <w:t>E</w:t>
            </w:r>
            <w:r w:rsidRPr="00411AC4">
              <w:rPr>
                <w:sz w:val="22"/>
                <w:szCs w:val="22"/>
                <w:lang w:val="en-US"/>
              </w:rPr>
              <w:t>mphasize that there is still divergence on nearly all issues &amp; recommendations but that focus now is on encouraging new information and ideas to aid the EPDP in its deliberations</w:t>
            </w:r>
          </w:p>
          <w:p w14:paraId="376699E8" w14:textId="4A1485B8" w:rsidR="00411AC4" w:rsidRPr="00411AC4" w:rsidRDefault="00411AC4" w:rsidP="00411AC4">
            <w:pPr>
              <w:pStyle w:val="ListParagraph"/>
              <w:numPr>
                <w:ilvl w:val="0"/>
                <w:numId w:val="1"/>
              </w:numPr>
              <w:rPr>
                <w:sz w:val="22"/>
                <w:szCs w:val="22"/>
                <w:lang w:val="en-US"/>
              </w:rPr>
            </w:pPr>
            <w:r>
              <w:rPr>
                <w:sz w:val="22"/>
                <w:szCs w:val="22"/>
                <w:lang w:val="en-US"/>
              </w:rPr>
              <w:t>Highlight that this session is an opportunity for the community to provide input and/or ask clarifying questions</w:t>
            </w:r>
          </w:p>
        </w:tc>
      </w:tr>
      <w:tr w:rsidR="00411AC4" w:rsidRPr="00411AC4" w14:paraId="096025D3" w14:textId="77777777" w:rsidTr="00C75613">
        <w:tc>
          <w:tcPr>
            <w:tcW w:w="1555" w:type="dxa"/>
          </w:tcPr>
          <w:p w14:paraId="6F2A6267" w14:textId="7A24FA36" w:rsidR="00411AC4" w:rsidRPr="00411AC4" w:rsidRDefault="00411AC4" w:rsidP="00411AC4">
            <w:pPr>
              <w:rPr>
                <w:sz w:val="22"/>
                <w:szCs w:val="22"/>
                <w:lang w:val="en-US"/>
              </w:rPr>
            </w:pPr>
            <w:r>
              <w:rPr>
                <w:sz w:val="22"/>
                <w:szCs w:val="22"/>
                <w:lang w:val="en-US"/>
              </w:rPr>
              <w:t>14.40 – 14.45</w:t>
            </w:r>
          </w:p>
        </w:tc>
        <w:tc>
          <w:tcPr>
            <w:tcW w:w="1417" w:type="dxa"/>
          </w:tcPr>
          <w:p w14:paraId="480DEE0C" w14:textId="55B8C8EC" w:rsidR="00411AC4" w:rsidRPr="00411AC4" w:rsidRDefault="00411AC4" w:rsidP="00411AC4">
            <w:pPr>
              <w:rPr>
                <w:sz w:val="22"/>
                <w:szCs w:val="22"/>
                <w:lang w:val="en-US"/>
              </w:rPr>
            </w:pPr>
            <w:r>
              <w:rPr>
                <w:sz w:val="22"/>
                <w:szCs w:val="22"/>
                <w:lang w:val="en-US"/>
              </w:rPr>
              <w:t>EPDP Team member</w:t>
            </w:r>
          </w:p>
        </w:tc>
        <w:tc>
          <w:tcPr>
            <w:tcW w:w="2693" w:type="dxa"/>
          </w:tcPr>
          <w:p w14:paraId="08972DEB" w14:textId="2FD8AC13" w:rsidR="00411AC4" w:rsidRPr="00411AC4" w:rsidRDefault="00411AC4" w:rsidP="00411AC4">
            <w:pPr>
              <w:rPr>
                <w:sz w:val="22"/>
                <w:szCs w:val="22"/>
                <w:lang w:val="en-US"/>
              </w:rPr>
            </w:pPr>
            <w:r>
              <w:rPr>
                <w:sz w:val="22"/>
                <w:szCs w:val="22"/>
                <w:lang w:val="en-US"/>
              </w:rPr>
              <w:t>Introduce Preliminary Recommendation #1 and Question 1</w:t>
            </w:r>
          </w:p>
        </w:tc>
        <w:tc>
          <w:tcPr>
            <w:tcW w:w="7938" w:type="dxa"/>
          </w:tcPr>
          <w:p w14:paraId="342DF9EA" w14:textId="77777777" w:rsidR="00411AC4" w:rsidRDefault="00C75613" w:rsidP="00411AC4">
            <w:pPr>
              <w:pStyle w:val="ListParagraph"/>
              <w:numPr>
                <w:ilvl w:val="0"/>
                <w:numId w:val="2"/>
              </w:numPr>
              <w:rPr>
                <w:sz w:val="22"/>
                <w:szCs w:val="22"/>
                <w:lang w:val="en-US"/>
              </w:rPr>
            </w:pPr>
            <w:r>
              <w:rPr>
                <w:sz w:val="22"/>
                <w:szCs w:val="22"/>
                <w:lang w:val="en-US"/>
              </w:rPr>
              <w:t xml:space="preserve">As the report indicates, there are different views on the question of whether changes are needed to the phase 1 recommendation which allows for differentiation between legal and natural person </w:t>
            </w:r>
            <w:proofErr w:type="gramStart"/>
            <w:r>
              <w:rPr>
                <w:sz w:val="22"/>
                <w:szCs w:val="22"/>
                <w:lang w:val="en-US"/>
              </w:rPr>
              <w:t>data, but</w:t>
            </w:r>
            <w:proofErr w:type="gramEnd"/>
            <w:r>
              <w:rPr>
                <w:sz w:val="22"/>
                <w:szCs w:val="22"/>
                <w:lang w:val="en-US"/>
              </w:rPr>
              <w:t xml:space="preserve"> does not require it. </w:t>
            </w:r>
          </w:p>
          <w:p w14:paraId="73744D34" w14:textId="77777777" w:rsidR="00C75613" w:rsidRDefault="00C75613" w:rsidP="00411AC4">
            <w:pPr>
              <w:pStyle w:val="ListParagraph"/>
              <w:numPr>
                <w:ilvl w:val="0"/>
                <w:numId w:val="2"/>
              </w:numPr>
              <w:rPr>
                <w:sz w:val="22"/>
                <w:szCs w:val="22"/>
                <w:lang w:val="en-US"/>
              </w:rPr>
            </w:pPr>
            <w:r>
              <w:rPr>
                <w:sz w:val="22"/>
                <w:szCs w:val="22"/>
                <w:lang w:val="en-US"/>
              </w:rPr>
              <w:t>Some are of the view that changes are warranted, while others believe that the phase 1 recommendation does not require changes.</w:t>
            </w:r>
          </w:p>
          <w:p w14:paraId="59721A19" w14:textId="4BCB6CF0" w:rsidR="00C75613" w:rsidRPr="00411AC4" w:rsidRDefault="00C75613" w:rsidP="00411AC4">
            <w:pPr>
              <w:pStyle w:val="ListParagraph"/>
              <w:numPr>
                <w:ilvl w:val="0"/>
                <w:numId w:val="2"/>
              </w:numPr>
              <w:rPr>
                <w:sz w:val="22"/>
                <w:szCs w:val="22"/>
                <w:lang w:val="en-US"/>
              </w:rPr>
            </w:pPr>
            <w:r>
              <w:rPr>
                <w:sz w:val="22"/>
                <w:szCs w:val="22"/>
                <w:lang w:val="en-US"/>
              </w:rPr>
              <w:t xml:space="preserve">As such, no consensus at this stage to recommend changes but the EPDP Team is looking for new information or inputs that it has not considered yet </w:t>
            </w:r>
            <w:r w:rsidR="00AF1D8D">
              <w:rPr>
                <w:sz w:val="22"/>
                <w:szCs w:val="22"/>
                <w:lang w:val="en-US"/>
              </w:rPr>
              <w:t xml:space="preserve">while assessing </w:t>
            </w:r>
            <w:proofErr w:type="gramStart"/>
            <w:r w:rsidR="00AF1D8D">
              <w:rPr>
                <w:sz w:val="22"/>
                <w:szCs w:val="22"/>
                <w:lang w:val="en-US"/>
              </w:rPr>
              <w:t>whether or not</w:t>
            </w:r>
            <w:proofErr w:type="gramEnd"/>
            <w:r w:rsidR="00AF1D8D">
              <w:rPr>
                <w:sz w:val="22"/>
                <w:szCs w:val="22"/>
                <w:lang w:val="en-US"/>
              </w:rPr>
              <w:t xml:space="preserve"> changes need to be made</w:t>
            </w:r>
            <w:r>
              <w:rPr>
                <w:sz w:val="22"/>
                <w:szCs w:val="22"/>
                <w:lang w:val="en-US"/>
              </w:rPr>
              <w:t xml:space="preserve">. </w:t>
            </w:r>
          </w:p>
        </w:tc>
      </w:tr>
      <w:tr w:rsidR="00411AC4" w:rsidRPr="00411AC4" w14:paraId="2B3032D8" w14:textId="77777777" w:rsidTr="00C75613">
        <w:tc>
          <w:tcPr>
            <w:tcW w:w="1555" w:type="dxa"/>
          </w:tcPr>
          <w:p w14:paraId="4897C2FA" w14:textId="0E934B75" w:rsidR="00411AC4" w:rsidRPr="00411AC4" w:rsidRDefault="00C75613" w:rsidP="00411AC4">
            <w:pPr>
              <w:rPr>
                <w:sz w:val="22"/>
                <w:szCs w:val="22"/>
                <w:lang w:val="en-US"/>
              </w:rPr>
            </w:pPr>
            <w:r>
              <w:rPr>
                <w:sz w:val="22"/>
                <w:szCs w:val="22"/>
                <w:lang w:val="en-US"/>
              </w:rPr>
              <w:t>14.45 – 14.50</w:t>
            </w:r>
          </w:p>
        </w:tc>
        <w:tc>
          <w:tcPr>
            <w:tcW w:w="1417" w:type="dxa"/>
          </w:tcPr>
          <w:p w14:paraId="011FDAEC" w14:textId="12D0512F" w:rsidR="00411AC4" w:rsidRPr="00411AC4" w:rsidRDefault="00C75613" w:rsidP="00411AC4">
            <w:pPr>
              <w:rPr>
                <w:sz w:val="22"/>
                <w:szCs w:val="22"/>
                <w:lang w:val="en-US"/>
              </w:rPr>
            </w:pPr>
            <w:r>
              <w:rPr>
                <w:sz w:val="22"/>
                <w:szCs w:val="22"/>
                <w:lang w:val="en-US"/>
              </w:rPr>
              <w:t>EPDP Team member</w:t>
            </w:r>
          </w:p>
        </w:tc>
        <w:tc>
          <w:tcPr>
            <w:tcW w:w="2693" w:type="dxa"/>
          </w:tcPr>
          <w:p w14:paraId="07BDDC2E" w14:textId="20E2496A" w:rsidR="00411AC4" w:rsidRPr="00411AC4" w:rsidRDefault="00C75613" w:rsidP="00411AC4">
            <w:pPr>
              <w:rPr>
                <w:sz w:val="22"/>
                <w:szCs w:val="22"/>
                <w:lang w:val="en-US"/>
              </w:rPr>
            </w:pPr>
            <w:r>
              <w:rPr>
                <w:sz w:val="22"/>
                <w:szCs w:val="22"/>
                <w:lang w:val="en-US"/>
              </w:rPr>
              <w:t>Introduce Preliminary Recommendation #</w:t>
            </w:r>
            <w:r>
              <w:rPr>
                <w:sz w:val="22"/>
                <w:szCs w:val="22"/>
                <w:lang w:val="en-US"/>
              </w:rPr>
              <w:t>2</w:t>
            </w:r>
            <w:r>
              <w:rPr>
                <w:sz w:val="22"/>
                <w:szCs w:val="22"/>
                <w:lang w:val="en-US"/>
              </w:rPr>
              <w:t xml:space="preserve"> and Question </w:t>
            </w:r>
            <w:r>
              <w:rPr>
                <w:sz w:val="22"/>
                <w:szCs w:val="22"/>
                <w:lang w:val="en-US"/>
              </w:rPr>
              <w:t>2</w:t>
            </w:r>
          </w:p>
        </w:tc>
        <w:tc>
          <w:tcPr>
            <w:tcW w:w="7938" w:type="dxa"/>
          </w:tcPr>
          <w:p w14:paraId="2B5CB725" w14:textId="77777777" w:rsidR="00AF1D8D" w:rsidRPr="00D8759A" w:rsidRDefault="00AF1D8D" w:rsidP="00AF1D8D">
            <w:pPr>
              <w:pStyle w:val="ListParagraph"/>
              <w:numPr>
                <w:ilvl w:val="0"/>
                <w:numId w:val="6"/>
              </w:numPr>
              <w:rPr>
                <w:sz w:val="22"/>
                <w:szCs w:val="22"/>
                <w:lang w:val="en-US"/>
              </w:rPr>
            </w:pPr>
            <w:r>
              <w:rPr>
                <w:sz w:val="22"/>
                <w:szCs w:val="22"/>
                <w:lang w:val="en-US"/>
              </w:rPr>
              <w:t xml:space="preserve">There are </w:t>
            </w:r>
            <w:proofErr w:type="gramStart"/>
            <w:r>
              <w:rPr>
                <w:sz w:val="22"/>
                <w:szCs w:val="22"/>
                <w:lang w:val="en-US"/>
              </w:rPr>
              <w:t>a number of</w:t>
            </w:r>
            <w:proofErr w:type="gramEnd"/>
            <w:r>
              <w:rPr>
                <w:sz w:val="22"/>
                <w:szCs w:val="22"/>
                <w:lang w:val="en-US"/>
              </w:rPr>
              <w:t xml:space="preserve"> developments such as </w:t>
            </w:r>
            <w:r w:rsidR="00D8759A">
              <w:rPr>
                <w:sz w:val="22"/>
                <w:szCs w:val="22"/>
                <w:lang w:val="en-US"/>
              </w:rPr>
              <w:t xml:space="preserve">NIS2, </w:t>
            </w:r>
            <w:r w:rsidR="00D8759A">
              <w:rPr>
                <w:sz w:val="23"/>
                <w:szCs w:val="23"/>
              </w:rPr>
              <w:t>relevant decisions by pertinent tribunals and data protection authorities, as well as the possible adoption of the SSAD</w:t>
            </w:r>
            <w:r w:rsidR="00D8759A">
              <w:rPr>
                <w:sz w:val="23"/>
                <w:szCs w:val="23"/>
                <w:lang w:val="en-US"/>
              </w:rPr>
              <w:t xml:space="preserve"> that may </w:t>
            </w:r>
            <w:proofErr w:type="spellStart"/>
            <w:r w:rsidR="00D8759A">
              <w:rPr>
                <w:sz w:val="23"/>
                <w:szCs w:val="23"/>
                <w:lang w:val="en-US"/>
              </w:rPr>
              <w:t>required</w:t>
            </w:r>
            <w:proofErr w:type="spellEnd"/>
            <w:r w:rsidR="00D8759A">
              <w:rPr>
                <w:sz w:val="23"/>
                <w:szCs w:val="23"/>
                <w:lang w:val="en-US"/>
              </w:rPr>
              <w:t xml:space="preserve"> a renewed consideration of the question of whether changes are necessary. </w:t>
            </w:r>
          </w:p>
          <w:p w14:paraId="45E2D048" w14:textId="77777777" w:rsidR="00020BFF" w:rsidRDefault="00D8759A" w:rsidP="00AF1D8D">
            <w:pPr>
              <w:pStyle w:val="ListParagraph"/>
              <w:numPr>
                <w:ilvl w:val="0"/>
                <w:numId w:val="6"/>
              </w:numPr>
              <w:rPr>
                <w:sz w:val="22"/>
                <w:szCs w:val="22"/>
                <w:lang w:val="en-US"/>
              </w:rPr>
            </w:pPr>
            <w:r>
              <w:rPr>
                <w:sz w:val="22"/>
                <w:szCs w:val="22"/>
                <w:lang w:val="en-US"/>
              </w:rPr>
              <w:lastRenderedPageBreak/>
              <w:t xml:space="preserve">The preliminary recommendation suggests that the Council should monitor these developments to decide if/when reconsideration is warranted, but some have suggested that this is already the responsibility of the Council and as such, doesn’t need to be specifically called out. </w:t>
            </w:r>
          </w:p>
          <w:p w14:paraId="3E1E4B01" w14:textId="642FA664" w:rsidR="00D8759A" w:rsidRPr="00AF1D8D" w:rsidRDefault="00020BFF" w:rsidP="00AF1D8D">
            <w:pPr>
              <w:pStyle w:val="ListParagraph"/>
              <w:numPr>
                <w:ilvl w:val="0"/>
                <w:numId w:val="6"/>
              </w:numPr>
              <w:rPr>
                <w:sz w:val="22"/>
                <w:szCs w:val="22"/>
                <w:lang w:val="en-US"/>
              </w:rPr>
            </w:pPr>
            <w:r>
              <w:rPr>
                <w:sz w:val="22"/>
                <w:szCs w:val="22"/>
                <w:lang w:val="en-US"/>
              </w:rPr>
              <w:t xml:space="preserve">Community input is sought on if/how this recommendation is necessary. </w:t>
            </w:r>
            <w:r w:rsidR="00D8759A">
              <w:rPr>
                <w:sz w:val="22"/>
                <w:szCs w:val="22"/>
                <w:lang w:val="en-US"/>
              </w:rPr>
              <w:t>Further information on how this monitoring is helpful is</w:t>
            </w:r>
            <w:r>
              <w:rPr>
                <w:sz w:val="22"/>
                <w:szCs w:val="22"/>
                <w:lang w:val="en-US"/>
              </w:rPr>
              <w:t xml:space="preserve"> also</w:t>
            </w:r>
            <w:r w:rsidR="00D8759A">
              <w:rPr>
                <w:sz w:val="22"/>
                <w:szCs w:val="22"/>
                <w:lang w:val="en-US"/>
              </w:rPr>
              <w:t xml:space="preserve"> welcomed. </w:t>
            </w:r>
          </w:p>
        </w:tc>
      </w:tr>
      <w:tr w:rsidR="00411AC4" w:rsidRPr="00411AC4" w14:paraId="5F99D33C" w14:textId="77777777" w:rsidTr="00C75613">
        <w:tc>
          <w:tcPr>
            <w:tcW w:w="1555" w:type="dxa"/>
          </w:tcPr>
          <w:p w14:paraId="731B405D" w14:textId="6CEF9BC8" w:rsidR="00411AC4" w:rsidRPr="00411AC4" w:rsidRDefault="00C75613" w:rsidP="00411AC4">
            <w:pPr>
              <w:rPr>
                <w:sz w:val="22"/>
                <w:szCs w:val="22"/>
                <w:lang w:val="en-US"/>
              </w:rPr>
            </w:pPr>
            <w:r>
              <w:rPr>
                <w:sz w:val="22"/>
                <w:szCs w:val="22"/>
                <w:lang w:val="en-US"/>
              </w:rPr>
              <w:lastRenderedPageBreak/>
              <w:t>14.50 – 14.55</w:t>
            </w:r>
          </w:p>
        </w:tc>
        <w:tc>
          <w:tcPr>
            <w:tcW w:w="1417" w:type="dxa"/>
          </w:tcPr>
          <w:p w14:paraId="77811CF4" w14:textId="62FBC009" w:rsidR="00411AC4" w:rsidRPr="00411AC4" w:rsidRDefault="00C75613" w:rsidP="00411AC4">
            <w:pPr>
              <w:rPr>
                <w:sz w:val="22"/>
                <w:szCs w:val="22"/>
                <w:lang w:val="en-US"/>
              </w:rPr>
            </w:pPr>
            <w:r>
              <w:rPr>
                <w:sz w:val="22"/>
                <w:szCs w:val="22"/>
                <w:lang w:val="en-US"/>
              </w:rPr>
              <w:t>EPDP Team member</w:t>
            </w:r>
          </w:p>
        </w:tc>
        <w:tc>
          <w:tcPr>
            <w:tcW w:w="2693" w:type="dxa"/>
          </w:tcPr>
          <w:p w14:paraId="3AEA1202" w14:textId="63FC580A" w:rsidR="00411AC4" w:rsidRPr="00411AC4" w:rsidRDefault="00C75613" w:rsidP="00411AC4">
            <w:pPr>
              <w:rPr>
                <w:sz w:val="22"/>
                <w:szCs w:val="22"/>
                <w:lang w:val="en-US"/>
              </w:rPr>
            </w:pPr>
            <w:r>
              <w:rPr>
                <w:sz w:val="22"/>
                <w:szCs w:val="22"/>
                <w:lang w:val="en-US"/>
              </w:rPr>
              <w:t>Introduce Preliminary Recommendation #</w:t>
            </w:r>
            <w:r>
              <w:rPr>
                <w:sz w:val="22"/>
                <w:szCs w:val="22"/>
                <w:lang w:val="en-US"/>
              </w:rPr>
              <w:t>3</w:t>
            </w:r>
            <w:r>
              <w:rPr>
                <w:sz w:val="22"/>
                <w:szCs w:val="22"/>
                <w:lang w:val="en-US"/>
              </w:rPr>
              <w:t xml:space="preserve"> and Question </w:t>
            </w:r>
            <w:r>
              <w:rPr>
                <w:sz w:val="22"/>
                <w:szCs w:val="22"/>
                <w:lang w:val="en-US"/>
              </w:rPr>
              <w:t>3</w:t>
            </w:r>
          </w:p>
        </w:tc>
        <w:tc>
          <w:tcPr>
            <w:tcW w:w="7938" w:type="dxa"/>
          </w:tcPr>
          <w:p w14:paraId="252D3D62" w14:textId="77777777" w:rsidR="00AF1D8D" w:rsidRDefault="00AF1D8D" w:rsidP="00AF1D8D">
            <w:pPr>
              <w:pStyle w:val="ListParagraph"/>
              <w:numPr>
                <w:ilvl w:val="0"/>
                <w:numId w:val="5"/>
              </w:numPr>
              <w:rPr>
                <w:sz w:val="22"/>
                <w:szCs w:val="22"/>
                <w:lang w:val="en-US"/>
              </w:rPr>
            </w:pPr>
            <w:r>
              <w:rPr>
                <w:sz w:val="22"/>
                <w:szCs w:val="22"/>
                <w:lang w:val="en-US"/>
              </w:rPr>
              <w:t>The EPDP Team has discussed the possible introduction of a standardized data element to facilitate and harmonize practices for those CPs who want to differentiate, but some important questions remain:</w:t>
            </w:r>
          </w:p>
          <w:p w14:paraId="53989717" w14:textId="77777777" w:rsidR="00AF1D8D" w:rsidRPr="00AF1D8D" w:rsidRDefault="00AF1D8D" w:rsidP="00AF1D8D">
            <w:pPr>
              <w:pStyle w:val="ListParagraph"/>
              <w:numPr>
                <w:ilvl w:val="1"/>
                <w:numId w:val="5"/>
              </w:numPr>
              <w:ind w:left="607" w:hanging="283"/>
              <w:rPr>
                <w:sz w:val="22"/>
                <w:szCs w:val="22"/>
                <w:lang w:val="en-US"/>
              </w:rPr>
            </w:pPr>
            <w:r w:rsidRPr="00AF1D8D">
              <w:rPr>
                <w:sz w:val="23"/>
                <w:szCs w:val="23"/>
              </w:rPr>
              <w:t xml:space="preserve">Should a standardized data element be available for a Contracted Party to use? If yes, why? If no, why not? Why is harmonization of practices beneficial or problematic? </w:t>
            </w:r>
          </w:p>
          <w:p w14:paraId="04F81400" w14:textId="77777777" w:rsidR="00AF1D8D" w:rsidRPr="00AF1D8D" w:rsidRDefault="00AF1D8D" w:rsidP="00AF1D8D">
            <w:pPr>
              <w:pStyle w:val="ListParagraph"/>
              <w:numPr>
                <w:ilvl w:val="1"/>
                <w:numId w:val="5"/>
              </w:numPr>
              <w:ind w:left="607" w:hanging="283"/>
              <w:rPr>
                <w:sz w:val="22"/>
                <w:szCs w:val="22"/>
                <w:lang w:val="en-US"/>
              </w:rPr>
            </w:pPr>
            <w:r>
              <w:rPr>
                <w:sz w:val="23"/>
                <w:szCs w:val="23"/>
              </w:rPr>
              <w:t xml:space="preserve">If yes, what field or fields should be used and what possible values should be included, if different from the ones identified </w:t>
            </w:r>
            <w:r>
              <w:rPr>
                <w:sz w:val="23"/>
                <w:szCs w:val="23"/>
                <w:lang w:val="en-US"/>
              </w:rPr>
              <w:t>in the Initial Report (Registrant Legal Person – Yes/No/Unspecified)</w:t>
            </w:r>
            <w:r>
              <w:rPr>
                <w:sz w:val="23"/>
                <w:szCs w:val="23"/>
              </w:rPr>
              <w:t xml:space="preserve">? </w:t>
            </w:r>
          </w:p>
          <w:p w14:paraId="2F40AF82" w14:textId="42670358" w:rsidR="00411AC4" w:rsidRPr="00AF1D8D" w:rsidRDefault="00AF1D8D" w:rsidP="00AF1D8D">
            <w:pPr>
              <w:pStyle w:val="ListParagraph"/>
              <w:numPr>
                <w:ilvl w:val="1"/>
                <w:numId w:val="5"/>
              </w:numPr>
              <w:ind w:left="607" w:hanging="283"/>
              <w:rPr>
                <w:sz w:val="22"/>
                <w:szCs w:val="22"/>
                <w:lang w:val="en-US"/>
              </w:rPr>
            </w:pPr>
            <w:r w:rsidRPr="00AF1D8D">
              <w:rPr>
                <w:sz w:val="23"/>
                <w:szCs w:val="23"/>
              </w:rPr>
              <w:t>If such a standardized data element is available, MUST a Contracted Party who decides to differentiate use this standardized data element or should it remain optional for how a Contracted Party implements this differentiation?</w:t>
            </w:r>
          </w:p>
        </w:tc>
      </w:tr>
      <w:tr w:rsidR="00411AC4" w:rsidRPr="00411AC4" w14:paraId="094FBB00" w14:textId="77777777" w:rsidTr="00C75613">
        <w:tc>
          <w:tcPr>
            <w:tcW w:w="1555" w:type="dxa"/>
          </w:tcPr>
          <w:p w14:paraId="2B4989CD" w14:textId="73DE9CB5" w:rsidR="00411AC4" w:rsidRPr="00411AC4" w:rsidRDefault="00C75613" w:rsidP="00411AC4">
            <w:pPr>
              <w:rPr>
                <w:sz w:val="22"/>
                <w:szCs w:val="22"/>
                <w:lang w:val="en-US"/>
              </w:rPr>
            </w:pPr>
            <w:r>
              <w:rPr>
                <w:sz w:val="22"/>
                <w:szCs w:val="22"/>
                <w:lang w:val="en-US"/>
              </w:rPr>
              <w:t>14.55. – 15.00</w:t>
            </w:r>
          </w:p>
        </w:tc>
        <w:tc>
          <w:tcPr>
            <w:tcW w:w="1417" w:type="dxa"/>
          </w:tcPr>
          <w:p w14:paraId="3F38519E" w14:textId="039B89C8" w:rsidR="00411AC4" w:rsidRPr="00411AC4" w:rsidRDefault="00C75613" w:rsidP="00411AC4">
            <w:pPr>
              <w:rPr>
                <w:sz w:val="22"/>
                <w:szCs w:val="22"/>
                <w:lang w:val="en-US"/>
              </w:rPr>
            </w:pPr>
            <w:r>
              <w:rPr>
                <w:sz w:val="22"/>
                <w:szCs w:val="22"/>
                <w:lang w:val="en-US"/>
              </w:rPr>
              <w:t>EPDP Team member</w:t>
            </w:r>
          </w:p>
        </w:tc>
        <w:tc>
          <w:tcPr>
            <w:tcW w:w="2693" w:type="dxa"/>
          </w:tcPr>
          <w:p w14:paraId="6388265C" w14:textId="0C94D897" w:rsidR="00411AC4" w:rsidRPr="00411AC4" w:rsidRDefault="00C75613" w:rsidP="00411AC4">
            <w:pPr>
              <w:rPr>
                <w:sz w:val="22"/>
                <w:szCs w:val="22"/>
                <w:lang w:val="en-US"/>
              </w:rPr>
            </w:pPr>
            <w:r>
              <w:rPr>
                <w:sz w:val="22"/>
                <w:szCs w:val="22"/>
                <w:lang w:val="en-US"/>
              </w:rPr>
              <w:t>Introduce Preliminary Recommendation #</w:t>
            </w:r>
            <w:r>
              <w:rPr>
                <w:sz w:val="22"/>
                <w:szCs w:val="22"/>
                <w:lang w:val="en-US"/>
              </w:rPr>
              <w:t>4</w:t>
            </w:r>
            <w:r>
              <w:rPr>
                <w:sz w:val="22"/>
                <w:szCs w:val="22"/>
                <w:lang w:val="en-US"/>
              </w:rPr>
              <w:t xml:space="preserve"> and Question </w:t>
            </w:r>
            <w:r>
              <w:rPr>
                <w:sz w:val="22"/>
                <w:szCs w:val="22"/>
                <w:lang w:val="en-US"/>
              </w:rPr>
              <w:t>4</w:t>
            </w:r>
          </w:p>
        </w:tc>
        <w:tc>
          <w:tcPr>
            <w:tcW w:w="7938" w:type="dxa"/>
          </w:tcPr>
          <w:p w14:paraId="7CD5A8FE" w14:textId="57952368" w:rsidR="00ED23B8" w:rsidRPr="00ED23B8" w:rsidRDefault="00ED23B8" w:rsidP="00ED23B8">
            <w:pPr>
              <w:pStyle w:val="ListParagraph"/>
              <w:numPr>
                <w:ilvl w:val="0"/>
                <w:numId w:val="5"/>
              </w:numPr>
              <w:rPr>
                <w:sz w:val="22"/>
                <w:szCs w:val="22"/>
                <w:lang w:val="en-US"/>
              </w:rPr>
            </w:pPr>
            <w:r>
              <w:rPr>
                <w:sz w:val="22"/>
                <w:szCs w:val="22"/>
                <w:lang w:val="en-US"/>
              </w:rPr>
              <w:t xml:space="preserve">The EPDP Team developed guidance for Contracted Parties who decide to differentiate but there are </w:t>
            </w:r>
            <w:proofErr w:type="gramStart"/>
            <w:r>
              <w:rPr>
                <w:sz w:val="22"/>
                <w:szCs w:val="22"/>
                <w:lang w:val="en-US"/>
              </w:rPr>
              <w:t>a number of</w:t>
            </w:r>
            <w:proofErr w:type="gramEnd"/>
            <w:r>
              <w:rPr>
                <w:sz w:val="22"/>
                <w:szCs w:val="22"/>
                <w:lang w:val="en-US"/>
              </w:rPr>
              <w:t xml:space="preserve"> questions that are put out for community input:</w:t>
            </w:r>
          </w:p>
          <w:p w14:paraId="2BC10333" w14:textId="77777777" w:rsidR="00ED23B8" w:rsidRDefault="00ED23B8" w:rsidP="00ED23B8">
            <w:pPr>
              <w:pStyle w:val="ListParagraph"/>
              <w:numPr>
                <w:ilvl w:val="1"/>
                <w:numId w:val="5"/>
              </w:numPr>
              <w:ind w:left="607" w:hanging="283"/>
              <w:rPr>
                <w:sz w:val="23"/>
                <w:szCs w:val="23"/>
              </w:rPr>
            </w:pPr>
            <w:r>
              <w:rPr>
                <w:sz w:val="23"/>
                <w:szCs w:val="23"/>
              </w:rPr>
              <w:t xml:space="preserve">Does this guidance as written provide sufficient information and resources to Registrars and Registry Operators who wish to differentiate? If not, what is missing and why? </w:t>
            </w:r>
          </w:p>
          <w:p w14:paraId="26A476CC" w14:textId="0F7C2A12" w:rsidR="00ED23B8" w:rsidRDefault="00ED23B8" w:rsidP="00ED23B8">
            <w:pPr>
              <w:pStyle w:val="ListParagraph"/>
              <w:numPr>
                <w:ilvl w:val="1"/>
                <w:numId w:val="5"/>
              </w:numPr>
              <w:ind w:left="607" w:hanging="283"/>
              <w:rPr>
                <w:sz w:val="23"/>
                <w:szCs w:val="23"/>
              </w:rPr>
            </w:pPr>
            <w:r>
              <w:rPr>
                <w:sz w:val="23"/>
                <w:szCs w:val="23"/>
              </w:rPr>
              <w:t xml:space="preserve">Are there additional elements that should be included? </w:t>
            </w:r>
          </w:p>
          <w:p w14:paraId="0E6E3D97" w14:textId="02899E09" w:rsidR="00ED23B8" w:rsidRDefault="00ED23B8" w:rsidP="00ED23B8">
            <w:pPr>
              <w:pStyle w:val="ListParagraph"/>
              <w:numPr>
                <w:ilvl w:val="1"/>
                <w:numId w:val="5"/>
              </w:numPr>
              <w:ind w:left="607" w:hanging="283"/>
              <w:rPr>
                <w:sz w:val="23"/>
                <w:szCs w:val="23"/>
              </w:rPr>
            </w:pPr>
            <w:r>
              <w:rPr>
                <w:sz w:val="23"/>
                <w:szCs w:val="23"/>
              </w:rPr>
              <w:t xml:space="preserve">Are there legal and regulatory considerations not yet considered in this Initial Report, that may inform Registries and Registrars in deciding whether and how to differentiate, and if so, how? </w:t>
            </w:r>
          </w:p>
          <w:p w14:paraId="6E9FF390" w14:textId="1051172B" w:rsidR="00ED23B8" w:rsidRPr="00ED23B8" w:rsidRDefault="00ED23B8" w:rsidP="00ED23B8">
            <w:pPr>
              <w:pStyle w:val="ListParagraph"/>
              <w:numPr>
                <w:ilvl w:val="1"/>
                <w:numId w:val="5"/>
              </w:numPr>
              <w:ind w:left="607" w:hanging="283"/>
              <w:rPr>
                <w:sz w:val="22"/>
                <w:szCs w:val="22"/>
                <w:lang w:val="en-US"/>
              </w:rPr>
            </w:pPr>
            <w:r>
              <w:rPr>
                <w:sz w:val="23"/>
                <w:szCs w:val="23"/>
              </w:rPr>
              <w:t>If a Registrar or Registry Operator decides to differentiate, should this guidance</w:t>
            </w:r>
            <w:r>
              <w:rPr>
                <w:sz w:val="23"/>
                <w:szCs w:val="23"/>
                <w:lang w:val="en-US"/>
              </w:rPr>
              <w:t xml:space="preserve"> become a requirement that can be enforced if not followed (“MUST, if Contracted Party decides to differentiate”)?</w:t>
            </w:r>
          </w:p>
        </w:tc>
      </w:tr>
      <w:tr w:rsidR="00C75613" w:rsidRPr="00411AC4" w14:paraId="2BE71E1B" w14:textId="77777777" w:rsidTr="00C75613">
        <w:tc>
          <w:tcPr>
            <w:tcW w:w="1555" w:type="dxa"/>
          </w:tcPr>
          <w:p w14:paraId="27BD1209" w14:textId="05FE47F5" w:rsidR="00C75613" w:rsidRDefault="00C75613" w:rsidP="00411AC4">
            <w:pPr>
              <w:rPr>
                <w:sz w:val="22"/>
                <w:szCs w:val="22"/>
                <w:lang w:val="en-US"/>
              </w:rPr>
            </w:pPr>
            <w:r>
              <w:rPr>
                <w:sz w:val="22"/>
                <w:szCs w:val="22"/>
                <w:lang w:val="en-US"/>
              </w:rPr>
              <w:lastRenderedPageBreak/>
              <w:t>15.00 – 15.05</w:t>
            </w:r>
          </w:p>
        </w:tc>
        <w:tc>
          <w:tcPr>
            <w:tcW w:w="1417" w:type="dxa"/>
          </w:tcPr>
          <w:p w14:paraId="1B69ABBA" w14:textId="0CC0F25C" w:rsidR="00C75613" w:rsidRDefault="00C75613" w:rsidP="00411AC4">
            <w:pPr>
              <w:rPr>
                <w:sz w:val="22"/>
                <w:szCs w:val="22"/>
                <w:lang w:val="en-US"/>
              </w:rPr>
            </w:pPr>
            <w:r>
              <w:rPr>
                <w:sz w:val="22"/>
                <w:szCs w:val="22"/>
                <w:lang w:val="en-US"/>
              </w:rPr>
              <w:t>EPDP Team member</w:t>
            </w:r>
          </w:p>
        </w:tc>
        <w:tc>
          <w:tcPr>
            <w:tcW w:w="2693" w:type="dxa"/>
          </w:tcPr>
          <w:p w14:paraId="3FEDCAD9" w14:textId="45DB77B1" w:rsidR="00C75613" w:rsidRDefault="00C75613" w:rsidP="00411AC4">
            <w:pPr>
              <w:rPr>
                <w:sz w:val="22"/>
                <w:szCs w:val="22"/>
                <w:lang w:val="en-US"/>
              </w:rPr>
            </w:pPr>
            <w:r>
              <w:rPr>
                <w:sz w:val="22"/>
                <w:szCs w:val="22"/>
                <w:lang w:val="en-US"/>
              </w:rPr>
              <w:t>Introduce Preliminary Recommendation #</w:t>
            </w:r>
            <w:r>
              <w:rPr>
                <w:sz w:val="22"/>
                <w:szCs w:val="22"/>
                <w:lang w:val="en-US"/>
              </w:rPr>
              <w:t>5</w:t>
            </w:r>
            <w:r>
              <w:rPr>
                <w:sz w:val="22"/>
                <w:szCs w:val="22"/>
                <w:lang w:val="en-US"/>
              </w:rPr>
              <w:t xml:space="preserve"> and Question </w:t>
            </w:r>
            <w:r>
              <w:rPr>
                <w:sz w:val="22"/>
                <w:szCs w:val="22"/>
                <w:lang w:val="en-US"/>
              </w:rPr>
              <w:t>5</w:t>
            </w:r>
          </w:p>
        </w:tc>
        <w:tc>
          <w:tcPr>
            <w:tcW w:w="7938" w:type="dxa"/>
          </w:tcPr>
          <w:p w14:paraId="148D73BB" w14:textId="001C48A8" w:rsidR="00FF6357" w:rsidRPr="00FF6357" w:rsidRDefault="00FF6357" w:rsidP="00FF6357">
            <w:pPr>
              <w:pStyle w:val="ListParagraph"/>
              <w:numPr>
                <w:ilvl w:val="0"/>
                <w:numId w:val="5"/>
              </w:numPr>
              <w:rPr>
                <w:sz w:val="22"/>
                <w:szCs w:val="22"/>
                <w:lang w:val="en-US"/>
              </w:rPr>
            </w:pPr>
            <w:r w:rsidRPr="00FF6357">
              <w:rPr>
                <w:sz w:val="22"/>
                <w:szCs w:val="22"/>
                <w:lang w:val="en-US"/>
              </w:rPr>
              <w:t xml:space="preserve">The EPDP Team has put forward a preliminary recommendation that </w:t>
            </w:r>
            <w:r w:rsidRPr="00FF6357">
              <w:rPr>
                <w:sz w:val="23"/>
                <w:szCs w:val="23"/>
              </w:rPr>
              <w:t>Contracted Parties who choose to publish a registrant- or registration-based email address in the publicly accessible RDDS should ensure appropriate safeguards for the data subject in line with relevant guidance on anonymization techniques provided by their data protection authorities and the appended legal guidance in this recommendation</w:t>
            </w:r>
            <w:r>
              <w:rPr>
                <w:sz w:val="23"/>
                <w:szCs w:val="23"/>
                <w:lang w:val="en-US"/>
              </w:rPr>
              <w:t>. The EPDP Team does ask:</w:t>
            </w:r>
          </w:p>
          <w:p w14:paraId="208BBD3A" w14:textId="0CEC21BF" w:rsidR="00FF6357" w:rsidRPr="00FF6357" w:rsidRDefault="00FF6357" w:rsidP="00FF6357">
            <w:pPr>
              <w:pStyle w:val="ListParagraph"/>
              <w:numPr>
                <w:ilvl w:val="1"/>
                <w:numId w:val="5"/>
              </w:numPr>
              <w:ind w:left="607" w:hanging="283"/>
              <w:rPr>
                <w:sz w:val="23"/>
                <w:szCs w:val="23"/>
              </w:rPr>
            </w:pPr>
            <w:r>
              <w:rPr>
                <w:sz w:val="23"/>
                <w:szCs w:val="23"/>
              </w:rPr>
              <w:t xml:space="preserve">Does this guidance as written provide sufficient information and resources to Registrars and Registry Operators who wish to publish a registrant- or registration-based email address? If not, what is missing and why? </w:t>
            </w:r>
          </w:p>
        </w:tc>
      </w:tr>
      <w:tr w:rsidR="00BF7EDE" w:rsidRPr="00411AC4" w14:paraId="7C3B32EE" w14:textId="77777777" w:rsidTr="00C75613">
        <w:tc>
          <w:tcPr>
            <w:tcW w:w="1555" w:type="dxa"/>
          </w:tcPr>
          <w:p w14:paraId="2168A446" w14:textId="4C380070" w:rsidR="00BF7EDE" w:rsidRDefault="00BF7EDE" w:rsidP="00411AC4">
            <w:pPr>
              <w:rPr>
                <w:sz w:val="22"/>
                <w:szCs w:val="22"/>
                <w:lang w:val="en-US"/>
              </w:rPr>
            </w:pPr>
            <w:r>
              <w:rPr>
                <w:sz w:val="22"/>
                <w:szCs w:val="22"/>
                <w:lang w:val="en-US"/>
              </w:rPr>
              <w:t>15.05 – 15.30</w:t>
            </w:r>
          </w:p>
        </w:tc>
        <w:tc>
          <w:tcPr>
            <w:tcW w:w="1417" w:type="dxa"/>
          </w:tcPr>
          <w:p w14:paraId="4672CA60" w14:textId="7772B77F" w:rsidR="00BF7EDE" w:rsidRDefault="00CC76C0" w:rsidP="00411AC4">
            <w:pPr>
              <w:rPr>
                <w:sz w:val="22"/>
                <w:szCs w:val="22"/>
                <w:lang w:val="en-US"/>
              </w:rPr>
            </w:pPr>
            <w:r>
              <w:rPr>
                <w:sz w:val="22"/>
                <w:szCs w:val="22"/>
                <w:lang w:val="en-US"/>
              </w:rPr>
              <w:t>All</w:t>
            </w:r>
          </w:p>
        </w:tc>
        <w:tc>
          <w:tcPr>
            <w:tcW w:w="2693" w:type="dxa"/>
          </w:tcPr>
          <w:p w14:paraId="3CCAA083" w14:textId="0D5446C5" w:rsidR="00BF7EDE" w:rsidRDefault="00CC76C0" w:rsidP="00411AC4">
            <w:pPr>
              <w:rPr>
                <w:sz w:val="22"/>
                <w:szCs w:val="22"/>
                <w:lang w:val="en-US"/>
              </w:rPr>
            </w:pPr>
            <w:r>
              <w:rPr>
                <w:sz w:val="22"/>
                <w:szCs w:val="22"/>
                <w:lang w:val="en-US"/>
              </w:rPr>
              <w:t>Moderator: Keith</w:t>
            </w:r>
          </w:p>
        </w:tc>
        <w:tc>
          <w:tcPr>
            <w:tcW w:w="7938" w:type="dxa"/>
          </w:tcPr>
          <w:p w14:paraId="5AAB0FE2" w14:textId="77777777" w:rsidR="00BF7EDE" w:rsidRDefault="00CC76C0" w:rsidP="00CC76C0">
            <w:pPr>
              <w:rPr>
                <w:sz w:val="22"/>
                <w:szCs w:val="22"/>
                <w:lang w:val="en-US"/>
              </w:rPr>
            </w:pPr>
            <w:r>
              <w:rPr>
                <w:sz w:val="22"/>
                <w:szCs w:val="22"/>
                <w:lang w:val="en-US"/>
              </w:rPr>
              <w:t>Questions to trigger discussion:</w:t>
            </w:r>
          </w:p>
          <w:p w14:paraId="5C61613D" w14:textId="1F75E170" w:rsidR="00CC76C0" w:rsidRDefault="00CC76C0" w:rsidP="00CC76C0">
            <w:pPr>
              <w:pStyle w:val="ListParagraph"/>
              <w:numPr>
                <w:ilvl w:val="0"/>
                <w:numId w:val="4"/>
              </w:numPr>
              <w:rPr>
                <w:sz w:val="22"/>
                <w:szCs w:val="22"/>
                <w:lang w:val="en-US"/>
              </w:rPr>
            </w:pPr>
            <w:r>
              <w:rPr>
                <w:sz w:val="22"/>
                <w:szCs w:val="22"/>
                <w:lang w:val="en-US"/>
              </w:rPr>
              <w:t>What information should the EPDP Team consider, that it has not considered yet, that may help inform its deliberations?</w:t>
            </w:r>
          </w:p>
          <w:p w14:paraId="447CA10C" w14:textId="49B89356" w:rsidR="00CC76C0" w:rsidRPr="00CC76C0" w:rsidRDefault="00CC76C0" w:rsidP="00CC76C0">
            <w:pPr>
              <w:pStyle w:val="ListParagraph"/>
              <w:numPr>
                <w:ilvl w:val="0"/>
                <w:numId w:val="4"/>
              </w:numPr>
              <w:rPr>
                <w:sz w:val="22"/>
                <w:szCs w:val="22"/>
                <w:lang w:val="en-US"/>
              </w:rPr>
            </w:pPr>
            <w:r>
              <w:rPr>
                <w:sz w:val="22"/>
                <w:szCs w:val="22"/>
                <w:lang w:val="en-US"/>
              </w:rPr>
              <w:t>What proposals should the EPDP Team consider that have not been included in the Initial Report, factoring in the instructions by the Council in relation to the scope of work?</w:t>
            </w:r>
          </w:p>
        </w:tc>
      </w:tr>
    </w:tbl>
    <w:p w14:paraId="5CF62C4E" w14:textId="77777777" w:rsidR="00411AC4" w:rsidRPr="00411AC4" w:rsidRDefault="00411AC4" w:rsidP="00411AC4">
      <w:pPr>
        <w:rPr>
          <w:lang w:val="en-US"/>
        </w:rPr>
      </w:pPr>
    </w:p>
    <w:p w14:paraId="197783C0" w14:textId="40FB4C55" w:rsidR="00BB03F4" w:rsidRPr="00411AC4" w:rsidRDefault="00BB03F4">
      <w:pPr>
        <w:rPr>
          <w:lang w:val="en-US"/>
        </w:rPr>
      </w:pPr>
    </w:p>
    <w:sectPr w:rsidR="00BB03F4" w:rsidRPr="00411AC4" w:rsidSect="00C75613">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D1CD4"/>
    <w:multiLevelType w:val="hybridMultilevel"/>
    <w:tmpl w:val="54940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711EBA"/>
    <w:multiLevelType w:val="hybridMultilevel"/>
    <w:tmpl w:val="F8441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F816AA"/>
    <w:multiLevelType w:val="hybridMultilevel"/>
    <w:tmpl w:val="E0FEFB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4E3772"/>
    <w:multiLevelType w:val="hybridMultilevel"/>
    <w:tmpl w:val="A2E22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D9644B"/>
    <w:multiLevelType w:val="hybridMultilevel"/>
    <w:tmpl w:val="C54A5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2A278E"/>
    <w:multiLevelType w:val="hybridMultilevel"/>
    <w:tmpl w:val="4912C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C4"/>
    <w:rsid w:val="00020BFF"/>
    <w:rsid w:val="00411AC4"/>
    <w:rsid w:val="00AF1D8D"/>
    <w:rsid w:val="00BB03F4"/>
    <w:rsid w:val="00BF7EDE"/>
    <w:rsid w:val="00C75613"/>
    <w:rsid w:val="00CC76C0"/>
    <w:rsid w:val="00D8759A"/>
    <w:rsid w:val="00ED23B8"/>
    <w:rsid w:val="00FF635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855F67F"/>
  <w15:chartTrackingRefBased/>
  <w15:docId w15:val="{2D654AB9-1917-9C47-8364-4945BEF0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411AC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AC4"/>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41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AC4"/>
    <w:pPr>
      <w:ind w:left="720"/>
      <w:contextualSpacing/>
    </w:pPr>
  </w:style>
  <w:style w:type="paragraph" w:customStyle="1" w:styleId="Default">
    <w:name w:val="Default"/>
    <w:rsid w:val="00AF1D8D"/>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48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2021-06-03T19:44:00Z</dcterms:created>
  <dcterms:modified xsi:type="dcterms:W3CDTF">2021-06-03T21:08:00Z</dcterms:modified>
</cp:coreProperties>
</file>