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180" w:type="dxa"/>
        <w:tblLayout w:type="fixed"/>
        <w:tblLook w:val="04A0" w:firstRow="1" w:lastRow="0" w:firstColumn="1" w:lastColumn="0" w:noHBand="0" w:noVBand="1"/>
      </w:tblPr>
      <w:tblGrid>
        <w:gridCol w:w="9180"/>
      </w:tblGrid>
      <w:tr w:rsidR="00E34AE6" w:rsidRPr="009B4D88" w14:paraId="12CC72CA" w14:textId="77777777"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07EF38B9" w14:textId="77777777" w:rsidR="00E34AE6" w:rsidRPr="009B4D88" w:rsidRDefault="00E34AE6" w:rsidP="001A38F5">
            <w:pPr>
              <w:spacing w:before="40" w:after="40"/>
              <w:rPr>
                <w:rFonts w:asciiTheme="minorHAnsi" w:eastAsia="Calibri" w:hAnsiTheme="minorHAnsi" w:cstheme="minorHAnsi"/>
                <w:b w:val="0"/>
                <w:bCs w:val="0"/>
                <w:color w:val="000000"/>
                <w:sz w:val="22"/>
                <w:szCs w:val="22"/>
              </w:rPr>
            </w:pPr>
            <w:bookmarkStart w:id="0" w:name="_GoBack"/>
            <w:bookmarkEnd w:id="0"/>
            <w:r w:rsidRPr="009B4D88">
              <w:rPr>
                <w:rFonts w:asciiTheme="minorHAnsi" w:eastAsia="Calibri" w:hAnsiTheme="minorHAnsi" w:cstheme="minorHAnsi"/>
                <w:color w:val="000000"/>
                <w:sz w:val="22"/>
                <w:szCs w:val="22"/>
              </w:rPr>
              <w:t xml:space="preserve">Overarching Purpose: </w:t>
            </w:r>
            <w:r w:rsidR="00115334" w:rsidRPr="009B4D88">
              <w:rPr>
                <w:rFonts w:asciiTheme="minorHAnsi" w:eastAsia="Calibri" w:hAnsiTheme="minorHAnsi" w:cstheme="minorHAnsi"/>
                <w:color w:val="000000"/>
                <w:sz w:val="22"/>
                <w:szCs w:val="22"/>
              </w:rPr>
              <w:t>Digital Crime investigation by non-</w:t>
            </w:r>
            <w:r w:rsidR="00DF5AC9" w:rsidRPr="009B4D88">
              <w:rPr>
                <w:rFonts w:asciiTheme="minorHAnsi" w:eastAsia="Calibri" w:hAnsiTheme="minorHAnsi" w:cstheme="minorHAnsi"/>
                <w:color w:val="000000"/>
                <w:sz w:val="22"/>
                <w:szCs w:val="22"/>
              </w:rPr>
              <w:t>LEA</w:t>
            </w:r>
          </w:p>
          <w:p w14:paraId="17068AE3" w14:textId="77777777" w:rsidR="00E8523C" w:rsidRPr="009B4D88" w:rsidRDefault="00E8523C" w:rsidP="001A38F5">
            <w:pPr>
              <w:spacing w:before="40" w:after="40"/>
              <w:rPr>
                <w:rFonts w:asciiTheme="minorHAnsi" w:eastAsia="Calibri" w:hAnsiTheme="minorHAnsi" w:cstheme="minorHAnsi"/>
                <w:b w:val="0"/>
                <w:bCs w:val="0"/>
                <w:color w:val="000000"/>
                <w:sz w:val="22"/>
                <w:szCs w:val="22"/>
              </w:rPr>
            </w:pPr>
          </w:p>
          <w:p w14:paraId="538D876E" w14:textId="77777777" w:rsidR="00E8523C" w:rsidRPr="009B4D88" w:rsidRDefault="00E8523C" w:rsidP="001A38F5">
            <w:p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color w:val="000000"/>
                <w:sz w:val="22"/>
                <w:szCs w:val="22"/>
              </w:rPr>
              <w:t>Terms:</w:t>
            </w:r>
          </w:p>
          <w:p w14:paraId="2CC8DBEF" w14:textId="0DA2E2A4" w:rsidR="00E8523C" w:rsidRPr="009B4D88" w:rsidRDefault="00471159" w:rsidP="009B4D88">
            <w:pPr>
              <w:pStyle w:val="ListParagraph"/>
              <w:numPr>
                <w:ilvl w:val="0"/>
                <w:numId w:val="42"/>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bCs w:val="0"/>
                <w:color w:val="000000"/>
                <w:sz w:val="22"/>
                <w:szCs w:val="22"/>
              </w:rPr>
              <w:t xml:space="preserve">Secondary victim: </w:t>
            </w:r>
            <w:r w:rsidR="00B46C29" w:rsidRPr="009B4D88">
              <w:rPr>
                <w:rFonts w:asciiTheme="minorHAnsi" w:eastAsia="Calibri" w:hAnsiTheme="minorHAnsi" w:cstheme="minorHAnsi"/>
                <w:b w:val="0"/>
                <w:bCs w:val="0"/>
                <w:color w:val="000000"/>
                <w:sz w:val="22"/>
                <w:szCs w:val="22"/>
              </w:rPr>
              <w:t>a domain name registrant whose domain name</w:t>
            </w:r>
            <w:r w:rsidR="008C7113">
              <w:rPr>
                <w:rFonts w:asciiTheme="minorHAnsi" w:eastAsia="Calibri" w:hAnsiTheme="minorHAnsi" w:cstheme="minorHAnsi"/>
                <w:b w:val="0"/>
                <w:bCs w:val="0"/>
                <w:color w:val="000000"/>
                <w:sz w:val="22"/>
                <w:szCs w:val="22"/>
              </w:rPr>
              <w:t>s</w:t>
            </w:r>
            <w:r w:rsidR="00F85533">
              <w:rPr>
                <w:rFonts w:asciiTheme="minorHAnsi" w:eastAsia="Calibri" w:hAnsiTheme="minorHAnsi" w:cstheme="minorHAnsi"/>
                <w:b w:val="0"/>
                <w:bCs w:val="0"/>
                <w:color w:val="000000"/>
                <w:sz w:val="22"/>
                <w:szCs w:val="22"/>
              </w:rPr>
              <w:t>, or resources hosted at that domain name</w:t>
            </w:r>
            <w:r w:rsidR="008C7113">
              <w:rPr>
                <w:rFonts w:asciiTheme="minorHAnsi" w:eastAsia="Calibri" w:hAnsiTheme="minorHAnsi" w:cstheme="minorHAnsi"/>
                <w:b w:val="0"/>
                <w:bCs w:val="0"/>
                <w:color w:val="000000"/>
                <w:sz w:val="22"/>
                <w:szCs w:val="22"/>
              </w:rPr>
              <w:t>,</w:t>
            </w:r>
            <w:r w:rsidR="00B46C29" w:rsidRPr="009B4D88">
              <w:rPr>
                <w:rFonts w:asciiTheme="minorHAnsi" w:eastAsia="Calibri" w:hAnsiTheme="minorHAnsi" w:cstheme="minorHAnsi"/>
                <w:b w:val="0"/>
                <w:bCs w:val="0"/>
                <w:color w:val="000000"/>
                <w:sz w:val="22"/>
                <w:szCs w:val="22"/>
              </w:rPr>
              <w:t xml:space="preserve"> </w:t>
            </w:r>
            <w:r w:rsidR="008C7113">
              <w:rPr>
                <w:rFonts w:asciiTheme="minorHAnsi" w:eastAsia="Calibri" w:hAnsiTheme="minorHAnsi" w:cstheme="minorHAnsi"/>
                <w:b w:val="0"/>
                <w:bCs w:val="0"/>
                <w:color w:val="000000"/>
                <w:sz w:val="22"/>
                <w:szCs w:val="22"/>
              </w:rPr>
              <w:t>have</w:t>
            </w:r>
            <w:r w:rsidR="00B46C29" w:rsidRPr="009B4D88">
              <w:rPr>
                <w:rFonts w:asciiTheme="minorHAnsi" w:eastAsia="Calibri" w:hAnsiTheme="minorHAnsi" w:cstheme="minorHAnsi"/>
                <w:b w:val="0"/>
                <w:bCs w:val="0"/>
                <w:color w:val="000000"/>
                <w:sz w:val="22"/>
                <w:szCs w:val="22"/>
              </w:rPr>
              <w:t xml:space="preserve"> been hij</w:t>
            </w:r>
            <w:r w:rsidR="006F00AF" w:rsidRPr="009B4D88">
              <w:rPr>
                <w:rFonts w:asciiTheme="minorHAnsi" w:eastAsia="Calibri" w:hAnsiTheme="minorHAnsi" w:cstheme="minorHAnsi"/>
                <w:b w:val="0"/>
                <w:bCs w:val="0"/>
                <w:color w:val="000000"/>
                <w:sz w:val="22"/>
                <w:szCs w:val="22"/>
              </w:rPr>
              <w:t>acked to deliver malware or act as bait in a phishing scam</w:t>
            </w:r>
          </w:p>
          <w:p w14:paraId="4B10AA57" w14:textId="77777777" w:rsidR="00A938B6" w:rsidRPr="009B4D88" w:rsidRDefault="00A938B6" w:rsidP="009B4D88">
            <w:pPr>
              <w:pStyle w:val="ListParagraph"/>
              <w:numPr>
                <w:ilvl w:val="0"/>
                <w:numId w:val="42"/>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bCs w:val="0"/>
                <w:color w:val="000000"/>
                <w:sz w:val="22"/>
                <w:szCs w:val="22"/>
              </w:rPr>
              <w:t>Primary victim: an end user impacted by malware or phishing</w:t>
            </w:r>
          </w:p>
          <w:p w14:paraId="35CB17CF" w14:textId="125795FF" w:rsidR="003767A8" w:rsidRPr="009B4D88" w:rsidRDefault="003767A8" w:rsidP="009B4D88">
            <w:pPr>
              <w:pStyle w:val="ListParagraph"/>
              <w:numPr>
                <w:ilvl w:val="0"/>
                <w:numId w:val="42"/>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bCs w:val="0"/>
                <w:color w:val="000000"/>
                <w:sz w:val="22"/>
                <w:szCs w:val="22"/>
              </w:rPr>
              <w:t xml:space="preserve">Note: </w:t>
            </w:r>
            <w:r w:rsidR="00DD79C4" w:rsidRPr="009B4D88">
              <w:rPr>
                <w:rFonts w:asciiTheme="minorHAnsi" w:eastAsia="Calibri" w:hAnsiTheme="minorHAnsi" w:cstheme="minorHAnsi"/>
                <w:b w:val="0"/>
                <w:bCs w:val="0"/>
                <w:color w:val="000000"/>
                <w:sz w:val="22"/>
                <w:szCs w:val="22"/>
              </w:rPr>
              <w:t>I</w:t>
            </w:r>
            <w:r w:rsidRPr="009B4D88">
              <w:rPr>
                <w:rFonts w:asciiTheme="minorHAnsi" w:eastAsia="Calibri" w:hAnsiTheme="minorHAnsi" w:cstheme="minorHAnsi"/>
                <w:b w:val="0"/>
                <w:bCs w:val="0"/>
                <w:color w:val="000000"/>
                <w:sz w:val="22"/>
                <w:szCs w:val="22"/>
              </w:rPr>
              <w:t xml:space="preserve">f the domain name registrant </w:t>
            </w:r>
            <w:r w:rsidR="00B73EBC" w:rsidRPr="009B4D88">
              <w:rPr>
                <w:rFonts w:asciiTheme="minorHAnsi" w:eastAsia="Calibri" w:hAnsiTheme="minorHAnsi" w:cstheme="minorHAnsi"/>
                <w:b w:val="0"/>
                <w:bCs w:val="0"/>
                <w:color w:val="000000"/>
                <w:sz w:val="22"/>
                <w:szCs w:val="22"/>
              </w:rPr>
              <w:t>is engaged in criminal activity using the domain name, the concept of secondary victim would not apply.</w:t>
            </w:r>
          </w:p>
          <w:p w14:paraId="776FB054" w14:textId="4683CF4E" w:rsidR="00722BB7" w:rsidRPr="009B4D88" w:rsidRDefault="00722BB7" w:rsidP="009B4D88">
            <w:pPr>
              <w:pStyle w:val="ListParagraph"/>
              <w:numPr>
                <w:ilvl w:val="0"/>
                <w:numId w:val="42"/>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bCs w:val="0"/>
                <w:color w:val="000000"/>
                <w:sz w:val="22"/>
                <w:szCs w:val="22"/>
              </w:rPr>
              <w:t xml:space="preserve">Criminal infrastructure: </w:t>
            </w:r>
            <w:r w:rsidR="007E030A" w:rsidRPr="009B4D88">
              <w:rPr>
                <w:rFonts w:asciiTheme="minorHAnsi" w:eastAsia="Calibri" w:hAnsiTheme="minorHAnsi" w:cstheme="minorHAnsi"/>
                <w:b w:val="0"/>
                <w:bCs w:val="0"/>
                <w:color w:val="000000"/>
                <w:sz w:val="22"/>
                <w:szCs w:val="22"/>
              </w:rPr>
              <w:t>a</w:t>
            </w:r>
            <w:r w:rsidR="000F1C20" w:rsidRPr="009B4D88">
              <w:rPr>
                <w:rFonts w:asciiTheme="minorHAnsi" w:eastAsia="Calibri" w:hAnsiTheme="minorHAnsi" w:cstheme="minorHAnsi"/>
                <w:b w:val="0"/>
                <w:bCs w:val="0"/>
                <w:color w:val="000000"/>
                <w:sz w:val="22"/>
                <w:szCs w:val="22"/>
              </w:rPr>
              <w:t xml:space="preserve"> collection </w:t>
            </w:r>
            <w:r w:rsidR="007E030A" w:rsidRPr="009B4D88">
              <w:rPr>
                <w:rFonts w:asciiTheme="minorHAnsi" w:eastAsia="Calibri" w:hAnsiTheme="minorHAnsi" w:cstheme="minorHAnsi"/>
                <w:b w:val="0"/>
                <w:bCs w:val="0"/>
                <w:color w:val="000000"/>
                <w:sz w:val="22"/>
                <w:szCs w:val="22"/>
              </w:rPr>
              <w:t xml:space="preserve">of </w:t>
            </w:r>
            <w:r w:rsidR="000F1C20" w:rsidRPr="009B4D88">
              <w:rPr>
                <w:rFonts w:asciiTheme="minorHAnsi" w:eastAsia="Calibri" w:hAnsiTheme="minorHAnsi" w:cstheme="minorHAnsi"/>
                <w:b w:val="0"/>
                <w:bCs w:val="0"/>
                <w:color w:val="000000"/>
                <w:sz w:val="22"/>
                <w:szCs w:val="22"/>
              </w:rPr>
              <w:t xml:space="preserve">servers and/or domain names </w:t>
            </w:r>
            <w:r w:rsidR="00A6108A" w:rsidRPr="009B4D88">
              <w:rPr>
                <w:rFonts w:asciiTheme="minorHAnsi" w:eastAsia="Calibri" w:hAnsiTheme="minorHAnsi" w:cstheme="minorHAnsi"/>
                <w:b w:val="0"/>
                <w:bCs w:val="0"/>
                <w:color w:val="000000"/>
                <w:sz w:val="22"/>
                <w:szCs w:val="22"/>
              </w:rPr>
              <w:t xml:space="preserve">used to perpetrate crimes, either as </w:t>
            </w:r>
            <w:r w:rsidR="00E10E37" w:rsidRPr="009B4D88">
              <w:rPr>
                <w:rFonts w:asciiTheme="minorHAnsi" w:eastAsia="Calibri" w:hAnsiTheme="minorHAnsi" w:cstheme="minorHAnsi"/>
                <w:b w:val="0"/>
                <w:bCs w:val="0"/>
                <w:color w:val="000000"/>
                <w:sz w:val="22"/>
                <w:szCs w:val="22"/>
              </w:rPr>
              <w:t xml:space="preserve">phishing </w:t>
            </w:r>
            <w:r w:rsidR="00A6108A" w:rsidRPr="009B4D88">
              <w:rPr>
                <w:rFonts w:asciiTheme="minorHAnsi" w:eastAsia="Calibri" w:hAnsiTheme="minorHAnsi" w:cstheme="minorHAnsi"/>
                <w:b w:val="0"/>
                <w:bCs w:val="0"/>
                <w:color w:val="000000"/>
                <w:sz w:val="22"/>
                <w:szCs w:val="22"/>
              </w:rPr>
              <w:t>bait, malware delivery</w:t>
            </w:r>
            <w:r w:rsidR="00E10E37" w:rsidRPr="009B4D88">
              <w:rPr>
                <w:rFonts w:asciiTheme="minorHAnsi" w:eastAsia="Calibri" w:hAnsiTheme="minorHAnsi" w:cstheme="minorHAnsi"/>
                <w:b w:val="0"/>
                <w:bCs w:val="0"/>
                <w:color w:val="000000"/>
                <w:sz w:val="22"/>
                <w:szCs w:val="22"/>
              </w:rPr>
              <w:t xml:space="preserve"> systems, command and control nodes, or </w:t>
            </w:r>
            <w:r w:rsidR="00956ED8" w:rsidRPr="009B4D88">
              <w:rPr>
                <w:rFonts w:asciiTheme="minorHAnsi" w:eastAsia="Calibri" w:hAnsiTheme="minorHAnsi" w:cstheme="minorHAnsi"/>
                <w:b w:val="0"/>
                <w:bCs w:val="0"/>
                <w:color w:val="000000"/>
                <w:sz w:val="22"/>
                <w:szCs w:val="22"/>
              </w:rPr>
              <w:t>points of indirection.</w:t>
            </w:r>
            <w:r w:rsidR="00431AA7" w:rsidRPr="009B4D88">
              <w:rPr>
                <w:rFonts w:asciiTheme="minorHAnsi" w:eastAsia="Calibri" w:hAnsiTheme="minorHAnsi" w:cstheme="minorHAnsi"/>
                <w:b w:val="0"/>
                <w:bCs w:val="0"/>
                <w:color w:val="000000"/>
                <w:sz w:val="22"/>
                <w:szCs w:val="22"/>
              </w:rPr>
              <w:t xml:space="preserve"> Criminal infrastructure may consist </w:t>
            </w:r>
            <w:r w:rsidR="009D3CF1" w:rsidRPr="009B4D88">
              <w:rPr>
                <w:rFonts w:asciiTheme="minorHAnsi" w:eastAsia="Calibri" w:hAnsiTheme="minorHAnsi" w:cstheme="minorHAnsi"/>
                <w:b w:val="0"/>
                <w:bCs w:val="0"/>
                <w:color w:val="000000"/>
                <w:sz w:val="22"/>
                <w:szCs w:val="22"/>
              </w:rPr>
              <w:t>of elements hacked or stolen from victims</w:t>
            </w:r>
            <w:r w:rsidR="005B101F" w:rsidRPr="009B4D88">
              <w:rPr>
                <w:rFonts w:asciiTheme="minorHAnsi" w:eastAsia="Calibri" w:hAnsiTheme="minorHAnsi" w:cstheme="minorHAnsi"/>
                <w:b w:val="0"/>
                <w:bCs w:val="0"/>
                <w:color w:val="000000"/>
                <w:sz w:val="22"/>
                <w:szCs w:val="22"/>
              </w:rPr>
              <w:t xml:space="preserve"> and now under the control of the </w:t>
            </w:r>
            <w:r w:rsidR="008C1A95" w:rsidRPr="009B4D88">
              <w:rPr>
                <w:rFonts w:asciiTheme="minorHAnsi" w:eastAsia="Calibri" w:hAnsiTheme="minorHAnsi" w:cstheme="minorHAnsi"/>
                <w:b w:val="0"/>
                <w:bCs w:val="0"/>
                <w:color w:val="000000"/>
                <w:sz w:val="22"/>
                <w:szCs w:val="22"/>
              </w:rPr>
              <w:t>miscreant or</w:t>
            </w:r>
            <w:r w:rsidR="009D3CF1" w:rsidRPr="009B4D88">
              <w:rPr>
                <w:rFonts w:asciiTheme="minorHAnsi" w:eastAsia="Calibri" w:hAnsiTheme="minorHAnsi" w:cstheme="minorHAnsi"/>
                <w:b w:val="0"/>
                <w:bCs w:val="0"/>
                <w:color w:val="000000"/>
                <w:sz w:val="22"/>
                <w:szCs w:val="22"/>
              </w:rPr>
              <w:t xml:space="preserve"> may </w:t>
            </w:r>
            <w:r w:rsidR="00556CF2" w:rsidRPr="009B4D88">
              <w:rPr>
                <w:rFonts w:asciiTheme="minorHAnsi" w:eastAsia="Calibri" w:hAnsiTheme="minorHAnsi" w:cstheme="minorHAnsi"/>
                <w:b w:val="0"/>
                <w:bCs w:val="0"/>
                <w:color w:val="000000"/>
                <w:sz w:val="22"/>
                <w:szCs w:val="22"/>
              </w:rPr>
              <w:t>have been acquired lawfully by the miscreant</w:t>
            </w:r>
            <w:r w:rsidR="005B101F" w:rsidRPr="009B4D88">
              <w:rPr>
                <w:rFonts w:asciiTheme="minorHAnsi" w:eastAsia="Calibri" w:hAnsiTheme="minorHAnsi" w:cstheme="minorHAnsi"/>
                <w:b w:val="0"/>
                <w:bCs w:val="0"/>
                <w:color w:val="000000"/>
                <w:sz w:val="22"/>
                <w:szCs w:val="22"/>
              </w:rPr>
              <w:t xml:space="preserve"> and put to bad use.</w:t>
            </w:r>
          </w:p>
        </w:tc>
      </w:tr>
    </w:tbl>
    <w:p w14:paraId="4A9401C8" w14:textId="77777777" w:rsidR="00E34AE6" w:rsidRPr="009B4D88" w:rsidRDefault="00E34AE6">
      <w:pPr>
        <w:spacing w:before="40" w:after="40"/>
        <w:rPr>
          <w:rFonts w:asciiTheme="minorHAnsi" w:hAnsiTheme="minorHAnsi" w:cstheme="minorHAnsi"/>
          <w:b/>
          <w:color w:val="FFFFFF"/>
          <w:sz w:val="22"/>
          <w:szCs w:val="22"/>
        </w:rPr>
        <w:sectPr w:rsidR="00E34AE6" w:rsidRPr="009B4D88">
          <w:type w:val="continuous"/>
          <w:pgSz w:w="12240" w:h="15840"/>
          <w:pgMar w:top="1440" w:right="1440" w:bottom="1440" w:left="1440" w:header="720" w:footer="720" w:gutter="0"/>
          <w:cols w:space="720"/>
        </w:sect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3727AE" w:rsidRPr="009B4D88" w14:paraId="2FEDBEEB" w14:textId="77777777" w:rsidTr="003727A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Borders>
              <w:top w:val="single" w:sz="4" w:space="0" w:color="auto"/>
              <w:left w:val="single" w:sz="4" w:space="0" w:color="auto"/>
              <w:bottom w:val="single" w:sz="4" w:space="0" w:color="auto"/>
              <w:right w:val="single" w:sz="4" w:space="0" w:color="auto"/>
            </w:tcBorders>
          </w:tcPr>
          <w:p w14:paraId="3D8ACC47" w14:textId="609043D1" w:rsidR="00656860" w:rsidRPr="009B4D88" w:rsidRDefault="00AC6D8F" w:rsidP="00656860">
            <w:pPr>
              <w:spacing w:before="40" w:after="40"/>
              <w:rPr>
                <w:rFonts w:asciiTheme="minorHAnsi" w:eastAsia="Calibri" w:hAnsiTheme="minorHAnsi" w:cstheme="minorHAnsi"/>
                <w:b w:val="0"/>
                <w:sz w:val="22"/>
                <w:szCs w:val="22"/>
              </w:rPr>
            </w:pPr>
            <w:r w:rsidRPr="009B4D88">
              <w:rPr>
                <w:rFonts w:asciiTheme="minorHAnsi" w:eastAsia="Calibri" w:hAnsiTheme="minorHAnsi" w:cstheme="minorHAnsi"/>
                <w:sz w:val="22"/>
                <w:szCs w:val="22"/>
              </w:rPr>
              <w:t>Use Case</w:t>
            </w:r>
            <w:r w:rsidR="008F228F" w:rsidRPr="009B4D88">
              <w:rPr>
                <w:rFonts w:asciiTheme="minorHAnsi" w:eastAsia="Calibri" w:hAnsiTheme="minorHAnsi" w:cstheme="minorHAnsi"/>
                <w:sz w:val="22"/>
                <w:szCs w:val="22"/>
              </w:rPr>
              <w:t xml:space="preserve">: </w:t>
            </w:r>
            <w:r w:rsidR="00656860" w:rsidRPr="009B4D88">
              <w:rPr>
                <w:rFonts w:asciiTheme="minorHAnsi" w:eastAsia="Calibri" w:hAnsiTheme="minorHAnsi" w:cstheme="minorHAnsi"/>
                <w:sz w:val="22"/>
                <w:szCs w:val="22"/>
              </w:rPr>
              <w:t>I</w:t>
            </w:r>
            <w:r w:rsidR="00FD3955" w:rsidRPr="009B4D88">
              <w:rPr>
                <w:rFonts w:asciiTheme="minorHAnsi" w:eastAsia="Calibri" w:hAnsiTheme="minorHAnsi" w:cstheme="minorHAnsi"/>
                <w:sz w:val="22"/>
                <w:szCs w:val="22"/>
              </w:rPr>
              <w:t>nitial i</w:t>
            </w:r>
            <w:r w:rsidR="00656860" w:rsidRPr="009B4D88">
              <w:rPr>
                <w:rFonts w:asciiTheme="minorHAnsi" w:eastAsia="Calibri" w:hAnsiTheme="minorHAnsi" w:cstheme="minorHAnsi"/>
                <w:sz w:val="22"/>
                <w:szCs w:val="22"/>
              </w:rPr>
              <w:t xml:space="preserve">nvestigation of criminal activity against a victim </w:t>
            </w:r>
            <w:r w:rsidR="00D93B40" w:rsidRPr="009B4D88">
              <w:rPr>
                <w:rFonts w:asciiTheme="minorHAnsi" w:eastAsia="Calibri" w:hAnsiTheme="minorHAnsi" w:cstheme="minorHAnsi"/>
                <w:sz w:val="22"/>
                <w:szCs w:val="22"/>
              </w:rPr>
              <w:t xml:space="preserve">and/or secondary victim </w:t>
            </w:r>
            <w:r w:rsidR="00F31444" w:rsidRPr="009B4D88">
              <w:rPr>
                <w:rFonts w:asciiTheme="minorHAnsi" w:eastAsia="Calibri" w:hAnsiTheme="minorHAnsi" w:cstheme="minorHAnsi"/>
                <w:sz w:val="22"/>
                <w:szCs w:val="22"/>
              </w:rPr>
              <w:t xml:space="preserve">where domain names are </w:t>
            </w:r>
            <w:r w:rsidR="005537E8" w:rsidRPr="009B4D88">
              <w:rPr>
                <w:rFonts w:asciiTheme="minorHAnsi" w:eastAsia="Calibri" w:hAnsiTheme="minorHAnsi" w:cstheme="minorHAnsi"/>
                <w:sz w:val="22"/>
                <w:szCs w:val="22"/>
              </w:rPr>
              <w:t>used in the commission of the crime</w:t>
            </w:r>
            <w:r w:rsidR="00FD3955" w:rsidRPr="009B4D88">
              <w:rPr>
                <w:rFonts w:asciiTheme="minorHAnsi" w:eastAsia="Calibri" w:hAnsiTheme="minorHAnsi" w:cstheme="minorHAnsi"/>
                <w:sz w:val="22"/>
                <w:szCs w:val="22"/>
              </w:rPr>
              <w:t xml:space="preserve"> (part 1</w:t>
            </w:r>
            <w:r w:rsidR="00651343" w:rsidRPr="009B4D88">
              <w:rPr>
                <w:rFonts w:asciiTheme="minorHAnsi" w:eastAsia="Calibri" w:hAnsiTheme="minorHAnsi" w:cstheme="minorHAnsi"/>
                <w:sz w:val="22"/>
                <w:szCs w:val="22"/>
              </w:rPr>
              <w:t xml:space="preserve"> of 2</w:t>
            </w:r>
            <w:r w:rsidR="00FD3955" w:rsidRPr="009B4D88">
              <w:rPr>
                <w:rFonts w:asciiTheme="minorHAnsi" w:eastAsia="Calibri" w:hAnsiTheme="minorHAnsi" w:cstheme="minorHAnsi"/>
                <w:sz w:val="22"/>
                <w:szCs w:val="22"/>
              </w:rPr>
              <w:t>)</w:t>
            </w:r>
          </w:p>
          <w:p w14:paraId="00000002" w14:textId="7F4C1CF6" w:rsidR="008A5D83" w:rsidRPr="009B4D88" w:rsidRDefault="008A5D83">
            <w:pPr>
              <w:spacing w:before="40" w:after="40"/>
              <w:rPr>
                <w:rFonts w:asciiTheme="minorHAnsi" w:eastAsia="Calibri" w:hAnsiTheme="minorHAnsi" w:cstheme="minorHAnsi"/>
                <w:sz w:val="22"/>
                <w:szCs w:val="22"/>
              </w:rPr>
            </w:pPr>
          </w:p>
        </w:tc>
      </w:tr>
      <w:tr w:rsidR="008A5D83" w:rsidRPr="009B4D88" w14:paraId="361C2524" w14:textId="77777777" w:rsidTr="003727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Borders>
              <w:top w:val="single" w:sz="4" w:space="0" w:color="auto"/>
            </w:tcBorders>
          </w:tcPr>
          <w:p w14:paraId="00000004" w14:textId="725AA302" w:rsidR="008A5D83" w:rsidRPr="009B4D88" w:rsidRDefault="00AC6D8F" w:rsidP="00E34AE6">
            <w:pPr>
              <w:pStyle w:val="ListParagraph"/>
              <w:numPr>
                <w:ilvl w:val="0"/>
                <w:numId w:val="29"/>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color w:val="000000"/>
                <w:sz w:val="22"/>
                <w:szCs w:val="22"/>
              </w:rPr>
              <w:t xml:space="preserve">User Groups (Requestors) / User characteristics </w:t>
            </w:r>
          </w:p>
        </w:tc>
        <w:tc>
          <w:tcPr>
            <w:tcW w:w="6120" w:type="dxa"/>
            <w:tcBorders>
              <w:top w:val="single" w:sz="4" w:space="0" w:color="auto"/>
            </w:tcBorders>
          </w:tcPr>
          <w:p w14:paraId="00000006" w14:textId="2C90B6A1" w:rsidR="008A5D83" w:rsidRPr="009B4D88" w:rsidRDefault="00D5662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9B4D88">
              <w:rPr>
                <w:rFonts w:asciiTheme="minorHAnsi" w:hAnsiTheme="minorHAnsi" w:cstheme="minorHAnsi"/>
                <w:b/>
                <w:sz w:val="22"/>
                <w:szCs w:val="22"/>
              </w:rPr>
              <w:t>Digital crime investigators (corporate or academic)</w:t>
            </w:r>
            <w:r w:rsidR="005B101F" w:rsidRPr="009B4D88">
              <w:rPr>
                <w:rFonts w:asciiTheme="minorHAnsi" w:hAnsiTheme="minorHAnsi" w:cstheme="minorHAnsi"/>
                <w:b/>
                <w:sz w:val="22"/>
                <w:szCs w:val="22"/>
              </w:rPr>
              <w:t>.</w:t>
            </w:r>
            <w:r w:rsidR="00DE7ACD" w:rsidRPr="009B4D88">
              <w:rPr>
                <w:rFonts w:asciiTheme="minorHAnsi" w:hAnsiTheme="minorHAnsi" w:cstheme="minorHAnsi"/>
                <w:b/>
                <w:sz w:val="22"/>
                <w:szCs w:val="22"/>
              </w:rPr>
              <w:t xml:space="preserve">  </w:t>
            </w:r>
            <w:r w:rsidR="003E5D88" w:rsidRPr="009B4D88">
              <w:rPr>
                <w:rFonts w:asciiTheme="minorHAnsi" w:hAnsiTheme="minorHAnsi" w:cstheme="minorHAnsi"/>
                <w:b/>
                <w:sz w:val="22"/>
                <w:szCs w:val="22"/>
              </w:rPr>
              <w:t>Most</w:t>
            </w:r>
            <w:r w:rsidR="00E67066" w:rsidRPr="009B4D88">
              <w:rPr>
                <w:rFonts w:asciiTheme="minorHAnsi" w:hAnsiTheme="minorHAnsi" w:cstheme="minorHAnsi"/>
                <w:b/>
                <w:sz w:val="22"/>
                <w:szCs w:val="22"/>
              </w:rPr>
              <w:t xml:space="preserve"> </w:t>
            </w:r>
            <w:r w:rsidR="00DE7ACD" w:rsidRPr="009B4D88">
              <w:rPr>
                <w:rFonts w:asciiTheme="minorHAnsi" w:hAnsiTheme="minorHAnsi" w:cstheme="minorHAnsi"/>
                <w:b/>
                <w:sz w:val="22"/>
                <w:szCs w:val="22"/>
              </w:rPr>
              <w:t>investigations of this type start with corporate or academic investigators</w:t>
            </w:r>
            <w:r w:rsidR="00FD4D7A" w:rsidRPr="009B4D88">
              <w:rPr>
                <w:rFonts w:asciiTheme="minorHAnsi" w:hAnsiTheme="minorHAnsi" w:cstheme="minorHAnsi"/>
                <w:b/>
                <w:sz w:val="22"/>
                <w:szCs w:val="22"/>
              </w:rPr>
              <w:t>. LEA relies heavily on these researche</w:t>
            </w:r>
            <w:r w:rsidR="00E67066" w:rsidRPr="009B4D88">
              <w:rPr>
                <w:rFonts w:asciiTheme="minorHAnsi" w:hAnsiTheme="minorHAnsi" w:cstheme="minorHAnsi"/>
                <w:b/>
                <w:sz w:val="22"/>
                <w:szCs w:val="22"/>
              </w:rPr>
              <w:t>rs.</w:t>
            </w:r>
          </w:p>
        </w:tc>
      </w:tr>
      <w:tr w:rsidR="008A5D83" w:rsidRPr="009B4D88" w14:paraId="5E4931F5"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7" w14:textId="3F2F918A" w:rsidR="008A5D83" w:rsidRPr="009B4D88" w:rsidRDefault="00AC6D8F" w:rsidP="00E34AE6">
            <w:pPr>
              <w:pStyle w:val="ListParagraph"/>
              <w:numPr>
                <w:ilvl w:val="0"/>
                <w:numId w:val="29"/>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color w:val="000000"/>
                <w:sz w:val="22"/>
                <w:szCs w:val="22"/>
              </w:rPr>
              <w:t xml:space="preserve">Why is non-public registration data </w:t>
            </w:r>
            <w:r w:rsidR="000C7DAB" w:rsidRPr="009B4D88">
              <w:rPr>
                <w:rFonts w:asciiTheme="minorHAnsi" w:eastAsia="Calibri" w:hAnsiTheme="minorHAnsi" w:cstheme="minorHAnsi"/>
                <w:b w:val="0"/>
                <w:color w:val="000000"/>
                <w:sz w:val="22"/>
                <w:szCs w:val="22"/>
              </w:rPr>
              <w:t>necessary</w:t>
            </w:r>
            <w:r w:rsidRPr="009B4D88">
              <w:rPr>
                <w:rFonts w:asciiTheme="minorHAnsi" w:eastAsia="Calibri" w:hAnsiTheme="minorHAnsi" w:cstheme="minorHAnsi"/>
                <w:b w:val="0"/>
                <w:color w:val="000000"/>
                <w:sz w:val="22"/>
                <w:szCs w:val="22"/>
              </w:rPr>
              <w:t>?</w:t>
            </w:r>
          </w:p>
        </w:tc>
        <w:tc>
          <w:tcPr>
            <w:tcW w:w="6120" w:type="dxa"/>
          </w:tcPr>
          <w:p w14:paraId="00000008" w14:textId="432C56D6" w:rsidR="008A5D83" w:rsidRPr="009B4D88" w:rsidRDefault="003563C1" w:rsidP="003563C1">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9B4D88">
              <w:rPr>
                <w:rFonts w:asciiTheme="minorHAnsi" w:eastAsia="Calibri" w:hAnsiTheme="minorHAnsi" w:cstheme="minorHAnsi"/>
                <w:bCs/>
                <w:sz w:val="22"/>
                <w:szCs w:val="22"/>
              </w:rPr>
              <w:t xml:space="preserve">Non-public registration data is requested in order to ascertain if the domain belongs to a secondary victim of a crime or is part of criminal infrastructure involved in the crime and </w:t>
            </w:r>
            <w:r w:rsidR="00B1201D" w:rsidRPr="009B4D88">
              <w:rPr>
                <w:rFonts w:asciiTheme="minorHAnsi" w:eastAsia="Calibri" w:hAnsiTheme="minorHAnsi" w:cstheme="minorHAnsi"/>
                <w:bCs/>
                <w:sz w:val="22"/>
                <w:szCs w:val="22"/>
              </w:rPr>
              <w:t xml:space="preserve">to </w:t>
            </w:r>
            <w:r w:rsidRPr="009B4D88">
              <w:rPr>
                <w:rFonts w:asciiTheme="minorHAnsi" w:eastAsia="Calibri" w:hAnsiTheme="minorHAnsi" w:cstheme="minorHAnsi"/>
                <w:bCs/>
                <w:sz w:val="22"/>
                <w:szCs w:val="22"/>
              </w:rPr>
              <w:t>identify further investigatory requirements.</w:t>
            </w:r>
          </w:p>
        </w:tc>
      </w:tr>
      <w:tr w:rsidR="008A5D83" w:rsidRPr="009B4D88" w14:paraId="6E33818B"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3ECAA8" w14:textId="5FA379C7" w:rsidR="00CB020D" w:rsidRPr="009B4D88" w:rsidRDefault="00296201" w:rsidP="00E34AE6">
            <w:pPr>
              <w:pStyle w:val="ListParagraph"/>
              <w:numPr>
                <w:ilvl w:val="0"/>
                <w:numId w:val="29"/>
              </w:numPr>
              <w:spacing w:before="40" w:after="40"/>
              <w:rPr>
                <w:rFonts w:asciiTheme="minorHAnsi" w:hAnsiTheme="minorHAnsi" w:cstheme="minorHAnsi"/>
                <w:sz w:val="22"/>
                <w:szCs w:val="22"/>
              </w:rPr>
            </w:pPr>
            <w:r w:rsidRPr="009B4D88">
              <w:rPr>
                <w:rFonts w:asciiTheme="minorHAnsi" w:eastAsia="Calibri" w:hAnsiTheme="minorHAnsi" w:cstheme="minorHAnsi"/>
                <w:b w:val="0"/>
                <w:color w:val="000000"/>
                <w:sz w:val="22"/>
                <w:szCs w:val="22"/>
              </w:rPr>
              <w:t>D</w:t>
            </w:r>
            <w:r w:rsidR="00A34159" w:rsidRPr="009B4D88">
              <w:rPr>
                <w:rFonts w:asciiTheme="minorHAnsi" w:eastAsia="Calibri" w:hAnsiTheme="minorHAnsi" w:cstheme="minorHAnsi"/>
                <w:b w:val="0"/>
                <w:color w:val="000000"/>
                <w:sz w:val="22"/>
                <w:szCs w:val="22"/>
              </w:rPr>
              <w:t xml:space="preserve">ata </w:t>
            </w:r>
            <w:r w:rsidR="00CB020D" w:rsidRPr="009B4D88">
              <w:rPr>
                <w:rFonts w:asciiTheme="minorHAnsi" w:eastAsia="Calibri" w:hAnsiTheme="minorHAnsi" w:cstheme="minorHAnsi"/>
                <w:b w:val="0"/>
                <w:color w:val="000000"/>
                <w:sz w:val="22"/>
                <w:szCs w:val="22"/>
              </w:rPr>
              <w:t>elements</w:t>
            </w:r>
            <w:r w:rsidR="00A34159" w:rsidRPr="009B4D88">
              <w:rPr>
                <w:rFonts w:asciiTheme="minorHAnsi" w:eastAsia="Calibri" w:hAnsiTheme="minorHAnsi" w:cstheme="minorHAnsi"/>
                <w:b w:val="0"/>
                <w:color w:val="000000"/>
                <w:sz w:val="22"/>
                <w:szCs w:val="22"/>
              </w:rPr>
              <w:t xml:space="preserve"> that may </w:t>
            </w:r>
            <w:r w:rsidRPr="009B4D88">
              <w:rPr>
                <w:rFonts w:asciiTheme="minorHAnsi" w:eastAsia="Calibri" w:hAnsiTheme="minorHAnsi" w:cstheme="minorHAnsi"/>
                <w:b w:val="0"/>
                <w:color w:val="000000"/>
                <w:sz w:val="22"/>
                <w:szCs w:val="22"/>
              </w:rPr>
              <w:t xml:space="preserve">typically </w:t>
            </w:r>
            <w:r w:rsidR="00A34159" w:rsidRPr="009B4D88">
              <w:rPr>
                <w:rFonts w:asciiTheme="minorHAnsi" w:eastAsia="Calibri" w:hAnsiTheme="minorHAnsi" w:cstheme="minorHAnsi"/>
                <w:b w:val="0"/>
                <w:color w:val="000000"/>
                <w:sz w:val="22"/>
                <w:szCs w:val="22"/>
              </w:rPr>
              <w:t>be disclosed</w:t>
            </w:r>
            <w:r w:rsidR="0065279E" w:rsidRPr="009B4D88">
              <w:rPr>
                <w:rStyle w:val="FootnoteReference"/>
                <w:rFonts w:asciiTheme="minorHAnsi" w:eastAsia="Calibri" w:hAnsiTheme="minorHAnsi" w:cstheme="minorHAnsi"/>
                <w:b w:val="0"/>
                <w:color w:val="000000"/>
                <w:sz w:val="22"/>
                <w:szCs w:val="22"/>
              </w:rPr>
              <w:footnoteReference w:id="1"/>
            </w:r>
            <w:r w:rsidR="00CB020D" w:rsidRPr="009B4D88">
              <w:rPr>
                <w:rFonts w:asciiTheme="minorHAnsi" w:eastAsia="Calibri" w:hAnsiTheme="minorHAnsi" w:cstheme="minorHAnsi"/>
                <w:b w:val="0"/>
                <w:color w:val="000000"/>
                <w:sz w:val="22"/>
                <w:szCs w:val="22"/>
              </w:rPr>
              <w:t xml:space="preserve"> </w:t>
            </w:r>
          </w:p>
          <w:p w14:paraId="00000009" w14:textId="4BA82275" w:rsidR="008A5D83" w:rsidRPr="009B4D88" w:rsidRDefault="008A5D83">
            <w:pPr>
              <w:spacing w:before="40" w:after="40"/>
              <w:rPr>
                <w:rFonts w:asciiTheme="minorHAnsi" w:eastAsia="Calibri" w:hAnsiTheme="minorHAnsi" w:cstheme="minorHAnsi"/>
                <w:color w:val="000000"/>
                <w:sz w:val="22"/>
                <w:szCs w:val="22"/>
              </w:rPr>
            </w:pPr>
          </w:p>
        </w:tc>
        <w:tc>
          <w:tcPr>
            <w:tcW w:w="6120" w:type="dxa"/>
          </w:tcPr>
          <w:p w14:paraId="32A55579" w14:textId="71659471" w:rsidR="00FD63B3" w:rsidRPr="009B4D88" w:rsidRDefault="007A40A2" w:rsidP="00FD63B3">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If there is reason to believe that the domain name owner is a secondary victim (i.e. a server </w:t>
            </w:r>
            <w:r w:rsidR="00673553" w:rsidRPr="009B4D88">
              <w:rPr>
                <w:rFonts w:asciiTheme="minorHAnsi" w:eastAsia="Calibri" w:hAnsiTheme="minorHAnsi" w:cstheme="minorHAnsi"/>
                <w:sz w:val="22"/>
                <w:szCs w:val="22"/>
              </w:rPr>
              <w:t xml:space="preserve">hosted on that domain name has been compromised in order to </w:t>
            </w:r>
            <w:r w:rsidR="00EC5235" w:rsidRPr="009B4D88">
              <w:rPr>
                <w:rFonts w:asciiTheme="minorHAnsi" w:eastAsia="Calibri" w:hAnsiTheme="minorHAnsi" w:cstheme="minorHAnsi"/>
                <w:sz w:val="22"/>
                <w:szCs w:val="22"/>
              </w:rPr>
              <w:t xml:space="preserve">steal from primary victim(s), the </w:t>
            </w:r>
            <w:r w:rsidR="00555CED" w:rsidRPr="009B4D88">
              <w:rPr>
                <w:rFonts w:asciiTheme="minorHAnsi" w:eastAsia="Calibri" w:hAnsiTheme="minorHAnsi" w:cstheme="minorHAnsi"/>
                <w:sz w:val="22"/>
                <w:szCs w:val="22"/>
              </w:rPr>
              <w:t xml:space="preserve">phone and email </w:t>
            </w:r>
            <w:r w:rsidR="00EC5235" w:rsidRPr="009B4D88">
              <w:rPr>
                <w:rFonts w:asciiTheme="minorHAnsi" w:eastAsia="Calibri" w:hAnsiTheme="minorHAnsi" w:cstheme="minorHAnsi"/>
                <w:sz w:val="22"/>
                <w:szCs w:val="22"/>
              </w:rPr>
              <w:t xml:space="preserve">contact </w:t>
            </w:r>
            <w:r w:rsidR="00F06EF4" w:rsidRPr="009B4D88">
              <w:rPr>
                <w:rFonts w:asciiTheme="minorHAnsi" w:eastAsia="Calibri" w:hAnsiTheme="minorHAnsi" w:cstheme="minorHAnsi"/>
                <w:sz w:val="22"/>
                <w:szCs w:val="22"/>
              </w:rPr>
              <w:t xml:space="preserve">elements for both registrant and tech contact should be disclosed </w:t>
            </w:r>
            <w:r w:rsidR="002346E8" w:rsidRPr="009B4D88">
              <w:rPr>
                <w:rFonts w:asciiTheme="minorHAnsi" w:eastAsia="Calibri" w:hAnsiTheme="minorHAnsi" w:cstheme="minorHAnsi"/>
                <w:sz w:val="22"/>
                <w:szCs w:val="22"/>
              </w:rPr>
              <w:t>to facilitate immediate outreach to the secondary victim</w:t>
            </w:r>
            <w:r w:rsidR="00CF6010" w:rsidRPr="009B4D88">
              <w:rPr>
                <w:rFonts w:asciiTheme="minorHAnsi" w:eastAsia="Calibri" w:hAnsiTheme="minorHAnsi" w:cstheme="minorHAnsi"/>
                <w:sz w:val="22"/>
                <w:szCs w:val="22"/>
              </w:rPr>
              <w:t>.</w:t>
            </w:r>
          </w:p>
          <w:p w14:paraId="55F79E81" w14:textId="769266F7" w:rsidR="00F06EF4" w:rsidRPr="009B4D88" w:rsidRDefault="002346E8" w:rsidP="00E34AE6">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If </w:t>
            </w:r>
            <w:r w:rsidR="00A44D4B" w:rsidRPr="009B4D88">
              <w:rPr>
                <w:rFonts w:asciiTheme="minorHAnsi" w:eastAsia="Calibri" w:hAnsiTheme="minorHAnsi" w:cstheme="minorHAnsi"/>
                <w:sz w:val="22"/>
                <w:szCs w:val="22"/>
              </w:rPr>
              <w:t>the domain name owner is indeed a secondary victim, it is</w:t>
            </w:r>
            <w:r w:rsidR="00CF6010" w:rsidRPr="009B4D88">
              <w:rPr>
                <w:rFonts w:asciiTheme="minorHAnsi" w:eastAsia="Calibri" w:hAnsiTheme="minorHAnsi" w:cstheme="minorHAnsi"/>
                <w:sz w:val="22"/>
                <w:szCs w:val="22"/>
              </w:rPr>
              <w:t xml:space="preserve"> likely that they will give consent to disclose all other non-public data to assist in the investigation.</w:t>
            </w:r>
            <w:r w:rsidR="00D73DD0" w:rsidRPr="009B4D88">
              <w:rPr>
                <w:rFonts w:asciiTheme="minorHAnsi" w:eastAsia="Calibri" w:hAnsiTheme="minorHAnsi" w:cstheme="minorHAnsi"/>
                <w:sz w:val="22"/>
                <w:szCs w:val="22"/>
              </w:rPr>
              <w:t xml:space="preserve">  </w:t>
            </w:r>
          </w:p>
          <w:p w14:paraId="0000000D" w14:textId="0ED3CB0C" w:rsidR="00FD63B3" w:rsidRPr="009B4D88" w:rsidRDefault="00FD63B3" w:rsidP="00E34AE6">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If there is </w:t>
            </w:r>
            <w:r w:rsidR="00E97A0C" w:rsidRPr="009B4D88">
              <w:rPr>
                <w:rFonts w:asciiTheme="minorHAnsi" w:eastAsia="Calibri" w:hAnsiTheme="minorHAnsi" w:cstheme="minorHAnsi"/>
                <w:sz w:val="22"/>
                <w:szCs w:val="22"/>
              </w:rPr>
              <w:t xml:space="preserve">reason to believe that the domain name owner is not a secondary </w:t>
            </w:r>
            <w:r w:rsidR="001509E8" w:rsidRPr="009B4D88">
              <w:rPr>
                <w:rFonts w:asciiTheme="minorHAnsi" w:eastAsia="Calibri" w:hAnsiTheme="minorHAnsi" w:cstheme="minorHAnsi"/>
                <w:sz w:val="22"/>
                <w:szCs w:val="22"/>
              </w:rPr>
              <w:t>victim but</w:t>
            </w:r>
            <w:r w:rsidR="00E97A0C" w:rsidRPr="009B4D88">
              <w:rPr>
                <w:rFonts w:asciiTheme="minorHAnsi" w:eastAsia="Calibri" w:hAnsiTheme="minorHAnsi" w:cstheme="minorHAnsi"/>
                <w:sz w:val="22"/>
                <w:szCs w:val="22"/>
              </w:rPr>
              <w:t xml:space="preserve"> is in fact a perpetrator against the primary victims, the full set of nonpublic data will be requested to facilitate further investigation</w:t>
            </w:r>
            <w:r w:rsidR="00850762" w:rsidRPr="009B4D88">
              <w:rPr>
                <w:rFonts w:asciiTheme="minorHAnsi" w:eastAsia="Calibri" w:hAnsiTheme="minorHAnsi" w:cstheme="minorHAnsi"/>
                <w:sz w:val="22"/>
                <w:szCs w:val="22"/>
              </w:rPr>
              <w:t xml:space="preserve"> and identification</w:t>
            </w:r>
            <w:r w:rsidR="00E97A0C" w:rsidRPr="009B4D88">
              <w:rPr>
                <w:rFonts w:asciiTheme="minorHAnsi" w:eastAsia="Calibri" w:hAnsiTheme="minorHAnsi" w:cstheme="minorHAnsi"/>
                <w:sz w:val="22"/>
                <w:szCs w:val="22"/>
              </w:rPr>
              <w:t>.</w:t>
            </w:r>
          </w:p>
        </w:tc>
      </w:tr>
      <w:tr w:rsidR="008A5D83" w:rsidRPr="009B4D88" w14:paraId="79EFE9A3"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000000E" w14:textId="6810FE10" w:rsidR="008A5D83" w:rsidRPr="009B4D88" w:rsidRDefault="00AC6D8F" w:rsidP="00E34AE6">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t>Lawful basis of entity disclosing non-public registration data to the requestor</w:t>
            </w:r>
          </w:p>
        </w:tc>
        <w:tc>
          <w:tcPr>
            <w:tcW w:w="6120" w:type="dxa"/>
          </w:tcPr>
          <w:p w14:paraId="52193B02" w14:textId="07F95A2F" w:rsidR="00766E8C" w:rsidRPr="009B4D88" w:rsidRDefault="00766E8C" w:rsidP="00E34AE6">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6(1)(a)</w:t>
            </w:r>
          </w:p>
          <w:p w14:paraId="04057BB8" w14:textId="78716C8C" w:rsidR="00766E8C" w:rsidRPr="009B4D88" w:rsidRDefault="00766E8C" w:rsidP="00E34AE6">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6(1)(b)</w:t>
            </w:r>
          </w:p>
          <w:p w14:paraId="00000011" w14:textId="365D2623" w:rsidR="000B06C1"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6(1)(f)</w:t>
            </w:r>
          </w:p>
        </w:tc>
      </w:tr>
      <w:tr w:rsidR="00766E8C" w:rsidRPr="009B4D88" w14:paraId="76D9314F"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EC50BAC" w14:textId="5A068DCE" w:rsidR="00766E8C" w:rsidRPr="009B4D88" w:rsidRDefault="00766E8C" w:rsidP="00766E8C">
            <w:pPr>
              <w:pStyle w:val="ListParagraph"/>
              <w:numPr>
                <w:ilvl w:val="0"/>
                <w:numId w:val="29"/>
              </w:numPr>
              <w:spacing w:before="40" w:after="40"/>
              <w:rPr>
                <w:rFonts w:asciiTheme="minorHAnsi" w:hAnsiTheme="minorHAnsi" w:cstheme="minorHAnsi"/>
                <w:sz w:val="22"/>
                <w:szCs w:val="22"/>
              </w:rPr>
            </w:pPr>
            <w:r w:rsidRPr="009B4D88">
              <w:rPr>
                <w:rFonts w:asciiTheme="minorHAnsi" w:eastAsia="Calibri" w:hAnsiTheme="minorHAnsi" w:cstheme="minorHAnsi"/>
                <w:b w:val="0"/>
                <w:color w:val="000000"/>
                <w:sz w:val="22"/>
                <w:szCs w:val="22"/>
              </w:rPr>
              <w:lastRenderedPageBreak/>
              <w:t>Supporting info to determine lawful basis for the requestor</w:t>
            </w:r>
          </w:p>
        </w:tc>
        <w:tc>
          <w:tcPr>
            <w:tcW w:w="6120" w:type="dxa"/>
          </w:tcPr>
          <w:p w14:paraId="33C33AC5" w14:textId="77777777" w:rsidR="00766E8C" w:rsidRPr="009B4D88" w:rsidRDefault="00766E8C" w:rsidP="009B4D8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Although an argument might be made that both the primary and secondary victims are subject to threat to their vital interests, the lack of threat of physical harm to the data subject weakens this argument. Instead, we considered 6(1)(a) or 6(1)(b) in cases where the data subject or primary victim are customers or business partners of the researching entity. </w:t>
            </w:r>
          </w:p>
          <w:p w14:paraId="63B26B42" w14:textId="714D5F38" w:rsidR="00766E8C" w:rsidRPr="009B4D88" w:rsidRDefault="00766E8C" w:rsidP="009B4D88">
            <w:pPr>
              <w:pStyle w:val="ListParagraph"/>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Examples of this would be student</w:t>
            </w:r>
            <w:r w:rsidR="0031040C" w:rsidRPr="009B4D88">
              <w:rPr>
                <w:rFonts w:asciiTheme="minorHAnsi" w:eastAsia="Calibri" w:hAnsiTheme="minorHAnsi" w:cstheme="minorHAnsi"/>
                <w:sz w:val="22"/>
                <w:szCs w:val="22"/>
              </w:rPr>
              <w:t xml:space="preserve"> victim</w:t>
            </w:r>
            <w:r w:rsidRPr="009B4D88">
              <w:rPr>
                <w:rFonts w:asciiTheme="minorHAnsi" w:eastAsia="Calibri" w:hAnsiTheme="minorHAnsi" w:cstheme="minorHAnsi"/>
                <w:sz w:val="22"/>
                <w:szCs w:val="22"/>
              </w:rPr>
              <w:t xml:space="preserve">s at an investigating university or </w:t>
            </w:r>
            <w:r w:rsidR="00601164" w:rsidRPr="009B4D88">
              <w:rPr>
                <w:rFonts w:asciiTheme="minorHAnsi" w:eastAsia="Calibri" w:hAnsiTheme="minorHAnsi" w:cstheme="minorHAnsi"/>
                <w:sz w:val="22"/>
                <w:szCs w:val="22"/>
              </w:rPr>
              <w:t xml:space="preserve">end </w:t>
            </w:r>
            <w:r w:rsidRPr="009B4D88">
              <w:rPr>
                <w:rFonts w:asciiTheme="minorHAnsi" w:eastAsia="Calibri" w:hAnsiTheme="minorHAnsi" w:cstheme="minorHAnsi"/>
                <w:sz w:val="22"/>
                <w:szCs w:val="22"/>
              </w:rPr>
              <w:t>users of an online service whose company also performs such investigations.</w:t>
            </w:r>
          </w:p>
          <w:p w14:paraId="4EC9BF0F" w14:textId="77777777" w:rsidR="00766E8C" w:rsidRPr="00042AD8" w:rsidRDefault="00766E8C" w:rsidP="009B4D8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Failing this, 6(1)(f) is proposed.</w:t>
            </w:r>
          </w:p>
          <w:p w14:paraId="2CB3747F" w14:textId="77777777" w:rsidR="00766E8C" w:rsidRPr="009B4D88" w:rsidRDefault="00766E8C" w:rsidP="009B4D88">
            <w:pPr>
              <w:pStyle w:val="ListParagraph"/>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Example of 6(1)(f) might include investigations by Microsoft into crimes impacting the users of a Microsoft product or service who have not given explicit consent and whose contracts or user agreements do not explicitly mention such support by Microsoft to investigate such crimes.</w:t>
            </w:r>
          </w:p>
          <w:p w14:paraId="385D858D" w14:textId="6B19A970" w:rsidR="00766E8C" w:rsidRPr="009B4D88" w:rsidRDefault="00766E8C" w:rsidP="009B4D8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sz w:val="22"/>
                <w:szCs w:val="22"/>
              </w:rPr>
            </w:pPr>
            <w:r w:rsidRPr="009B4D88">
              <w:rPr>
                <w:rFonts w:asciiTheme="minorHAnsi" w:eastAsia="Calibri" w:hAnsiTheme="minorHAnsi" w:cstheme="minorHAnsi"/>
                <w:b/>
                <w:bCs/>
                <w:sz w:val="22"/>
                <w:szCs w:val="22"/>
              </w:rPr>
              <w:t xml:space="preserve">We request that </w:t>
            </w:r>
            <w:r w:rsidR="001F3169">
              <w:rPr>
                <w:rFonts w:asciiTheme="minorHAnsi" w:eastAsia="Calibri" w:hAnsiTheme="minorHAnsi" w:cstheme="minorHAnsi"/>
                <w:b/>
                <w:bCs/>
                <w:sz w:val="22"/>
                <w:szCs w:val="22"/>
              </w:rPr>
              <w:t>a working group</w:t>
            </w:r>
            <w:r w:rsidRPr="009B4D88">
              <w:rPr>
                <w:rFonts w:asciiTheme="minorHAnsi" w:eastAsia="Calibri" w:hAnsiTheme="minorHAnsi" w:cstheme="minorHAnsi"/>
                <w:b/>
                <w:bCs/>
                <w:sz w:val="22"/>
                <w:szCs w:val="22"/>
              </w:rPr>
              <w:t xml:space="preserve"> provide further clarification whether </w:t>
            </w:r>
            <w:r w:rsidR="002904F2">
              <w:rPr>
                <w:rFonts w:asciiTheme="minorHAnsi" w:eastAsia="Calibri" w:hAnsiTheme="minorHAnsi" w:cstheme="minorHAnsi"/>
                <w:b/>
                <w:bCs/>
                <w:sz w:val="22"/>
                <w:szCs w:val="22"/>
              </w:rPr>
              <w:t>there exists an</w:t>
            </w:r>
            <w:r w:rsidRPr="009B4D88">
              <w:rPr>
                <w:rFonts w:asciiTheme="minorHAnsi" w:eastAsia="Calibri" w:hAnsiTheme="minorHAnsi" w:cstheme="minorHAnsi"/>
                <w:b/>
                <w:bCs/>
                <w:sz w:val="22"/>
                <w:szCs w:val="22"/>
              </w:rPr>
              <w:t xml:space="preserve"> applicable basis in cases where investigations involve users </w:t>
            </w:r>
            <w:r w:rsidR="0037233B" w:rsidRPr="009B4D88">
              <w:rPr>
                <w:rFonts w:asciiTheme="minorHAnsi" w:eastAsia="Calibri" w:hAnsiTheme="minorHAnsi" w:cstheme="minorHAnsi"/>
                <w:b/>
                <w:bCs/>
                <w:sz w:val="22"/>
                <w:szCs w:val="22"/>
              </w:rPr>
              <w:t xml:space="preserve">with no connection to the researcher (i.e. </w:t>
            </w:r>
            <w:r w:rsidRPr="009B4D88">
              <w:rPr>
                <w:rFonts w:asciiTheme="minorHAnsi" w:eastAsia="Calibri" w:hAnsiTheme="minorHAnsi" w:cstheme="minorHAnsi"/>
                <w:b/>
                <w:bCs/>
                <w:sz w:val="22"/>
                <w:szCs w:val="22"/>
              </w:rPr>
              <w:t xml:space="preserve">those </w:t>
            </w:r>
            <w:r w:rsidR="00463B2D" w:rsidRPr="009B4D88">
              <w:rPr>
                <w:rFonts w:asciiTheme="minorHAnsi" w:eastAsia="Calibri" w:hAnsiTheme="minorHAnsi" w:cstheme="minorHAnsi"/>
                <w:b/>
                <w:bCs/>
                <w:sz w:val="22"/>
                <w:szCs w:val="22"/>
              </w:rPr>
              <w:t xml:space="preserve">not </w:t>
            </w:r>
            <w:r w:rsidRPr="009B4D88">
              <w:rPr>
                <w:rFonts w:asciiTheme="minorHAnsi" w:eastAsia="Calibri" w:hAnsiTheme="minorHAnsi" w:cstheme="minorHAnsi"/>
                <w:b/>
                <w:bCs/>
                <w:sz w:val="22"/>
                <w:szCs w:val="22"/>
              </w:rPr>
              <w:t>using a product or service of the investigators</w:t>
            </w:r>
            <w:r w:rsidR="00463B2D" w:rsidRPr="009B4D88">
              <w:rPr>
                <w:rFonts w:asciiTheme="minorHAnsi" w:eastAsia="Calibri" w:hAnsiTheme="minorHAnsi" w:cstheme="minorHAnsi"/>
                <w:b/>
                <w:bCs/>
                <w:sz w:val="22"/>
                <w:szCs w:val="22"/>
              </w:rPr>
              <w:t>)</w:t>
            </w:r>
            <w:r w:rsidR="00B03755" w:rsidRPr="009B4D88">
              <w:rPr>
                <w:rFonts w:asciiTheme="minorHAnsi" w:eastAsia="Calibri" w:hAnsiTheme="minorHAnsi" w:cstheme="minorHAnsi"/>
                <w:b/>
                <w:bCs/>
                <w:sz w:val="22"/>
                <w:szCs w:val="22"/>
              </w:rPr>
              <w:t xml:space="preserve">, and where </w:t>
            </w:r>
            <w:r w:rsidR="007A4C87" w:rsidRPr="009B4D88">
              <w:rPr>
                <w:rFonts w:asciiTheme="minorHAnsi" w:eastAsia="Calibri" w:hAnsiTheme="minorHAnsi" w:cstheme="minorHAnsi"/>
                <w:b/>
                <w:bCs/>
                <w:sz w:val="22"/>
                <w:szCs w:val="22"/>
              </w:rPr>
              <w:t>the intent of investigation is to improve th</w:t>
            </w:r>
            <w:r w:rsidR="006525AE" w:rsidRPr="009B4D88">
              <w:rPr>
                <w:rFonts w:asciiTheme="minorHAnsi" w:eastAsia="Calibri" w:hAnsiTheme="minorHAnsi" w:cstheme="minorHAnsi"/>
                <w:b/>
                <w:bCs/>
                <w:sz w:val="22"/>
                <w:szCs w:val="22"/>
              </w:rPr>
              <w:t>e trustworthiness (</w:t>
            </w:r>
            <w:r w:rsidR="0037233B" w:rsidRPr="009B4D88">
              <w:rPr>
                <w:rFonts w:asciiTheme="minorHAnsi" w:eastAsia="Calibri" w:hAnsiTheme="minorHAnsi" w:cstheme="minorHAnsi"/>
                <w:b/>
                <w:bCs/>
                <w:sz w:val="22"/>
                <w:szCs w:val="22"/>
              </w:rPr>
              <w:t>e.g</w:t>
            </w:r>
            <w:r w:rsidR="006525AE" w:rsidRPr="009B4D88">
              <w:rPr>
                <w:rFonts w:asciiTheme="minorHAnsi" w:eastAsia="Calibri" w:hAnsiTheme="minorHAnsi" w:cstheme="minorHAnsi"/>
                <w:b/>
                <w:bCs/>
                <w:sz w:val="22"/>
                <w:szCs w:val="22"/>
              </w:rPr>
              <w:t>. security, stability and  resiliency) of the Internet in general</w:t>
            </w:r>
            <w:r w:rsidRPr="009B4D88">
              <w:rPr>
                <w:rFonts w:asciiTheme="minorHAnsi" w:eastAsia="Calibri" w:hAnsiTheme="minorHAnsi" w:cstheme="minorHAnsi"/>
                <w:b/>
                <w:bCs/>
                <w:sz w:val="22"/>
                <w:szCs w:val="22"/>
              </w:rPr>
              <w:t>.</w:t>
            </w:r>
          </w:p>
        </w:tc>
      </w:tr>
      <w:tr w:rsidR="00766E8C" w:rsidRPr="009B4D88" w14:paraId="6A0B1902"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ACD86F1" w14:textId="6E6E7143"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Requestor</w:t>
            </w:r>
          </w:p>
        </w:tc>
        <w:tc>
          <w:tcPr>
            <w:tcW w:w="6120" w:type="dxa"/>
          </w:tcPr>
          <w:p w14:paraId="45C1E5F2" w14:textId="77777777"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color w:val="000000"/>
                <w:sz w:val="22"/>
                <w:szCs w:val="22"/>
              </w:rPr>
            </w:pPr>
            <w:r w:rsidRPr="009B4D88">
              <w:rPr>
                <w:rFonts w:asciiTheme="minorHAnsi" w:eastAsia="Calibri" w:hAnsiTheme="minorHAnsi" w:cstheme="minorHAnsi"/>
                <w:color w:val="000000"/>
                <w:sz w:val="22"/>
                <w:szCs w:val="22"/>
              </w:rPr>
              <w:t xml:space="preserve">The requestor: </w:t>
            </w:r>
          </w:p>
          <w:p w14:paraId="3A9F46F6" w14:textId="77777777" w:rsidR="00766E8C" w:rsidRPr="009B4D88" w:rsidRDefault="00766E8C" w:rsidP="00766E8C">
            <w:pPr>
              <w:pStyle w:val="NormalWeb"/>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bookmarkStart w:id="1" w:name="_heading=h.m8jqc3fm77y2" w:colFirst="0" w:colLast="0"/>
            <w:bookmarkEnd w:id="1"/>
            <w:r w:rsidRPr="009B4D88">
              <w:rPr>
                <w:rFonts w:asciiTheme="minorHAnsi" w:hAnsiTheme="minorHAnsi" w:cstheme="minorHAnsi"/>
                <w:color w:val="000000"/>
                <w:sz w:val="22"/>
                <w:szCs w:val="22"/>
              </w:rPr>
              <w:t>Must process data in compliance with data protection laws such as GDPR, including secure transmission;</w:t>
            </w:r>
          </w:p>
          <w:p w14:paraId="0B72213D" w14:textId="77777777" w:rsidR="00766E8C" w:rsidRPr="009B4D88" w:rsidRDefault="00766E8C" w:rsidP="00766E8C">
            <w:pPr>
              <w:pStyle w:val="NormalWeb"/>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Must provide representations about use of requested data which will be subject to auditing.</w:t>
            </w:r>
          </w:p>
          <w:p w14:paraId="3471DAC8" w14:textId="77777777" w:rsidR="00766E8C" w:rsidRPr="009B4D88" w:rsidRDefault="00766E8C" w:rsidP="00766E8C">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p w14:paraId="0EE2F849" w14:textId="77777777" w:rsidR="00766E8C" w:rsidRPr="009B4D88" w:rsidRDefault="00766E8C" w:rsidP="00766E8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Additional items to be considered in the development of a code of conduct</w:t>
            </w:r>
            <w:r w:rsidRPr="009B4D88">
              <w:rPr>
                <w:rStyle w:val="FootnoteReference"/>
                <w:rFonts w:asciiTheme="minorHAnsi" w:hAnsiTheme="minorHAnsi" w:cstheme="minorHAnsi"/>
                <w:color w:val="000000"/>
                <w:sz w:val="22"/>
                <w:szCs w:val="22"/>
              </w:rPr>
              <w:footnoteReference w:id="2"/>
            </w:r>
            <w:r w:rsidRPr="009B4D88">
              <w:rPr>
                <w:rFonts w:asciiTheme="minorHAnsi" w:hAnsiTheme="minorHAnsi" w:cstheme="minorHAnsi"/>
                <w:color w:val="000000"/>
                <w:sz w:val="22"/>
                <w:szCs w:val="22"/>
              </w:rPr>
              <w:t>: </w:t>
            </w:r>
          </w:p>
          <w:p w14:paraId="345BC2E4" w14:textId="77777777"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3F506B69" w14:textId="77777777" w:rsidR="00766E8C" w:rsidRPr="009B4D88" w:rsidRDefault="00766E8C" w:rsidP="00766E8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Individuals or entities seeking accreditation as a member of this user group must also:</w:t>
            </w:r>
          </w:p>
          <w:p w14:paraId="0B357909" w14:textId="77777777"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1D70F23D" w14:textId="77777777" w:rsidR="00766E8C" w:rsidRPr="009B4D88" w:rsidRDefault="00766E8C" w:rsidP="00042AD8">
            <w:pPr>
              <w:pStyle w:val="NormalWeb"/>
              <w:numPr>
                <w:ilvl w:val="0"/>
                <w:numId w:val="22"/>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Agree to only use the data for the legitimate and lawful purpose described above;</w:t>
            </w:r>
          </w:p>
          <w:p w14:paraId="1109C8D5" w14:textId="77777777" w:rsidR="00766E8C" w:rsidRPr="009B4D88" w:rsidRDefault="00766E8C" w:rsidP="00042AD8">
            <w:pPr>
              <w:pStyle w:val="NormalWeb"/>
              <w:numPr>
                <w:ilvl w:val="0"/>
                <w:numId w:val="22"/>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Only issue disclosure requests with respect to the trademark(s) where ownership is evidenced;</w:t>
            </w:r>
          </w:p>
          <w:p w14:paraId="3F6A4F79" w14:textId="77777777" w:rsidR="00766E8C" w:rsidRPr="009B4D88" w:rsidRDefault="00766E8C" w:rsidP="00042AD8">
            <w:pPr>
              <w:pStyle w:val="NormalWeb"/>
              <w:numPr>
                <w:ilvl w:val="0"/>
                <w:numId w:val="22"/>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Agree to: </w:t>
            </w:r>
          </w:p>
          <w:p w14:paraId="6C77A25B" w14:textId="77777777" w:rsidR="00766E8C" w:rsidRPr="009B4D88" w:rsidRDefault="00766E8C" w:rsidP="00766E8C">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the terms of service, in which the lawful use of data described;</w:t>
            </w:r>
          </w:p>
          <w:p w14:paraId="449C6F40" w14:textId="77777777" w:rsidR="00766E8C" w:rsidRPr="009B4D88" w:rsidRDefault="00766E8C" w:rsidP="00766E8C">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prevent abuse of data received; </w:t>
            </w:r>
          </w:p>
          <w:p w14:paraId="4064BD32" w14:textId="77777777" w:rsidR="00766E8C" w:rsidRPr="009B4D88" w:rsidRDefault="00766E8C" w:rsidP="00766E8C">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lastRenderedPageBreak/>
              <w:t>be subject to de-accreditation if they are found to abuse use of data;</w:t>
            </w:r>
          </w:p>
          <w:p w14:paraId="73BB03EC" w14:textId="77777777" w:rsidR="00766E8C" w:rsidRPr="009B4D88" w:rsidRDefault="00766E8C" w:rsidP="00766E8C">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maintain a register of all requests also including the respective rightsholders name (subject to audits).</w:t>
            </w:r>
          </w:p>
          <w:p w14:paraId="68926FFD" w14:textId="77777777" w:rsidR="00766E8C" w:rsidRPr="009B4D88" w:rsidRDefault="00766E8C" w:rsidP="00766E8C">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p w14:paraId="09BE713E" w14:textId="54DF3578" w:rsidR="00766E8C" w:rsidRPr="009B4D88" w:rsidRDefault="00766E8C" w:rsidP="00766E8C">
            <w:pPr>
              <w:numPr>
                <w:ilvl w:val="0"/>
                <w:numId w:val="31"/>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hAnsiTheme="minorHAnsi" w:cstheme="minorHAnsi"/>
                <w:color w:val="000000"/>
                <w:sz w:val="22"/>
                <w:szCs w:val="22"/>
              </w:rPr>
              <w:t>Failure to abide by safeguards would affect accreditation, including the possibility of revocation.</w:t>
            </w:r>
          </w:p>
        </w:tc>
      </w:tr>
      <w:tr w:rsidR="00766E8C" w:rsidRPr="009B4D88" w14:paraId="719623CC"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EFBCABA" w14:textId="3E6195F3" w:rsidR="00766E8C" w:rsidRPr="009B4D88" w:rsidRDefault="00766E8C" w:rsidP="00766E8C">
            <w:pPr>
              <w:pStyle w:val="ListParagraph"/>
              <w:numPr>
                <w:ilvl w:val="0"/>
                <w:numId w:val="29"/>
              </w:numPr>
              <w:spacing w:before="40" w:after="40"/>
              <w:rPr>
                <w:rFonts w:asciiTheme="minorHAnsi" w:eastAsia="Calibri" w:hAnsiTheme="minorHAnsi" w:cstheme="minorHAnsi"/>
                <w:bCs w:val="0"/>
                <w:color w:val="000000"/>
                <w:sz w:val="22"/>
                <w:szCs w:val="22"/>
              </w:rPr>
            </w:pPr>
            <w:r w:rsidRPr="009B4D88">
              <w:rPr>
                <w:rFonts w:asciiTheme="minorHAnsi" w:eastAsia="Calibri" w:hAnsiTheme="minorHAnsi" w:cstheme="minorHAnsi"/>
                <w:b w:val="0"/>
                <w:color w:val="000000"/>
                <w:sz w:val="22"/>
                <w:szCs w:val="22"/>
              </w:rPr>
              <w:lastRenderedPageBreak/>
              <w:t>Safeguards (requirements) applicable to the Entity Disclosing the Nonpublic Registration Data</w:t>
            </w:r>
          </w:p>
        </w:tc>
        <w:tc>
          <w:tcPr>
            <w:tcW w:w="6120" w:type="dxa"/>
          </w:tcPr>
          <w:p w14:paraId="20E817F7" w14:textId="6B518512" w:rsidR="00766E8C" w:rsidRPr="009B4D88" w:rsidRDefault="00766E8C" w:rsidP="00766E8C">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The entity disclosing the data:</w:t>
            </w:r>
          </w:p>
          <w:p w14:paraId="2A3442CD" w14:textId="77777777" w:rsidR="00766E8C" w:rsidRPr="009B4D88" w:rsidRDefault="00766E8C" w:rsidP="00766E8C">
            <w:pPr>
              <w:numPr>
                <w:ilvl w:val="0"/>
                <w:numId w:val="32"/>
              </w:numPr>
              <w:spacing w:before="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only supply the data requested by the requestor;</w:t>
            </w:r>
          </w:p>
          <w:p w14:paraId="31F371A3" w14:textId="77777777" w:rsidR="00766E8C" w:rsidRPr="009B4D88" w:rsidRDefault="00766E8C" w:rsidP="00766E8C">
            <w:pPr>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return current data in response to a request;</w:t>
            </w:r>
          </w:p>
          <w:p w14:paraId="3C9D175D" w14:textId="202EBFAA" w:rsidR="00766E8C" w:rsidRPr="009B4D88" w:rsidRDefault="00766E8C" w:rsidP="00766E8C">
            <w:pPr>
              <w:numPr>
                <w:ilvl w:val="0"/>
                <w:numId w:val="32"/>
              </w:numPr>
              <w:spacing w:after="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monitor the system and take appropriate action, such as revoking or limiting access, to protect against abuse or misuse of the system</w:t>
            </w:r>
          </w:p>
        </w:tc>
      </w:tr>
      <w:tr w:rsidR="00766E8C" w:rsidRPr="009B4D88" w14:paraId="0B5E8EC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8C301A" w14:textId="32EEB811"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data subject</w:t>
            </w:r>
          </w:p>
        </w:tc>
        <w:tc>
          <w:tcPr>
            <w:tcW w:w="6120" w:type="dxa"/>
          </w:tcPr>
          <w:p w14:paraId="040C8CC8" w14:textId="56AAD371"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The Registered Name Holder</w:t>
            </w:r>
            <w:r w:rsidRPr="009B4D88">
              <w:rPr>
                <w:rFonts w:asciiTheme="minorHAnsi" w:eastAsia="Calibri" w:hAnsiTheme="minorHAnsi" w:cstheme="minorHAnsi"/>
                <w:sz w:val="22"/>
                <w:szCs w:val="22"/>
              </w:rPr>
              <w:t xml:space="preserve"> (data subject) must have the right: </w:t>
            </w:r>
          </w:p>
          <w:p w14:paraId="2446A5A7" w14:textId="3F24A036" w:rsidR="00762698" w:rsidRPr="00042AD8" w:rsidRDefault="00766E8C" w:rsidP="00766E8C">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 xml:space="preserve">to obtain, on </w:t>
            </w:r>
            <w:r w:rsidR="00E67496">
              <w:rPr>
                <w:rFonts w:asciiTheme="minorHAnsi" w:eastAsia="Calibri" w:hAnsiTheme="minorHAnsi" w:cstheme="minorHAnsi"/>
                <w:sz w:val="22"/>
                <w:szCs w:val="22"/>
              </w:rPr>
              <w:t xml:space="preserve">reasonable </w:t>
            </w:r>
            <w:r w:rsidRPr="00042AD8">
              <w:rPr>
                <w:rFonts w:asciiTheme="minorHAnsi" w:eastAsia="Calibri" w:hAnsiTheme="minorHAnsi" w:cstheme="minorHAnsi"/>
                <w:sz w:val="22"/>
                <w:szCs w:val="22"/>
              </w:rPr>
              <w:t>request, confirmation of the processing of personal data relating to them and the communication in an intelligible form of the data processed</w:t>
            </w:r>
          </w:p>
          <w:p w14:paraId="654FCAE1" w14:textId="728D4317" w:rsidR="00EB712C" w:rsidRPr="00042AD8" w:rsidRDefault="00762698" w:rsidP="00762698">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Note:</w:t>
            </w:r>
            <w:r w:rsidR="00BF4703" w:rsidRPr="00042AD8">
              <w:rPr>
                <w:rFonts w:asciiTheme="minorHAnsi" w:eastAsia="Calibri" w:hAnsiTheme="minorHAnsi" w:cstheme="minorHAnsi"/>
                <w:sz w:val="22"/>
                <w:szCs w:val="22"/>
              </w:rPr>
              <w:t xml:space="preserve"> </w:t>
            </w:r>
            <w:r w:rsidR="00EE36D8" w:rsidRPr="00042AD8">
              <w:rPr>
                <w:rFonts w:asciiTheme="minorHAnsi" w:eastAsia="Calibri" w:hAnsiTheme="minorHAnsi" w:cstheme="minorHAnsi"/>
                <w:sz w:val="22"/>
                <w:szCs w:val="22"/>
              </w:rPr>
              <w:t>W</w:t>
            </w:r>
            <w:r w:rsidR="00766E8C" w:rsidRPr="00042AD8">
              <w:rPr>
                <w:rFonts w:asciiTheme="minorHAnsi" w:eastAsia="Calibri" w:hAnsiTheme="minorHAnsi" w:cstheme="minorHAnsi"/>
                <w:sz w:val="22"/>
                <w:szCs w:val="22"/>
              </w:rPr>
              <w:t xml:space="preserve">hen </w:t>
            </w:r>
            <w:r w:rsidRPr="00042AD8">
              <w:rPr>
                <w:rFonts w:asciiTheme="minorHAnsi" w:eastAsia="Calibri" w:hAnsiTheme="minorHAnsi" w:cstheme="minorHAnsi"/>
                <w:sz w:val="22"/>
                <w:szCs w:val="22"/>
              </w:rPr>
              <w:t xml:space="preserve">the data subject is </w:t>
            </w:r>
            <w:r w:rsidR="00766E8C" w:rsidRPr="00042AD8">
              <w:rPr>
                <w:rFonts w:asciiTheme="minorHAnsi" w:eastAsia="Calibri" w:hAnsiTheme="minorHAnsi" w:cstheme="minorHAnsi"/>
                <w:sz w:val="22"/>
                <w:szCs w:val="22"/>
              </w:rPr>
              <w:t>shown to have been a secondary victim</w:t>
            </w:r>
            <w:r w:rsidRPr="00042AD8">
              <w:rPr>
                <w:rFonts w:asciiTheme="minorHAnsi" w:eastAsia="Calibri" w:hAnsiTheme="minorHAnsi" w:cstheme="minorHAnsi"/>
                <w:sz w:val="22"/>
                <w:szCs w:val="22"/>
              </w:rPr>
              <w:t>, this safeguard clearly applies</w:t>
            </w:r>
            <w:r w:rsidR="00766E8C" w:rsidRPr="00042AD8">
              <w:rPr>
                <w:rFonts w:asciiTheme="minorHAnsi" w:eastAsia="Calibri" w:hAnsiTheme="minorHAnsi" w:cstheme="minorHAnsi"/>
                <w:sz w:val="22"/>
                <w:szCs w:val="22"/>
              </w:rPr>
              <w:t>.</w:t>
            </w:r>
          </w:p>
          <w:p w14:paraId="4257D2EC" w14:textId="473FA9E9" w:rsidR="00EB712C" w:rsidRPr="005B502C" w:rsidRDefault="00EB712C" w:rsidP="00762698">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I</w:t>
            </w:r>
            <w:r w:rsidR="00766E8C" w:rsidRPr="00042AD8">
              <w:rPr>
                <w:rFonts w:asciiTheme="minorHAnsi" w:eastAsia="Calibri" w:hAnsiTheme="minorHAnsi" w:cstheme="minorHAnsi"/>
                <w:sz w:val="22"/>
                <w:szCs w:val="22"/>
              </w:rPr>
              <w:t xml:space="preserve">f the investigator has concluded that the data subject is </w:t>
            </w:r>
            <w:r w:rsidR="002A1E1F" w:rsidRPr="00042AD8">
              <w:rPr>
                <w:rFonts w:asciiTheme="minorHAnsi" w:eastAsia="Calibri" w:hAnsiTheme="minorHAnsi" w:cstheme="minorHAnsi"/>
                <w:sz w:val="22"/>
                <w:szCs w:val="22"/>
              </w:rPr>
              <w:t>the</w:t>
            </w:r>
            <w:r w:rsidR="00766E8C" w:rsidRPr="00042AD8">
              <w:rPr>
                <w:rFonts w:asciiTheme="minorHAnsi" w:eastAsia="Calibri" w:hAnsiTheme="minorHAnsi" w:cstheme="minorHAnsi"/>
                <w:sz w:val="22"/>
                <w:szCs w:val="22"/>
              </w:rPr>
              <w:t xml:space="preserve"> perpetrator of a </w:t>
            </w:r>
            <w:r w:rsidR="00726D3F" w:rsidRPr="00042AD8">
              <w:rPr>
                <w:rFonts w:asciiTheme="minorHAnsi" w:eastAsia="Calibri" w:hAnsiTheme="minorHAnsi" w:cstheme="minorHAnsi"/>
                <w:sz w:val="22"/>
                <w:szCs w:val="22"/>
              </w:rPr>
              <w:t>crime, it</w:t>
            </w:r>
            <w:r w:rsidR="00766E8C" w:rsidRPr="00042AD8">
              <w:rPr>
                <w:rFonts w:asciiTheme="minorHAnsi" w:eastAsia="Calibri" w:hAnsiTheme="minorHAnsi" w:cstheme="minorHAnsi"/>
                <w:sz w:val="22"/>
                <w:szCs w:val="22"/>
              </w:rPr>
              <w:t xml:space="preserve"> may </w:t>
            </w:r>
            <w:r w:rsidR="005A6711">
              <w:rPr>
                <w:rFonts w:asciiTheme="minorHAnsi" w:eastAsia="Calibri" w:hAnsiTheme="minorHAnsi" w:cstheme="minorHAnsi"/>
                <w:sz w:val="22"/>
                <w:szCs w:val="22"/>
              </w:rPr>
              <w:t>not be reasonable to</w:t>
            </w:r>
            <w:r w:rsidR="00766E8C" w:rsidRPr="00042AD8">
              <w:rPr>
                <w:rFonts w:asciiTheme="minorHAnsi" w:eastAsia="Calibri" w:hAnsiTheme="minorHAnsi" w:cstheme="minorHAnsi"/>
                <w:sz w:val="22"/>
                <w:szCs w:val="22"/>
              </w:rPr>
              <w:t xml:space="preserve"> notify </w:t>
            </w:r>
            <w:r w:rsidRPr="00042AD8">
              <w:rPr>
                <w:rFonts w:asciiTheme="minorHAnsi" w:eastAsia="Calibri" w:hAnsiTheme="minorHAnsi" w:cstheme="minorHAnsi"/>
                <w:sz w:val="22"/>
                <w:szCs w:val="22"/>
              </w:rPr>
              <w:t xml:space="preserve">the data subject </w:t>
            </w:r>
            <w:r w:rsidR="00766E8C" w:rsidRPr="00042AD8">
              <w:rPr>
                <w:rFonts w:asciiTheme="minorHAnsi" w:eastAsia="Calibri" w:hAnsiTheme="minorHAnsi" w:cstheme="minorHAnsi"/>
                <w:sz w:val="22"/>
                <w:szCs w:val="22"/>
              </w:rPr>
              <w:t xml:space="preserve">in advance. The decision </w:t>
            </w:r>
            <w:r w:rsidR="00EE36D8" w:rsidRPr="00042AD8">
              <w:rPr>
                <w:rFonts w:asciiTheme="minorHAnsi" w:eastAsia="Calibri" w:hAnsiTheme="minorHAnsi" w:cstheme="minorHAnsi"/>
                <w:sz w:val="22"/>
                <w:szCs w:val="22"/>
              </w:rPr>
              <w:t>whether</w:t>
            </w:r>
            <w:r w:rsidR="00766E8C" w:rsidRPr="00042AD8">
              <w:rPr>
                <w:rFonts w:asciiTheme="minorHAnsi" w:eastAsia="Calibri" w:hAnsiTheme="minorHAnsi" w:cstheme="minorHAnsi"/>
                <w:sz w:val="22"/>
                <w:szCs w:val="22"/>
              </w:rPr>
              <w:t xml:space="preserve"> to notify the data subject remains </w:t>
            </w:r>
            <w:r w:rsidR="00766E8C" w:rsidRPr="005B502C">
              <w:rPr>
                <w:rFonts w:asciiTheme="minorHAnsi" w:eastAsia="Calibri" w:hAnsiTheme="minorHAnsi" w:cstheme="minorHAnsi"/>
                <w:sz w:val="22"/>
                <w:szCs w:val="22"/>
              </w:rPr>
              <w:t xml:space="preserve">with the data </w:t>
            </w:r>
            <w:r w:rsidRPr="005B502C">
              <w:rPr>
                <w:rFonts w:asciiTheme="minorHAnsi" w:eastAsia="Calibri" w:hAnsiTheme="minorHAnsi" w:cstheme="minorHAnsi"/>
                <w:sz w:val="22"/>
                <w:szCs w:val="22"/>
              </w:rPr>
              <w:t>controller</w:t>
            </w:r>
            <w:r w:rsidR="00766E8C" w:rsidRPr="005B502C">
              <w:rPr>
                <w:rFonts w:asciiTheme="minorHAnsi" w:eastAsia="Calibri" w:hAnsiTheme="minorHAnsi" w:cstheme="minorHAnsi"/>
                <w:sz w:val="22"/>
                <w:szCs w:val="22"/>
              </w:rPr>
              <w:t xml:space="preserve">. </w:t>
            </w:r>
          </w:p>
          <w:p w14:paraId="681C5C62" w14:textId="3D781203" w:rsidR="00766E8C" w:rsidRPr="005B502C" w:rsidRDefault="00766E8C" w:rsidP="009B4D88">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Any system designed for disclosing of data under this use case must include a mechanism for communicating the need for confidentiality.</w:t>
            </w:r>
          </w:p>
          <w:p w14:paraId="6227D5E3" w14:textId="4F4DE5D6" w:rsidR="002A1E1F" w:rsidRPr="005B502C" w:rsidRDefault="00766E8C" w:rsidP="002A1E1F">
            <w:pPr>
              <w:ind w:left="7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 xml:space="preserve">to obtain, on </w:t>
            </w:r>
            <w:r w:rsidR="002A1E1F" w:rsidRPr="005B502C">
              <w:rPr>
                <w:rFonts w:asciiTheme="minorHAnsi" w:eastAsia="Calibri" w:hAnsiTheme="minorHAnsi" w:cstheme="minorHAnsi"/>
                <w:sz w:val="22"/>
                <w:szCs w:val="22"/>
              </w:rPr>
              <w:t xml:space="preserve">reasonable </w:t>
            </w:r>
            <w:r w:rsidRPr="005B502C">
              <w:rPr>
                <w:rFonts w:asciiTheme="minorHAnsi" w:eastAsia="Calibri" w:hAnsiTheme="minorHAnsi" w:cstheme="minorHAnsi"/>
                <w:sz w:val="22"/>
                <w:szCs w:val="22"/>
              </w:rPr>
              <w:t>request, rectification or erasure, as the case may be, of inaccurate data or data that is being, or has been, processed contrary to the provisions of this Protocol</w:t>
            </w:r>
            <w:r w:rsidR="002A1E1F" w:rsidRPr="005B502C">
              <w:rPr>
                <w:rFonts w:asciiTheme="minorHAnsi" w:eastAsia="Calibri" w:hAnsiTheme="minorHAnsi" w:cstheme="minorHAnsi"/>
                <w:sz w:val="22"/>
                <w:szCs w:val="22"/>
              </w:rPr>
              <w:t xml:space="preserve"> but in the case of erasure, except where</w:t>
            </w:r>
            <w:r w:rsidR="002A1E1F" w:rsidRPr="005B502C">
              <w:rPr>
                <w:rFonts w:asciiTheme="minorHAnsi" w:eastAsia="Calibri" w:hAnsiTheme="minorHAnsi" w:cstheme="minorHAnsi"/>
              </w:rPr>
              <w:t> </w:t>
            </w:r>
            <w:r w:rsidR="002A1E1F" w:rsidRPr="005B502C">
              <w:rPr>
                <w:rFonts w:asciiTheme="minorHAnsi" w:eastAsia="Calibri" w:hAnsiTheme="minorHAnsi" w:cstheme="minorHAnsi"/>
                <w:sz w:val="22"/>
                <w:szCs w:val="22"/>
              </w:rPr>
              <w:t>that processing is allowed, necessary, or required under applicable law for:</w:t>
            </w:r>
          </w:p>
          <w:p w14:paraId="2D45460D" w14:textId="77777777" w:rsidR="002A1E1F" w:rsidRPr="005B502C" w:rsidRDefault="002A1E1F" w:rsidP="002A1E1F">
            <w:pPr>
              <w:ind w:left="1440" w:hanging="36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1.       exercising the right of freedom of expression and information;</w:t>
            </w:r>
          </w:p>
          <w:p w14:paraId="559D195E" w14:textId="77777777" w:rsidR="002A1E1F" w:rsidRPr="005B502C" w:rsidRDefault="002A1E1F" w:rsidP="002A1E1F">
            <w:pPr>
              <w:ind w:left="1440" w:hanging="36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2.       compliance with a legal obligation(s) for the performance of a task carried out in the public interest;</w:t>
            </w:r>
          </w:p>
          <w:p w14:paraId="06E31148" w14:textId="77777777" w:rsidR="002A1E1F" w:rsidRPr="005B502C" w:rsidRDefault="002A1E1F" w:rsidP="002A1E1F">
            <w:pPr>
              <w:ind w:left="1440" w:hanging="36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3.       the exercise of official authority vested in the controller;</w:t>
            </w:r>
          </w:p>
          <w:p w14:paraId="501A9A5F" w14:textId="77777777" w:rsidR="002A1E1F" w:rsidRPr="005B502C" w:rsidRDefault="002A1E1F" w:rsidP="002A1E1F">
            <w:pPr>
              <w:ind w:left="1440" w:hanging="36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4.       reasons of public interest in the area of public health;</w:t>
            </w:r>
          </w:p>
          <w:p w14:paraId="27A11697" w14:textId="77777777" w:rsidR="002A1E1F" w:rsidRPr="005B502C" w:rsidRDefault="002A1E1F" w:rsidP="002A1E1F">
            <w:pPr>
              <w:ind w:left="1440" w:hanging="36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lastRenderedPageBreak/>
              <w:t>5.       archiving purposes in the public interest, scientific or historical research purposes or statistical purposes; or</w:t>
            </w:r>
          </w:p>
          <w:p w14:paraId="69EC5DCB" w14:textId="77777777" w:rsidR="002A1E1F" w:rsidRPr="005B502C" w:rsidRDefault="002A1E1F" w:rsidP="002A1E1F">
            <w:pPr>
              <w:ind w:left="1440" w:hanging="36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 xml:space="preserve">6.       the establishment, exercise or </w:t>
            </w:r>
            <w:proofErr w:type="spellStart"/>
            <w:r w:rsidRPr="005B502C">
              <w:rPr>
                <w:rFonts w:asciiTheme="minorHAnsi" w:eastAsia="Calibri" w:hAnsiTheme="minorHAnsi" w:cstheme="minorHAnsi"/>
                <w:sz w:val="22"/>
                <w:szCs w:val="22"/>
              </w:rPr>
              <w:t>defence</w:t>
            </w:r>
            <w:proofErr w:type="spellEnd"/>
            <w:r w:rsidRPr="005B502C">
              <w:rPr>
                <w:rFonts w:asciiTheme="minorHAnsi" w:eastAsia="Calibri" w:hAnsiTheme="minorHAnsi" w:cstheme="minorHAnsi"/>
                <w:sz w:val="22"/>
                <w:szCs w:val="22"/>
              </w:rPr>
              <w:t xml:space="preserve"> of legal claims.</w:t>
            </w:r>
          </w:p>
          <w:p w14:paraId="3354CD57" w14:textId="74F37530" w:rsidR="00766E8C" w:rsidRPr="005B502C" w:rsidRDefault="002A1E1F" w:rsidP="002A1E1F">
            <w:pPr>
              <w:ind w:left="72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 </w:t>
            </w:r>
          </w:p>
          <w:p w14:paraId="55876608" w14:textId="77777777" w:rsidR="00DC33FC" w:rsidRPr="005B502C" w:rsidRDefault="00766E8C" w:rsidP="00766E8C">
            <w:pPr>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not to be subject to a decision significantly affecting them based solely on an automated processing of data unless this is</w:t>
            </w:r>
            <w:r w:rsidR="00DC33FC" w:rsidRPr="005B502C">
              <w:rPr>
                <w:rFonts w:asciiTheme="minorHAnsi" w:eastAsia="Calibri" w:hAnsiTheme="minorHAnsi" w:cstheme="minorHAnsi"/>
                <w:sz w:val="22"/>
                <w:szCs w:val="22"/>
              </w:rPr>
              <w:t>:</w:t>
            </w:r>
          </w:p>
          <w:p w14:paraId="5756583F" w14:textId="297A57CF" w:rsidR="00766E8C" w:rsidRPr="005B502C" w:rsidRDefault="00766E8C" w:rsidP="00DC33FC">
            <w:pPr>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 xml:space="preserve">authorized by law providing appropriate safeguards, including at least the right to obtain human intervention; </w:t>
            </w:r>
          </w:p>
          <w:p w14:paraId="358FE415" w14:textId="038B803F" w:rsidR="00DC33FC" w:rsidRPr="005B502C" w:rsidRDefault="00DC33FC" w:rsidP="00DC33F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necessary for entering into, or performance of, a contract between the data subject and a data controller;</w:t>
            </w:r>
          </w:p>
          <w:p w14:paraId="6C2DBEA3" w14:textId="19C3A9FC" w:rsidR="00DC33FC" w:rsidRPr="005B502C" w:rsidRDefault="00DC33FC" w:rsidP="00DC33F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 xml:space="preserve">authorized by applicable law to which the controller is </w:t>
            </w:r>
            <w:proofErr w:type="gramStart"/>
            <w:r w:rsidRPr="005B502C">
              <w:rPr>
                <w:rFonts w:asciiTheme="minorHAnsi" w:eastAsia="Calibri" w:hAnsiTheme="minorHAnsi" w:cstheme="minorHAnsi"/>
                <w:sz w:val="22"/>
                <w:szCs w:val="22"/>
              </w:rPr>
              <w:t>subject</w:t>
            </w:r>
            <w:proofErr w:type="gramEnd"/>
            <w:r w:rsidRPr="005B502C">
              <w:rPr>
                <w:rFonts w:asciiTheme="minorHAnsi" w:eastAsia="Calibri" w:hAnsiTheme="minorHAnsi" w:cstheme="minorHAnsi"/>
                <w:sz w:val="22"/>
                <w:szCs w:val="22"/>
              </w:rPr>
              <w:t xml:space="preserve"> and which also lays down suitable measures to safeguard the data subject's rights and freedoms and legitimate interests; or</w:t>
            </w:r>
            <w:r w:rsidRPr="005B502C">
              <w:rPr>
                <w:rFonts w:asciiTheme="minorHAnsi" w:eastAsia="Calibri" w:hAnsiTheme="minorHAnsi" w:cstheme="minorHAnsi"/>
              </w:rPr>
              <w:t> </w:t>
            </w:r>
          </w:p>
          <w:p w14:paraId="31F75838" w14:textId="025CEBC3" w:rsidR="00DC33FC" w:rsidRPr="005B502C" w:rsidRDefault="00DC33FC" w:rsidP="00DC33FC">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based on the data subject's explicit consent.</w:t>
            </w:r>
          </w:p>
          <w:p w14:paraId="63C63BEC" w14:textId="77777777" w:rsidR="00C13E65" w:rsidRPr="005B502C" w:rsidRDefault="00C13E65" w:rsidP="00C13E65">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4B97D1DB" w14:textId="26C73F4A" w:rsidR="00DC33FC" w:rsidRPr="005B502C" w:rsidRDefault="00C13E65" w:rsidP="00C13E65">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Note that whether decisions referred to herein can be made shall always take into account whether applicable law allows for explicit consent or processing necessary for reasons of substantial public interest.</w:t>
            </w:r>
          </w:p>
          <w:p w14:paraId="44D3C470" w14:textId="77777777" w:rsidR="00C13E65" w:rsidRPr="005B502C" w:rsidRDefault="00C13E65" w:rsidP="00C13E65">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24FBDF76" w14:textId="77777777" w:rsidR="00E712CE" w:rsidRDefault="00766E8C" w:rsidP="00E712CE">
            <w:pPr>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to lodge a complaint with the supervisory authority, or authorities, when they consider that their data protection rights have been violated</w:t>
            </w:r>
            <w:r w:rsidRPr="009B4D88">
              <w:rPr>
                <w:rFonts w:asciiTheme="minorHAnsi" w:eastAsia="Calibri" w:hAnsiTheme="minorHAnsi" w:cstheme="minorHAnsi"/>
                <w:sz w:val="22"/>
                <w:szCs w:val="22"/>
              </w:rPr>
              <w:t>;</w:t>
            </w:r>
          </w:p>
          <w:p w14:paraId="7D22038D" w14:textId="77777777" w:rsidR="00766E8C" w:rsidRDefault="00766E8C" w:rsidP="00E712CE">
            <w:pPr>
              <w:numPr>
                <w:ilvl w:val="0"/>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712CE">
              <w:rPr>
                <w:rFonts w:asciiTheme="minorHAnsi" w:eastAsia="Calibri" w:hAnsiTheme="minorHAnsi" w:cstheme="minorHAnsi"/>
                <w:sz w:val="22"/>
                <w:szCs w:val="22"/>
              </w:rPr>
              <w:t>to an effective remedy before an independent and impartial tribunal when they consider that their data protection rights have been violated.</w:t>
            </w:r>
          </w:p>
          <w:p w14:paraId="64CA4DCB" w14:textId="77777777" w:rsidR="00362F69" w:rsidRPr="005B502C" w:rsidRDefault="00362F69" w:rsidP="00362F69">
            <w:pPr>
              <w:pStyle w:val="ListParagrap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406109A9" w14:textId="329A4EB5" w:rsidR="00362F69" w:rsidRPr="005B502C" w:rsidRDefault="00362F69" w:rsidP="00362F6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 xml:space="preserve">Note that the right to object will be limited in instances where applicable law allows for (1) the controller to demonstrate compelling legitimate grounds for the processing that override the interests, rights and freedoms of the data subject or (2) for the establishment, exercise or </w:t>
            </w:r>
            <w:proofErr w:type="spellStart"/>
            <w:r w:rsidRPr="005B502C">
              <w:rPr>
                <w:rFonts w:asciiTheme="minorHAnsi" w:eastAsia="Calibri" w:hAnsiTheme="minorHAnsi" w:cstheme="minorHAnsi"/>
                <w:sz w:val="22"/>
                <w:szCs w:val="22"/>
              </w:rPr>
              <w:t>defence</w:t>
            </w:r>
            <w:proofErr w:type="spellEnd"/>
            <w:r w:rsidRPr="005B502C">
              <w:rPr>
                <w:rFonts w:asciiTheme="minorHAnsi" w:eastAsia="Calibri" w:hAnsiTheme="minorHAnsi" w:cstheme="minorHAnsi"/>
                <w:sz w:val="22"/>
                <w:szCs w:val="22"/>
              </w:rPr>
              <w:t xml:space="preserve"> of legal claims or (3) processing where it is necessary for the performance of a task carried out for reasons of public interest.</w:t>
            </w:r>
          </w:p>
          <w:p w14:paraId="131E458B" w14:textId="0E4EB929" w:rsidR="00362F69" w:rsidRPr="00E712CE" w:rsidRDefault="00362F69" w:rsidP="00362F6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tc>
      </w:tr>
      <w:tr w:rsidR="00766E8C" w:rsidRPr="009B4D88" w14:paraId="008F1FC0"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8BB660E" w14:textId="73E49AAF"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lastRenderedPageBreak/>
              <w:t>Safeguards (requirements) applicable to the access/disclosure system</w:t>
            </w:r>
          </w:p>
        </w:tc>
        <w:tc>
          <w:tcPr>
            <w:tcW w:w="6120" w:type="dxa"/>
          </w:tcPr>
          <w:p w14:paraId="3F44E1C9" w14:textId="6FDA0D98" w:rsidR="00766E8C" w:rsidRPr="009B4D88" w:rsidRDefault="00766E8C" w:rsidP="00766E8C">
            <w:pPr>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At this stage of an investigation, bulk access</w:t>
            </w:r>
            <w:r w:rsidRPr="009B4D88">
              <w:rPr>
                <w:rFonts w:asciiTheme="minorHAnsi" w:eastAsia="Calibri" w:hAnsiTheme="minorHAnsi" w:cstheme="minorHAnsi"/>
                <w:sz w:val="22"/>
                <w:szCs w:val="22"/>
                <w:vertAlign w:val="superscript"/>
              </w:rPr>
              <w:footnoteReference w:id="3"/>
            </w:r>
            <w:r w:rsidRPr="009B4D88">
              <w:rPr>
                <w:rFonts w:asciiTheme="minorHAnsi" w:eastAsia="Calibri" w:hAnsiTheme="minorHAnsi" w:cstheme="minorHAnsi"/>
                <w:sz w:val="22"/>
                <w:szCs w:val="22"/>
              </w:rPr>
              <w:t xml:space="preserve">, wildcard requests, reverse lookups, and </w:t>
            </w:r>
            <w:proofErr w:type="spellStart"/>
            <w:r w:rsidRPr="009B4D88">
              <w:rPr>
                <w:rFonts w:asciiTheme="minorHAnsi" w:eastAsia="Calibri" w:hAnsiTheme="minorHAnsi" w:cstheme="minorHAnsi"/>
                <w:sz w:val="22"/>
                <w:szCs w:val="22"/>
              </w:rPr>
              <w:t>boolean</w:t>
            </w:r>
            <w:proofErr w:type="spellEnd"/>
            <w:r w:rsidRPr="009B4D88">
              <w:rPr>
                <w:rFonts w:asciiTheme="minorHAnsi" w:eastAsia="Calibri" w:hAnsiTheme="minorHAnsi" w:cstheme="minorHAnsi"/>
                <w:sz w:val="22"/>
                <w:szCs w:val="22"/>
              </w:rPr>
              <w:t xml:space="preserve"> search capabilities are not required.</w:t>
            </w:r>
          </w:p>
          <w:p w14:paraId="5096C119" w14:textId="77777777" w:rsidR="00766E8C" w:rsidRPr="009B4D88" w:rsidRDefault="00766E8C" w:rsidP="00766E8C">
            <w:pPr>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lastRenderedPageBreak/>
              <w:t>Requests must only refer to current registration data (historical registration data will not be made available via this mechanism).</w:t>
            </w:r>
          </w:p>
          <w:p w14:paraId="427AB732" w14:textId="77777777" w:rsidR="00766E8C" w:rsidRPr="009B4D88" w:rsidRDefault="00766E8C" w:rsidP="00766E8C">
            <w:pPr>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Contracted parties are only responsible for disclosing nonpublic registration data for the domain names under their management.</w:t>
            </w:r>
          </w:p>
          <w:p w14:paraId="78D2CE34" w14:textId="77777777" w:rsidR="00766E8C" w:rsidRPr="00381A08" w:rsidRDefault="00766E8C" w:rsidP="00766E8C">
            <w:pPr>
              <w:pStyle w:val="NormalWeb"/>
              <w:numPr>
                <w:ilvl w:val="0"/>
                <w:numId w:val="3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 xml:space="preserve">Must only return current data (no data about the domain </w:t>
            </w:r>
            <w:r w:rsidRPr="00381A08">
              <w:rPr>
                <w:rFonts w:asciiTheme="minorHAnsi" w:hAnsiTheme="minorHAnsi" w:cstheme="minorHAnsi"/>
                <w:color w:val="000000"/>
                <w:sz w:val="22"/>
                <w:szCs w:val="22"/>
              </w:rPr>
              <w:t>name registration’s history);</w:t>
            </w:r>
          </w:p>
          <w:p w14:paraId="4A3DA750" w14:textId="77777777" w:rsidR="00766E8C" w:rsidRPr="009B4D88" w:rsidRDefault="00766E8C" w:rsidP="00766E8C">
            <w:pPr>
              <w:pStyle w:val="NormalWeb"/>
              <w:numPr>
                <w:ilvl w:val="0"/>
                <w:numId w:val="33"/>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381A08">
              <w:rPr>
                <w:rFonts w:asciiTheme="minorHAnsi" w:hAnsiTheme="minorHAnsi" w:cstheme="minorHAnsi"/>
                <w:color w:val="000000"/>
                <w:sz w:val="22"/>
                <w:szCs w:val="22"/>
              </w:rPr>
              <w:t>Must receive a specific request for every individual domain name</w:t>
            </w:r>
            <w:r w:rsidRPr="009B4D88">
              <w:rPr>
                <w:rFonts w:asciiTheme="minorHAnsi" w:hAnsiTheme="minorHAnsi" w:cstheme="minorHAnsi"/>
                <w:color w:val="000000"/>
                <w:sz w:val="22"/>
                <w:szCs w:val="22"/>
              </w:rPr>
              <w:t xml:space="preserve"> (no bulk access</w:t>
            </w:r>
            <w:r w:rsidRPr="009B4D88">
              <w:rPr>
                <w:rStyle w:val="FootnoteReference"/>
                <w:rFonts w:asciiTheme="minorHAnsi" w:hAnsiTheme="minorHAnsi" w:cstheme="minorHAnsi"/>
                <w:b/>
                <w:bCs/>
                <w:color w:val="000000"/>
                <w:sz w:val="22"/>
                <w:szCs w:val="22"/>
              </w:rPr>
              <w:footnoteReference w:id="4"/>
            </w:r>
            <w:r w:rsidRPr="009B4D88">
              <w:rPr>
                <w:rFonts w:asciiTheme="minorHAnsi" w:hAnsiTheme="minorHAnsi" w:cstheme="minorHAnsi"/>
                <w:color w:val="000000"/>
                <w:sz w:val="22"/>
                <w:szCs w:val="22"/>
              </w:rPr>
              <w:t>);</w:t>
            </w:r>
          </w:p>
          <w:p w14:paraId="6846D610" w14:textId="3A487CCF" w:rsidR="00766E8C" w:rsidRPr="009B4D88" w:rsidRDefault="00766E8C" w:rsidP="00766E8C">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hAnsiTheme="minorHAnsi" w:cstheme="minorHAnsi"/>
                <w:color w:val="000000"/>
                <w:sz w:val="22"/>
                <w:szCs w:val="22"/>
              </w:rPr>
              <w:t>Must direct requests at the entity that is determined through this policy process to be responsible for the disclosure of the requested data;</w:t>
            </w:r>
          </w:p>
        </w:tc>
      </w:tr>
      <w:tr w:rsidR="00766E8C" w:rsidRPr="009B4D88" w14:paraId="4BFE8919"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6D32C9" w14:textId="42908E06"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lastRenderedPageBreak/>
              <w:t>Accreditation of user group(s) required (Y/N) – if Y, define policy principles</w:t>
            </w:r>
          </w:p>
        </w:tc>
        <w:tc>
          <w:tcPr>
            <w:tcW w:w="6120" w:type="dxa"/>
          </w:tcPr>
          <w:p w14:paraId="612C045A" w14:textId="773A77A5" w:rsidR="00766E8C" w:rsidRPr="009B4D88" w:rsidRDefault="00766E8C" w:rsidP="00766E8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With respect to the accreditation of [user groups] seeking accreditation as a member of this user group must provide:</w:t>
            </w:r>
          </w:p>
          <w:p w14:paraId="05BB47C0" w14:textId="77777777"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33C8815A" w14:textId="040C3356"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Evidence of membership in good standing of digital crimes investigations organizations such as </w:t>
            </w:r>
            <w:r w:rsidRPr="009B4D88">
              <w:rPr>
                <w:rFonts w:asciiTheme="minorHAnsi" w:eastAsia="Calibri" w:hAnsiTheme="minorHAnsi" w:cstheme="minorHAnsi"/>
                <w:b/>
                <w:bCs/>
                <w:color w:val="FF0000"/>
                <w:sz w:val="22"/>
                <w:szCs w:val="22"/>
              </w:rPr>
              <w:t xml:space="preserve"> </w:t>
            </w:r>
          </w:p>
          <w:p w14:paraId="156483A3"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Messaging Anti-</w:t>
            </w:r>
            <w:proofErr w:type="gramStart"/>
            <w:r w:rsidRPr="00E1502C">
              <w:rPr>
                <w:rFonts w:asciiTheme="minorHAnsi" w:eastAsia="Calibri" w:hAnsiTheme="minorHAnsi" w:cstheme="minorHAnsi"/>
                <w:sz w:val="22"/>
                <w:szCs w:val="22"/>
              </w:rPr>
              <w:t>abuse</w:t>
            </w:r>
            <w:proofErr w:type="gramEnd"/>
            <w:r w:rsidRPr="00E1502C">
              <w:rPr>
                <w:rFonts w:asciiTheme="minorHAnsi" w:eastAsia="Calibri" w:hAnsiTheme="minorHAnsi" w:cstheme="minorHAnsi"/>
                <w:sz w:val="22"/>
                <w:szCs w:val="22"/>
              </w:rPr>
              <w:t xml:space="preserve"> Working Group (</w:t>
            </w:r>
            <w:hyperlink r:id="rId8" w:tgtFrame="_blank" w:history="1">
              <w:r w:rsidRPr="00E1502C">
                <w:rPr>
                  <w:rStyle w:val="Hyperlink"/>
                  <w:rFonts w:asciiTheme="minorHAnsi" w:hAnsiTheme="minorHAnsi" w:cstheme="minorHAnsi"/>
                  <w:color w:val="1155CC"/>
                  <w:sz w:val="22"/>
                  <w:szCs w:val="22"/>
                </w:rPr>
                <w:t>MAAWG</w:t>
              </w:r>
            </w:hyperlink>
            <w:r w:rsidRPr="00E1502C">
              <w:rPr>
                <w:rFonts w:asciiTheme="minorHAnsi" w:eastAsia="Calibri" w:hAnsiTheme="minorHAnsi" w:cstheme="minorHAnsi"/>
                <w:sz w:val="22"/>
                <w:szCs w:val="22"/>
              </w:rPr>
              <w:t>)</w:t>
            </w:r>
          </w:p>
          <w:p w14:paraId="4C1ACFAB"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Anti-phishing Working Group (</w:t>
            </w:r>
            <w:hyperlink r:id="rId9" w:tgtFrame="_blank" w:history="1">
              <w:r w:rsidRPr="00E1502C">
                <w:rPr>
                  <w:rStyle w:val="Hyperlink"/>
                  <w:rFonts w:asciiTheme="minorHAnsi" w:hAnsiTheme="minorHAnsi" w:cstheme="minorHAnsi"/>
                  <w:color w:val="1155CC"/>
                  <w:sz w:val="22"/>
                  <w:szCs w:val="22"/>
                </w:rPr>
                <w:t>APWG</w:t>
              </w:r>
            </w:hyperlink>
            <w:r w:rsidRPr="00E1502C">
              <w:rPr>
                <w:rFonts w:asciiTheme="minorHAnsi" w:eastAsia="Calibri" w:hAnsiTheme="minorHAnsi" w:cstheme="minorHAnsi"/>
                <w:sz w:val="22"/>
                <w:szCs w:val="22"/>
              </w:rPr>
              <w:t>)</w:t>
            </w:r>
          </w:p>
          <w:p w14:paraId="3B9DA997"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Microsoft Digital Crimes Consortium</w:t>
            </w:r>
          </w:p>
          <w:p w14:paraId="2A7FD0DC"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National Cyber-Forensics &amp; Training Alliance (</w:t>
            </w:r>
            <w:hyperlink r:id="rId10" w:tgtFrame="_blank" w:history="1">
              <w:r w:rsidRPr="00E1502C">
                <w:rPr>
                  <w:rStyle w:val="Hyperlink"/>
                  <w:rFonts w:asciiTheme="minorHAnsi" w:hAnsiTheme="minorHAnsi" w:cstheme="minorHAnsi"/>
                  <w:color w:val="1155CC"/>
                  <w:sz w:val="22"/>
                  <w:szCs w:val="22"/>
                </w:rPr>
                <w:t>NCFTA</w:t>
              </w:r>
            </w:hyperlink>
            <w:r w:rsidRPr="00E1502C">
              <w:rPr>
                <w:rFonts w:asciiTheme="minorHAnsi" w:eastAsia="Calibri" w:hAnsiTheme="minorHAnsi" w:cstheme="minorHAnsi"/>
                <w:sz w:val="22"/>
                <w:szCs w:val="22"/>
              </w:rPr>
              <w:t>)</w:t>
            </w:r>
          </w:p>
          <w:p w14:paraId="047C5AF2"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 xml:space="preserve">The </w:t>
            </w:r>
            <w:hyperlink r:id="rId11" w:tgtFrame="_blank" w:history="1">
              <w:r w:rsidRPr="00E1502C">
                <w:rPr>
                  <w:rFonts w:asciiTheme="minorHAnsi" w:eastAsia="Calibri" w:hAnsiTheme="minorHAnsi" w:cstheme="minorHAnsi"/>
                  <w:sz w:val="22"/>
                  <w:szCs w:val="22"/>
                </w:rPr>
                <w:t>U.S. National Cyber Security Alliance</w:t>
              </w:r>
            </w:hyperlink>
          </w:p>
          <w:p w14:paraId="31B9B348"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 xml:space="preserve">The </w:t>
            </w:r>
            <w:hyperlink r:id="rId12" w:tgtFrame="_blank" w:history="1">
              <w:r w:rsidRPr="00E1502C">
                <w:rPr>
                  <w:rFonts w:asciiTheme="minorHAnsi" w:eastAsia="Calibri" w:hAnsiTheme="minorHAnsi" w:cstheme="minorHAnsi"/>
                  <w:sz w:val="22"/>
                  <w:szCs w:val="22"/>
                </w:rPr>
                <w:t>Stop Spam Alliance</w:t>
              </w:r>
            </w:hyperlink>
          </w:p>
          <w:p w14:paraId="3C1FA1EE"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London Action Plan (</w:t>
            </w:r>
            <w:hyperlink r:id="rId13" w:tgtFrame="_blank" w:history="1">
              <w:r w:rsidRPr="00E1502C">
                <w:rPr>
                  <w:rStyle w:val="Hyperlink"/>
                  <w:rFonts w:asciiTheme="minorHAnsi" w:hAnsiTheme="minorHAnsi" w:cstheme="minorHAnsi"/>
                  <w:color w:val="1155CC"/>
                  <w:sz w:val="22"/>
                  <w:szCs w:val="22"/>
                </w:rPr>
                <w:t>LAP</w:t>
              </w:r>
            </w:hyperlink>
            <w:r w:rsidRPr="00E1502C">
              <w:rPr>
                <w:rFonts w:asciiTheme="minorHAnsi" w:eastAsia="Calibri" w:hAnsiTheme="minorHAnsi" w:cstheme="minorHAnsi"/>
                <w:sz w:val="22"/>
                <w:szCs w:val="22"/>
              </w:rPr>
              <w:t>)</w:t>
            </w:r>
          </w:p>
          <w:p w14:paraId="083CE767"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U.S. Federal Communications Commission (</w:t>
            </w:r>
            <w:r w:rsidRPr="00E1502C">
              <w:rPr>
                <w:rStyle w:val="Hyperlink"/>
                <w:rFonts w:asciiTheme="minorHAnsi" w:hAnsiTheme="minorHAnsi" w:cstheme="minorHAnsi"/>
                <w:color w:val="1155CC"/>
                <w:sz w:val="22"/>
                <w:szCs w:val="22"/>
              </w:rPr>
              <w:t>FCC</w:t>
            </w:r>
            <w:r w:rsidRPr="00E1502C">
              <w:rPr>
                <w:rFonts w:asciiTheme="minorHAnsi" w:eastAsia="Calibri" w:hAnsiTheme="minorHAnsi" w:cstheme="minorHAnsi"/>
                <w:sz w:val="22"/>
                <w:szCs w:val="22"/>
              </w:rPr>
              <w:t>) Communications Security, Reliability And Interoperability Council (</w:t>
            </w:r>
            <w:hyperlink r:id="rId14" w:tgtFrame="_blank" w:history="1">
              <w:r w:rsidRPr="00E1502C">
                <w:rPr>
                  <w:rStyle w:val="Hyperlink"/>
                  <w:rFonts w:asciiTheme="minorHAnsi" w:hAnsiTheme="minorHAnsi" w:cstheme="minorHAnsi"/>
                  <w:color w:val="1155CC"/>
                  <w:sz w:val="22"/>
                  <w:szCs w:val="22"/>
                </w:rPr>
                <w:t>CSRIC</w:t>
              </w:r>
            </w:hyperlink>
            <w:r w:rsidRPr="00E1502C">
              <w:rPr>
                <w:rFonts w:asciiTheme="minorHAnsi" w:eastAsia="Calibri" w:hAnsiTheme="minorHAnsi" w:cstheme="minorHAnsi"/>
                <w:sz w:val="22"/>
                <w:szCs w:val="22"/>
              </w:rPr>
              <w:t>)</w:t>
            </w:r>
          </w:p>
          <w:p w14:paraId="23861876" w14:textId="77777777" w:rsidR="00766E8C" w:rsidRPr="00E1502C" w:rsidRDefault="00766E8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Anti-spyware Coalition (</w:t>
            </w:r>
            <w:hyperlink r:id="rId15" w:tgtFrame="_blank" w:history="1">
              <w:r w:rsidRPr="00E1502C">
                <w:rPr>
                  <w:rStyle w:val="Hyperlink"/>
                  <w:rFonts w:asciiTheme="minorHAnsi" w:hAnsiTheme="minorHAnsi" w:cstheme="minorHAnsi"/>
                  <w:color w:val="1155CC"/>
                  <w:sz w:val="22"/>
                  <w:szCs w:val="22"/>
                </w:rPr>
                <w:t>ASC</w:t>
              </w:r>
            </w:hyperlink>
            <w:r w:rsidRPr="00E1502C">
              <w:rPr>
                <w:rFonts w:asciiTheme="minorHAnsi" w:eastAsia="Calibri" w:hAnsiTheme="minorHAnsi" w:cstheme="minorHAnsi"/>
                <w:sz w:val="22"/>
                <w:szCs w:val="22"/>
              </w:rPr>
              <w:t>)</w:t>
            </w:r>
          </w:p>
          <w:p w14:paraId="46B17386" w14:textId="77777777"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20A9C5A1" w14:textId="77777777" w:rsidR="00766E8C" w:rsidRPr="009B4D88" w:rsidRDefault="00766E8C" w:rsidP="00766E8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Additional items to be considered in the development of a code of conduct</w:t>
            </w:r>
            <w:r w:rsidRPr="009B4D88">
              <w:rPr>
                <w:rStyle w:val="FootnoteReference"/>
                <w:rFonts w:asciiTheme="minorHAnsi" w:hAnsiTheme="minorHAnsi" w:cstheme="minorHAnsi"/>
                <w:color w:val="000000"/>
                <w:sz w:val="22"/>
                <w:szCs w:val="22"/>
              </w:rPr>
              <w:footnoteReference w:id="5"/>
            </w:r>
            <w:r w:rsidRPr="009B4D88">
              <w:rPr>
                <w:rFonts w:asciiTheme="minorHAnsi" w:hAnsiTheme="minorHAnsi" w:cstheme="minorHAnsi"/>
                <w:color w:val="000000"/>
                <w:sz w:val="22"/>
                <w:szCs w:val="22"/>
              </w:rPr>
              <w:t>: </w:t>
            </w:r>
          </w:p>
          <w:p w14:paraId="2D040ACB" w14:textId="77777777" w:rsidR="00766E8C" w:rsidRPr="009B4D88" w:rsidRDefault="00766E8C" w:rsidP="00766E8C">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6CF2DE68" w14:textId="77777777" w:rsidR="00766E8C" w:rsidRDefault="00766E8C" w:rsidP="00B526DD">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All subsequent disclosures to LEA of personal data processed as part of an investigation will be subject to the same levels of lawfulness and auditability as were the initial disclosure to and processing by the digital </w:t>
            </w:r>
            <w:proofErr w:type="gramStart"/>
            <w:r w:rsidRPr="009B4D88">
              <w:rPr>
                <w:rFonts w:asciiTheme="minorHAnsi" w:eastAsia="Calibri" w:hAnsiTheme="minorHAnsi" w:cstheme="minorHAnsi"/>
                <w:sz w:val="22"/>
                <w:szCs w:val="22"/>
              </w:rPr>
              <w:t>crimes</w:t>
            </w:r>
            <w:proofErr w:type="gramEnd"/>
            <w:r w:rsidRPr="009B4D88">
              <w:rPr>
                <w:rFonts w:asciiTheme="minorHAnsi" w:eastAsia="Calibri" w:hAnsiTheme="minorHAnsi" w:cstheme="minorHAnsi"/>
                <w:sz w:val="22"/>
                <w:szCs w:val="22"/>
              </w:rPr>
              <w:t xml:space="preserve"> investigator.</w:t>
            </w:r>
          </w:p>
          <w:sdt>
            <w:sdtPr>
              <w:tag w:val="goog_rdk_66"/>
              <w:id w:val="-1428412246"/>
            </w:sdtPr>
            <w:sdtEndPr/>
            <w:sdtContent>
              <w:p w14:paraId="47420D21" w14:textId="497D9A03" w:rsidR="00B67BFF" w:rsidRPr="00B526DD" w:rsidRDefault="00B526DD" w:rsidP="00B526DD">
                <w:pPr>
                  <w:numPr>
                    <w:ilvl w:val="0"/>
                    <w:numId w:val="35"/>
                  </w:num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000000"/>
                    <w:sz w:val="22"/>
                    <w:szCs w:val="22"/>
                  </w:rPr>
                  <w:t>Proof of financial worthiness to justify enhanced access, reverse searching &amp; high volumes (such as bond, letter of credit, insurance, enhanced accreditation fees)</w:t>
                </w:r>
              </w:p>
            </w:sdtContent>
          </w:sdt>
        </w:tc>
      </w:tr>
      <w:tr w:rsidR="00766E8C" w:rsidRPr="009B4D88" w14:paraId="2149EA52"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9B2F37D" w14:textId="7CFF34C5"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Authentication – policy principles</w:t>
            </w:r>
          </w:p>
        </w:tc>
        <w:tc>
          <w:tcPr>
            <w:tcW w:w="6120" w:type="dxa"/>
          </w:tcPr>
          <w:p w14:paraId="6133F4F9" w14:textId="77777777" w:rsidR="00766E8C" w:rsidRPr="009B4D88" w:rsidRDefault="00766E8C" w:rsidP="00766E8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766E8C" w:rsidRPr="009B4D88" w14:paraId="137D6B9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CDD9A5A" w14:textId="24F38457" w:rsidR="00766E8C" w:rsidRPr="009B4D88" w:rsidRDefault="00766E8C" w:rsidP="00766E8C">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lastRenderedPageBreak/>
              <w:t>What information is required to be provided for a request under this lawful basis?</w:t>
            </w:r>
          </w:p>
        </w:tc>
        <w:tc>
          <w:tcPr>
            <w:tcW w:w="6120" w:type="dxa"/>
          </w:tcPr>
          <w:p w14:paraId="4C77301B" w14:textId="77777777" w:rsidR="00766E8C" w:rsidRPr="009B4D88" w:rsidRDefault="00766E8C" w:rsidP="00766E8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tc>
      </w:tr>
      <w:tr w:rsidR="00766E8C" w:rsidRPr="009B4D88" w14:paraId="085EBE08"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97587D" w14:textId="64C00CAB"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Expected timing of substantive response</w:t>
            </w:r>
          </w:p>
        </w:tc>
        <w:tc>
          <w:tcPr>
            <w:tcW w:w="6120" w:type="dxa"/>
          </w:tcPr>
          <w:p w14:paraId="332AB496" w14:textId="631A2044" w:rsidR="00766E8C" w:rsidRPr="009B4D88" w:rsidRDefault="0009092E" w:rsidP="00766E8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 xml:space="preserve">These cases are </w:t>
            </w:r>
            <w:r w:rsidR="00502AFD" w:rsidRPr="009B4D88">
              <w:rPr>
                <w:rFonts w:asciiTheme="minorHAnsi" w:hAnsiTheme="minorHAnsi" w:cstheme="minorHAnsi"/>
                <w:color w:val="000000"/>
                <w:sz w:val="22"/>
                <w:szCs w:val="22"/>
              </w:rPr>
              <w:t xml:space="preserve">usually related to transient behavior </w:t>
            </w:r>
            <w:r w:rsidR="006338C1" w:rsidRPr="009B4D88">
              <w:rPr>
                <w:rFonts w:asciiTheme="minorHAnsi" w:hAnsiTheme="minorHAnsi" w:cstheme="minorHAnsi"/>
                <w:color w:val="000000"/>
                <w:sz w:val="22"/>
                <w:szCs w:val="22"/>
              </w:rPr>
              <w:t>so instant acknowledgement of the request is critical.</w:t>
            </w:r>
          </w:p>
        </w:tc>
      </w:tr>
      <w:tr w:rsidR="00766E8C" w:rsidRPr="009B4D88" w14:paraId="766DD39F"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9556736" w14:textId="285C94E4" w:rsidR="00766E8C" w:rsidRPr="009B4D88" w:rsidRDefault="00766E8C" w:rsidP="00766E8C">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t>Is automation of substantive response possible / desirable?</w:t>
            </w:r>
          </w:p>
        </w:tc>
        <w:tc>
          <w:tcPr>
            <w:tcW w:w="6120" w:type="dxa"/>
          </w:tcPr>
          <w:p w14:paraId="1C6554AB" w14:textId="26F1638E" w:rsidR="00766E8C" w:rsidRPr="009B4D88" w:rsidRDefault="00766E8C" w:rsidP="00766E8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Automation, if possible, is highly desirable.</w:t>
            </w:r>
          </w:p>
        </w:tc>
      </w:tr>
      <w:tr w:rsidR="00766E8C" w:rsidRPr="009B4D88" w14:paraId="66924577"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C0FB184" w14:textId="641DF625"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Expected timing of substantive response</w:t>
            </w:r>
          </w:p>
        </w:tc>
        <w:tc>
          <w:tcPr>
            <w:tcW w:w="6120" w:type="dxa"/>
          </w:tcPr>
          <w:p w14:paraId="5119D1CB" w14:textId="7C54A91D" w:rsidR="00766E8C" w:rsidRPr="009B4D88" w:rsidRDefault="006338C1" w:rsidP="00766E8C">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 xml:space="preserve">As per (m) above, the decision of the data controller whether to disclose the data </w:t>
            </w:r>
            <w:r w:rsidR="00C7250B" w:rsidRPr="009B4D88">
              <w:rPr>
                <w:rFonts w:asciiTheme="minorHAnsi" w:hAnsiTheme="minorHAnsi" w:cstheme="minorHAnsi"/>
                <w:color w:val="000000"/>
                <w:sz w:val="22"/>
                <w:szCs w:val="22"/>
              </w:rPr>
              <w:t xml:space="preserve">should be given the highest priority. </w:t>
            </w:r>
          </w:p>
        </w:tc>
      </w:tr>
      <w:tr w:rsidR="00766E8C" w:rsidRPr="009B4D88" w14:paraId="4F22A97B" w14:textId="77777777" w:rsidTr="008A5D83">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F8D669" w14:textId="2F4A07B0"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How long can the requestor retain the data disclosed and what are the requirements for destruction following the end of the retention period?</w:t>
            </w:r>
          </w:p>
        </w:tc>
        <w:tc>
          <w:tcPr>
            <w:tcW w:w="6120" w:type="dxa"/>
          </w:tcPr>
          <w:p w14:paraId="064639C3" w14:textId="61D2CAF3" w:rsidR="00766E8C" w:rsidRPr="00901CDD" w:rsidRDefault="00766E8C" w:rsidP="00766E8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1CDD">
              <w:rPr>
                <w:rFonts w:asciiTheme="minorHAnsi" w:hAnsiTheme="minorHAnsi" w:cstheme="minorHAnsi"/>
                <w:sz w:val="22"/>
                <w:szCs w:val="22"/>
              </w:rPr>
              <w:t xml:space="preserve">Depending on the nature of the investigation, the data may need to be retained for up to 6 months </w:t>
            </w:r>
            <w:r w:rsidR="00EE520E" w:rsidRPr="00901CDD">
              <w:rPr>
                <w:rFonts w:asciiTheme="minorHAnsi" w:hAnsiTheme="minorHAnsi" w:cstheme="minorHAnsi"/>
                <w:sz w:val="22"/>
                <w:szCs w:val="22"/>
              </w:rPr>
              <w:t xml:space="preserve">or more </w:t>
            </w:r>
            <w:r w:rsidRPr="00901CDD">
              <w:rPr>
                <w:rFonts w:asciiTheme="minorHAnsi" w:hAnsiTheme="minorHAnsi" w:cstheme="minorHAnsi"/>
                <w:sz w:val="22"/>
                <w:szCs w:val="22"/>
              </w:rPr>
              <w:t xml:space="preserve">in order to support further investigation and/or collaboration with LEA.  Deletion following conclusion of investigations should be prompt, although follow-on investigations may occur from time to time. Duration of retention in these cases, and deletion following conclusion of investigations, may be subject to local law related to criminal investigations of this nature. </w:t>
            </w:r>
          </w:p>
        </w:tc>
      </w:tr>
      <w:tr w:rsidR="00766E8C" w:rsidRPr="009B4D88" w14:paraId="6565868D" w14:textId="77777777" w:rsidTr="008A5D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6CA7EF" w14:textId="57FF7F4E" w:rsidR="00766E8C" w:rsidRPr="009B4D88" w:rsidRDefault="00766E8C" w:rsidP="00766E8C">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Other?</w:t>
            </w:r>
          </w:p>
        </w:tc>
        <w:tc>
          <w:tcPr>
            <w:tcW w:w="6120" w:type="dxa"/>
          </w:tcPr>
          <w:p w14:paraId="54734687" w14:textId="7E2032C4" w:rsidR="00766E8C" w:rsidRPr="00901CDD" w:rsidRDefault="005B6E98" w:rsidP="00901CDD">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FF0000"/>
                <w:sz w:val="22"/>
                <w:szCs w:val="22"/>
              </w:rPr>
            </w:pPr>
            <w:r w:rsidRPr="009B4D88">
              <w:rPr>
                <w:rFonts w:asciiTheme="minorHAnsi" w:hAnsiTheme="minorHAnsi" w:cstheme="minorHAnsi"/>
                <w:color w:val="000000"/>
                <w:sz w:val="22"/>
                <w:szCs w:val="22"/>
              </w:rPr>
              <w:t xml:space="preserve">Regardless of </w:t>
            </w:r>
            <w:r w:rsidRPr="00901CDD">
              <w:rPr>
                <w:rFonts w:asciiTheme="minorHAnsi" w:hAnsiTheme="minorHAnsi" w:cstheme="minorHAnsi"/>
                <w:color w:val="000000"/>
                <w:sz w:val="22"/>
                <w:szCs w:val="22"/>
              </w:rPr>
              <w:t xml:space="preserve">automation, </w:t>
            </w:r>
            <w:r w:rsidRPr="00901CDD">
              <w:rPr>
                <w:rFonts w:asciiTheme="minorHAnsi" w:eastAsia="Calibri" w:hAnsiTheme="minorHAnsi" w:cstheme="minorHAnsi"/>
                <w:sz w:val="22"/>
                <w:szCs w:val="22"/>
              </w:rPr>
              <w:t xml:space="preserve">any policy or system designed for disclosing of data under this use case must include a mechanism for communicating the </w:t>
            </w:r>
            <w:r w:rsidR="00D270B9" w:rsidRPr="00901CDD">
              <w:rPr>
                <w:rFonts w:asciiTheme="minorHAnsi" w:eastAsia="Calibri" w:hAnsiTheme="minorHAnsi" w:cstheme="minorHAnsi"/>
                <w:sz w:val="22"/>
                <w:szCs w:val="22"/>
              </w:rPr>
              <w:t>request</w:t>
            </w:r>
            <w:r w:rsidRPr="00901CDD">
              <w:rPr>
                <w:rFonts w:asciiTheme="minorHAnsi" w:eastAsia="Calibri" w:hAnsiTheme="minorHAnsi" w:cstheme="minorHAnsi"/>
                <w:sz w:val="22"/>
                <w:szCs w:val="22"/>
              </w:rPr>
              <w:t xml:space="preserve"> for confidentiality.</w:t>
            </w:r>
          </w:p>
        </w:tc>
      </w:tr>
    </w:tbl>
    <w:p w14:paraId="00000051" w14:textId="1EEC7F1C" w:rsidR="008A5D83" w:rsidRPr="009B4D88" w:rsidRDefault="008A5D83">
      <w:pPr>
        <w:rPr>
          <w:rFonts w:asciiTheme="minorHAnsi" w:hAnsiTheme="minorHAnsi" w:cstheme="minorHAnsi"/>
          <w:sz w:val="22"/>
          <w:szCs w:val="22"/>
        </w:rPr>
      </w:pPr>
    </w:p>
    <w:p w14:paraId="71D529D7" w14:textId="1BFBC08B" w:rsidR="00B03A12" w:rsidRPr="009B4D88" w:rsidRDefault="00B03A12">
      <w:pPr>
        <w:rPr>
          <w:rFonts w:asciiTheme="minorHAnsi" w:hAnsiTheme="minorHAnsi" w:cstheme="minorHAnsi"/>
          <w:sz w:val="22"/>
          <w:szCs w:val="22"/>
        </w:r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5E7510" w:rsidRPr="009B4D88" w14:paraId="5D34E78A" w14:textId="77777777" w:rsidTr="003727AE">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Borders>
              <w:top w:val="single" w:sz="4" w:space="0" w:color="auto"/>
              <w:left w:val="single" w:sz="4" w:space="0" w:color="auto"/>
              <w:bottom w:val="single" w:sz="4" w:space="0" w:color="auto"/>
              <w:right w:val="single" w:sz="4" w:space="0" w:color="auto"/>
            </w:tcBorders>
          </w:tcPr>
          <w:p w14:paraId="420C994C" w14:textId="549E0C04" w:rsidR="00B03A12" w:rsidRPr="009B4D88" w:rsidRDefault="00B03A12" w:rsidP="00862654">
            <w:pPr>
              <w:spacing w:before="40" w:after="40"/>
              <w:rPr>
                <w:rFonts w:asciiTheme="minorHAnsi" w:eastAsia="Calibri" w:hAnsiTheme="minorHAnsi" w:cstheme="minorHAnsi"/>
                <w:b w:val="0"/>
                <w:sz w:val="22"/>
                <w:szCs w:val="22"/>
              </w:rPr>
            </w:pPr>
            <w:r w:rsidRPr="009B4D88">
              <w:rPr>
                <w:rFonts w:asciiTheme="minorHAnsi" w:eastAsia="Calibri" w:hAnsiTheme="minorHAnsi" w:cstheme="minorHAnsi"/>
                <w:sz w:val="22"/>
                <w:szCs w:val="22"/>
              </w:rPr>
              <w:t xml:space="preserve">Use Case: </w:t>
            </w:r>
            <w:r w:rsidR="0098514B" w:rsidRPr="009B4D88">
              <w:rPr>
                <w:rFonts w:asciiTheme="minorHAnsi" w:eastAsia="Calibri" w:hAnsiTheme="minorHAnsi" w:cstheme="minorHAnsi"/>
                <w:sz w:val="22"/>
                <w:szCs w:val="22"/>
              </w:rPr>
              <w:t xml:space="preserve">Secondary </w:t>
            </w:r>
            <w:r w:rsidRPr="009B4D88">
              <w:rPr>
                <w:rFonts w:asciiTheme="minorHAnsi" w:eastAsia="Calibri" w:hAnsiTheme="minorHAnsi" w:cstheme="minorHAnsi"/>
                <w:sz w:val="22"/>
                <w:szCs w:val="22"/>
              </w:rPr>
              <w:t xml:space="preserve">investigation </w:t>
            </w:r>
            <w:r w:rsidR="00552DA5" w:rsidRPr="009B4D88">
              <w:rPr>
                <w:rFonts w:asciiTheme="minorHAnsi" w:eastAsia="Calibri" w:hAnsiTheme="minorHAnsi" w:cstheme="minorHAnsi"/>
                <w:sz w:val="22"/>
                <w:szCs w:val="22"/>
              </w:rPr>
              <w:t>and identification of other elements within a criminal infrastructure</w:t>
            </w:r>
            <w:r w:rsidR="00B82534" w:rsidRPr="009B4D88">
              <w:rPr>
                <w:rFonts w:asciiTheme="minorHAnsi" w:eastAsia="Calibri" w:hAnsiTheme="minorHAnsi" w:cstheme="minorHAnsi"/>
                <w:sz w:val="22"/>
                <w:szCs w:val="22"/>
              </w:rPr>
              <w:t>,</w:t>
            </w:r>
            <w:r w:rsidR="00552DA5" w:rsidRPr="009B4D88">
              <w:rPr>
                <w:rFonts w:asciiTheme="minorHAnsi" w:eastAsia="Calibri" w:hAnsiTheme="minorHAnsi" w:cstheme="minorHAnsi"/>
                <w:sz w:val="22"/>
                <w:szCs w:val="22"/>
              </w:rPr>
              <w:t xml:space="preserve"> </w:t>
            </w:r>
            <w:r w:rsidRPr="009B4D88">
              <w:rPr>
                <w:rFonts w:asciiTheme="minorHAnsi" w:eastAsia="Calibri" w:hAnsiTheme="minorHAnsi" w:cstheme="minorHAnsi"/>
                <w:sz w:val="22"/>
                <w:szCs w:val="22"/>
              </w:rPr>
              <w:t>where domain names are used in the commission of the crime</w:t>
            </w:r>
            <w:r w:rsidR="00124A24" w:rsidRPr="009B4D88">
              <w:rPr>
                <w:rFonts w:asciiTheme="minorHAnsi" w:eastAsia="Calibri" w:hAnsiTheme="minorHAnsi" w:cstheme="minorHAnsi"/>
                <w:sz w:val="22"/>
                <w:szCs w:val="22"/>
              </w:rPr>
              <w:t xml:space="preserve">, </w:t>
            </w:r>
            <w:r w:rsidR="005E7510" w:rsidRPr="009B4D88">
              <w:rPr>
                <w:rFonts w:asciiTheme="minorHAnsi" w:eastAsia="Calibri" w:hAnsiTheme="minorHAnsi" w:cstheme="minorHAnsi"/>
                <w:sz w:val="22"/>
                <w:szCs w:val="22"/>
              </w:rPr>
              <w:t xml:space="preserve">and </w:t>
            </w:r>
            <w:r w:rsidR="00124A24" w:rsidRPr="009B4D88">
              <w:rPr>
                <w:rFonts w:asciiTheme="minorHAnsi" w:eastAsia="Calibri" w:hAnsiTheme="minorHAnsi" w:cstheme="minorHAnsi"/>
                <w:sz w:val="22"/>
                <w:szCs w:val="22"/>
              </w:rPr>
              <w:t xml:space="preserve">where </w:t>
            </w:r>
            <w:r w:rsidR="005C7993" w:rsidRPr="009B4D88">
              <w:rPr>
                <w:rFonts w:asciiTheme="minorHAnsi" w:eastAsia="Calibri" w:hAnsiTheme="minorHAnsi" w:cstheme="minorHAnsi"/>
                <w:sz w:val="22"/>
                <w:szCs w:val="22"/>
              </w:rPr>
              <w:t>the registrant of  domain name</w:t>
            </w:r>
            <w:r w:rsidR="00B82534" w:rsidRPr="009B4D88">
              <w:rPr>
                <w:rFonts w:asciiTheme="minorHAnsi" w:eastAsia="Calibri" w:hAnsiTheme="minorHAnsi" w:cstheme="minorHAnsi"/>
                <w:sz w:val="22"/>
                <w:szCs w:val="22"/>
              </w:rPr>
              <w:t>(s)</w:t>
            </w:r>
            <w:r w:rsidR="005C7993" w:rsidRPr="009B4D88">
              <w:rPr>
                <w:rFonts w:asciiTheme="minorHAnsi" w:eastAsia="Calibri" w:hAnsiTheme="minorHAnsi" w:cstheme="minorHAnsi"/>
                <w:sz w:val="22"/>
                <w:szCs w:val="22"/>
              </w:rPr>
              <w:t xml:space="preserve"> has been </w:t>
            </w:r>
            <w:r w:rsidR="008D4D66" w:rsidRPr="009B4D88">
              <w:rPr>
                <w:rFonts w:asciiTheme="minorHAnsi" w:eastAsia="Calibri" w:hAnsiTheme="minorHAnsi" w:cstheme="minorHAnsi"/>
                <w:sz w:val="22"/>
                <w:szCs w:val="22"/>
              </w:rPr>
              <w:t xml:space="preserve">determined </w:t>
            </w:r>
            <w:r w:rsidR="00EF2869" w:rsidRPr="009B4D88">
              <w:rPr>
                <w:rFonts w:asciiTheme="minorHAnsi" w:eastAsia="Calibri" w:hAnsiTheme="minorHAnsi" w:cstheme="minorHAnsi"/>
                <w:sz w:val="22"/>
                <w:szCs w:val="22"/>
              </w:rPr>
              <w:t xml:space="preserve">in Part 1 of the use case </w:t>
            </w:r>
            <w:r w:rsidR="008D4D66" w:rsidRPr="009B4D88">
              <w:rPr>
                <w:rFonts w:asciiTheme="minorHAnsi" w:eastAsia="Calibri" w:hAnsiTheme="minorHAnsi" w:cstheme="minorHAnsi"/>
                <w:sz w:val="22"/>
                <w:szCs w:val="22"/>
              </w:rPr>
              <w:t xml:space="preserve">to be </w:t>
            </w:r>
            <w:r w:rsidR="005E7510" w:rsidRPr="009B4D88">
              <w:rPr>
                <w:rFonts w:asciiTheme="minorHAnsi" w:eastAsia="Calibri" w:hAnsiTheme="minorHAnsi" w:cstheme="minorHAnsi"/>
                <w:sz w:val="22"/>
                <w:szCs w:val="22"/>
              </w:rPr>
              <w:t xml:space="preserve"> </w:t>
            </w:r>
            <w:r w:rsidR="00552DA5" w:rsidRPr="009B4D88">
              <w:rPr>
                <w:rFonts w:asciiTheme="minorHAnsi" w:eastAsia="Calibri" w:hAnsiTheme="minorHAnsi" w:cstheme="minorHAnsi"/>
                <w:sz w:val="22"/>
                <w:szCs w:val="22"/>
              </w:rPr>
              <w:t>part of ongoing criminal activity</w:t>
            </w:r>
            <w:r w:rsidRPr="009B4D88">
              <w:rPr>
                <w:rFonts w:asciiTheme="minorHAnsi" w:eastAsia="Calibri" w:hAnsiTheme="minorHAnsi" w:cstheme="minorHAnsi"/>
                <w:sz w:val="22"/>
                <w:szCs w:val="22"/>
              </w:rPr>
              <w:t xml:space="preserve"> </w:t>
            </w:r>
            <w:r w:rsidR="00651343" w:rsidRPr="009B4D88">
              <w:rPr>
                <w:rFonts w:asciiTheme="minorHAnsi" w:eastAsia="Calibri" w:hAnsiTheme="minorHAnsi" w:cstheme="minorHAnsi"/>
                <w:sz w:val="22"/>
                <w:szCs w:val="22"/>
              </w:rPr>
              <w:t>–</w:t>
            </w:r>
            <w:r w:rsidRPr="009B4D88">
              <w:rPr>
                <w:rFonts w:asciiTheme="minorHAnsi" w:eastAsia="Calibri" w:hAnsiTheme="minorHAnsi" w:cstheme="minorHAnsi"/>
                <w:sz w:val="22"/>
                <w:szCs w:val="22"/>
              </w:rPr>
              <w:t>(</w:t>
            </w:r>
            <w:r w:rsidR="007F0722" w:rsidRPr="009B4D88">
              <w:rPr>
                <w:rFonts w:asciiTheme="minorHAnsi" w:eastAsia="Calibri" w:hAnsiTheme="minorHAnsi" w:cstheme="minorHAnsi"/>
                <w:sz w:val="22"/>
                <w:szCs w:val="22"/>
              </w:rPr>
              <w:t>P</w:t>
            </w:r>
            <w:r w:rsidRPr="009B4D88">
              <w:rPr>
                <w:rFonts w:asciiTheme="minorHAnsi" w:eastAsia="Calibri" w:hAnsiTheme="minorHAnsi" w:cstheme="minorHAnsi"/>
                <w:sz w:val="22"/>
                <w:szCs w:val="22"/>
              </w:rPr>
              <w:t xml:space="preserve">art </w:t>
            </w:r>
            <w:r w:rsidR="009F7BA4" w:rsidRPr="009B4D88">
              <w:rPr>
                <w:rFonts w:asciiTheme="minorHAnsi" w:eastAsia="Calibri" w:hAnsiTheme="minorHAnsi" w:cstheme="minorHAnsi"/>
                <w:sz w:val="22"/>
                <w:szCs w:val="22"/>
              </w:rPr>
              <w:t xml:space="preserve">2 of </w:t>
            </w:r>
            <w:r w:rsidRPr="009B4D88">
              <w:rPr>
                <w:rFonts w:asciiTheme="minorHAnsi" w:eastAsia="Calibri" w:hAnsiTheme="minorHAnsi" w:cstheme="minorHAnsi"/>
                <w:sz w:val="22"/>
                <w:szCs w:val="22"/>
              </w:rPr>
              <w:t>2)</w:t>
            </w:r>
          </w:p>
          <w:p w14:paraId="7861DBA9" w14:textId="77777777" w:rsidR="00B03A12" w:rsidRPr="009B4D88" w:rsidRDefault="00B03A12" w:rsidP="00862654">
            <w:pPr>
              <w:spacing w:before="40" w:after="40"/>
              <w:rPr>
                <w:rFonts w:asciiTheme="minorHAnsi" w:eastAsia="Calibri" w:hAnsiTheme="minorHAnsi" w:cstheme="minorHAnsi"/>
                <w:sz w:val="22"/>
                <w:szCs w:val="22"/>
              </w:rPr>
            </w:pPr>
          </w:p>
        </w:tc>
      </w:tr>
      <w:tr w:rsidR="003E5D88" w:rsidRPr="009B4D88" w14:paraId="314B47DD" w14:textId="77777777" w:rsidTr="003727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Borders>
              <w:top w:val="single" w:sz="4" w:space="0" w:color="auto"/>
            </w:tcBorders>
          </w:tcPr>
          <w:p w14:paraId="51A390CB" w14:textId="77777777" w:rsidR="003E5D88" w:rsidRPr="009B4D88" w:rsidRDefault="003E5D88" w:rsidP="003E5D88">
            <w:pPr>
              <w:pStyle w:val="ListParagraph"/>
              <w:numPr>
                <w:ilvl w:val="0"/>
                <w:numId w:val="29"/>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color w:val="000000"/>
                <w:sz w:val="22"/>
                <w:szCs w:val="22"/>
              </w:rPr>
              <w:t xml:space="preserve">User Groups (Requestors) / User characteristics </w:t>
            </w:r>
          </w:p>
        </w:tc>
        <w:tc>
          <w:tcPr>
            <w:tcW w:w="6120" w:type="dxa"/>
            <w:tcBorders>
              <w:top w:val="single" w:sz="4" w:space="0" w:color="auto"/>
            </w:tcBorders>
          </w:tcPr>
          <w:p w14:paraId="0AF698A9" w14:textId="410B3369" w:rsidR="003E5D88" w:rsidRPr="009B4D88" w:rsidRDefault="003E5D88" w:rsidP="003E5D8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9B4D88">
              <w:rPr>
                <w:rFonts w:asciiTheme="minorHAnsi" w:hAnsiTheme="minorHAnsi" w:cstheme="minorHAnsi"/>
                <w:b/>
                <w:sz w:val="22"/>
                <w:szCs w:val="22"/>
              </w:rPr>
              <w:t>Digital crime investigators (corporate or academic).  Most investigations of this type start with corporate or academic investigators. LEA relies heavily on these researchers.</w:t>
            </w:r>
          </w:p>
        </w:tc>
      </w:tr>
      <w:tr w:rsidR="00B03A12" w:rsidRPr="009B4D88" w14:paraId="67564649"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010B32A"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color w:val="000000"/>
                <w:sz w:val="22"/>
                <w:szCs w:val="22"/>
              </w:rPr>
              <w:t>Why is non-public registration data necessary?</w:t>
            </w:r>
          </w:p>
        </w:tc>
        <w:tc>
          <w:tcPr>
            <w:tcW w:w="6120" w:type="dxa"/>
          </w:tcPr>
          <w:p w14:paraId="0BB62FD9" w14:textId="023F5391" w:rsidR="00B03A12" w:rsidRPr="009B4D88" w:rsidRDefault="00B03A12" w:rsidP="00862654">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9B4D88">
              <w:rPr>
                <w:rFonts w:asciiTheme="minorHAnsi" w:eastAsia="Calibri" w:hAnsiTheme="minorHAnsi" w:cstheme="minorHAnsi"/>
                <w:bCs/>
                <w:sz w:val="22"/>
                <w:szCs w:val="22"/>
              </w:rPr>
              <w:t xml:space="preserve">Non-public registration data is requested in order to </w:t>
            </w:r>
            <w:r w:rsidR="00DF3108" w:rsidRPr="009B4D88">
              <w:rPr>
                <w:rFonts w:asciiTheme="minorHAnsi" w:eastAsia="Calibri" w:hAnsiTheme="minorHAnsi" w:cstheme="minorHAnsi"/>
                <w:bCs/>
                <w:sz w:val="22"/>
                <w:szCs w:val="22"/>
              </w:rPr>
              <w:t xml:space="preserve">identify </w:t>
            </w:r>
            <w:r w:rsidR="00D5085B" w:rsidRPr="009B4D88">
              <w:rPr>
                <w:rFonts w:asciiTheme="minorHAnsi" w:eastAsia="Calibri" w:hAnsiTheme="minorHAnsi" w:cstheme="minorHAnsi"/>
                <w:bCs/>
                <w:sz w:val="22"/>
                <w:szCs w:val="22"/>
              </w:rPr>
              <w:t xml:space="preserve">and </w:t>
            </w:r>
            <w:r w:rsidR="00AB48CE" w:rsidRPr="009B4D88">
              <w:rPr>
                <w:rFonts w:asciiTheme="minorHAnsi" w:eastAsia="Calibri" w:hAnsiTheme="minorHAnsi" w:cstheme="minorHAnsi"/>
                <w:bCs/>
                <w:sz w:val="22"/>
                <w:szCs w:val="22"/>
              </w:rPr>
              <w:t xml:space="preserve">confirm </w:t>
            </w:r>
            <w:r w:rsidR="00A43BCE" w:rsidRPr="009B4D88">
              <w:rPr>
                <w:rFonts w:asciiTheme="minorHAnsi" w:eastAsia="Calibri" w:hAnsiTheme="minorHAnsi" w:cstheme="minorHAnsi"/>
                <w:bCs/>
                <w:sz w:val="22"/>
                <w:szCs w:val="22"/>
              </w:rPr>
              <w:t>additional</w:t>
            </w:r>
            <w:r w:rsidR="00DF3108" w:rsidRPr="009B4D88">
              <w:rPr>
                <w:rFonts w:asciiTheme="minorHAnsi" w:eastAsia="Calibri" w:hAnsiTheme="minorHAnsi" w:cstheme="minorHAnsi"/>
                <w:bCs/>
                <w:sz w:val="22"/>
                <w:szCs w:val="22"/>
              </w:rPr>
              <w:t xml:space="preserve"> components </w:t>
            </w:r>
            <w:r w:rsidRPr="009B4D88">
              <w:rPr>
                <w:rFonts w:asciiTheme="minorHAnsi" w:eastAsia="Calibri" w:hAnsiTheme="minorHAnsi" w:cstheme="minorHAnsi"/>
                <w:bCs/>
                <w:sz w:val="22"/>
                <w:szCs w:val="22"/>
              </w:rPr>
              <w:t xml:space="preserve">of </w:t>
            </w:r>
            <w:r w:rsidR="00DF3108" w:rsidRPr="009B4D88">
              <w:rPr>
                <w:rFonts w:asciiTheme="minorHAnsi" w:eastAsia="Calibri" w:hAnsiTheme="minorHAnsi" w:cstheme="minorHAnsi"/>
                <w:bCs/>
                <w:sz w:val="22"/>
                <w:szCs w:val="22"/>
              </w:rPr>
              <w:t xml:space="preserve">the </w:t>
            </w:r>
            <w:r w:rsidRPr="009B4D88">
              <w:rPr>
                <w:rFonts w:asciiTheme="minorHAnsi" w:eastAsia="Calibri" w:hAnsiTheme="minorHAnsi" w:cstheme="minorHAnsi"/>
                <w:bCs/>
                <w:sz w:val="22"/>
                <w:szCs w:val="22"/>
              </w:rPr>
              <w:t>criminal infrastructure and to identify further investigatory requirements.</w:t>
            </w:r>
          </w:p>
        </w:tc>
      </w:tr>
      <w:tr w:rsidR="00B03A12" w:rsidRPr="009B4D88" w14:paraId="44A5E918"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3D35008" w14:textId="77777777" w:rsidR="00B03A12" w:rsidRPr="009B4D88" w:rsidRDefault="00B03A12" w:rsidP="00862654">
            <w:pPr>
              <w:pStyle w:val="ListParagraph"/>
              <w:numPr>
                <w:ilvl w:val="0"/>
                <w:numId w:val="29"/>
              </w:numPr>
              <w:spacing w:before="40" w:after="40"/>
              <w:rPr>
                <w:rFonts w:asciiTheme="minorHAnsi" w:hAnsiTheme="minorHAnsi" w:cstheme="minorHAnsi"/>
                <w:sz w:val="22"/>
                <w:szCs w:val="22"/>
              </w:rPr>
            </w:pPr>
            <w:r w:rsidRPr="009B4D88">
              <w:rPr>
                <w:rFonts w:asciiTheme="minorHAnsi" w:eastAsia="Calibri" w:hAnsiTheme="minorHAnsi" w:cstheme="minorHAnsi"/>
                <w:b w:val="0"/>
                <w:color w:val="000000"/>
                <w:sz w:val="22"/>
                <w:szCs w:val="22"/>
              </w:rPr>
              <w:t>Data elements that may typically be disclosed</w:t>
            </w:r>
            <w:r w:rsidRPr="009B4D88">
              <w:rPr>
                <w:rStyle w:val="FootnoteReference"/>
                <w:rFonts w:asciiTheme="minorHAnsi" w:eastAsia="Calibri" w:hAnsiTheme="minorHAnsi" w:cstheme="minorHAnsi"/>
                <w:b w:val="0"/>
                <w:color w:val="000000"/>
                <w:sz w:val="22"/>
                <w:szCs w:val="22"/>
              </w:rPr>
              <w:footnoteReference w:id="6"/>
            </w:r>
            <w:r w:rsidRPr="009B4D88">
              <w:rPr>
                <w:rFonts w:asciiTheme="minorHAnsi" w:eastAsia="Calibri" w:hAnsiTheme="minorHAnsi" w:cstheme="minorHAnsi"/>
                <w:b w:val="0"/>
                <w:color w:val="000000"/>
                <w:sz w:val="22"/>
                <w:szCs w:val="22"/>
              </w:rPr>
              <w:t xml:space="preserve"> </w:t>
            </w:r>
          </w:p>
          <w:p w14:paraId="0CB24A3B" w14:textId="77777777" w:rsidR="00B03A12" w:rsidRPr="009B4D88" w:rsidRDefault="00B03A12" w:rsidP="00862654">
            <w:pPr>
              <w:spacing w:before="40" w:after="40"/>
              <w:rPr>
                <w:rFonts w:asciiTheme="minorHAnsi" w:eastAsia="Calibri" w:hAnsiTheme="minorHAnsi" w:cstheme="minorHAnsi"/>
                <w:color w:val="000000"/>
                <w:sz w:val="22"/>
                <w:szCs w:val="22"/>
              </w:rPr>
            </w:pPr>
          </w:p>
        </w:tc>
        <w:tc>
          <w:tcPr>
            <w:tcW w:w="6120" w:type="dxa"/>
          </w:tcPr>
          <w:p w14:paraId="4A526DEE" w14:textId="0446A694" w:rsidR="00B03A12" w:rsidRPr="009B4D88" w:rsidRDefault="003A7DE1" w:rsidP="00862654">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In this case, it has </w:t>
            </w:r>
            <w:r w:rsidR="001315BC" w:rsidRPr="009B4D88">
              <w:rPr>
                <w:rFonts w:asciiTheme="minorHAnsi" w:eastAsia="Calibri" w:hAnsiTheme="minorHAnsi" w:cstheme="minorHAnsi"/>
                <w:sz w:val="22"/>
                <w:szCs w:val="22"/>
              </w:rPr>
              <w:t xml:space="preserve">already </w:t>
            </w:r>
            <w:r w:rsidR="00D03F30" w:rsidRPr="009B4D88">
              <w:rPr>
                <w:rFonts w:asciiTheme="minorHAnsi" w:eastAsia="Calibri" w:hAnsiTheme="minorHAnsi" w:cstheme="minorHAnsi"/>
                <w:sz w:val="22"/>
                <w:szCs w:val="22"/>
              </w:rPr>
              <w:t xml:space="preserve">been </w:t>
            </w:r>
            <w:r w:rsidRPr="009B4D88">
              <w:rPr>
                <w:rFonts w:asciiTheme="minorHAnsi" w:eastAsia="Calibri" w:hAnsiTheme="minorHAnsi" w:cstheme="minorHAnsi"/>
                <w:sz w:val="22"/>
                <w:szCs w:val="22"/>
              </w:rPr>
              <w:t xml:space="preserve">determined that the </w:t>
            </w:r>
            <w:r w:rsidR="00B03A12" w:rsidRPr="009B4D88">
              <w:rPr>
                <w:rFonts w:asciiTheme="minorHAnsi" w:eastAsia="Calibri" w:hAnsiTheme="minorHAnsi" w:cstheme="minorHAnsi"/>
                <w:sz w:val="22"/>
                <w:szCs w:val="22"/>
              </w:rPr>
              <w:t>domain name owner is not a secondary victim but is in fact a perpetrator against the primary victims</w:t>
            </w:r>
            <w:r w:rsidR="00D03F30" w:rsidRPr="009B4D88">
              <w:rPr>
                <w:rFonts w:asciiTheme="minorHAnsi" w:eastAsia="Calibri" w:hAnsiTheme="minorHAnsi" w:cstheme="minorHAnsi"/>
                <w:sz w:val="22"/>
                <w:szCs w:val="22"/>
              </w:rPr>
              <w:t>. T</w:t>
            </w:r>
            <w:r w:rsidR="00B03A12" w:rsidRPr="009B4D88">
              <w:rPr>
                <w:rFonts w:asciiTheme="minorHAnsi" w:eastAsia="Calibri" w:hAnsiTheme="minorHAnsi" w:cstheme="minorHAnsi"/>
                <w:sz w:val="22"/>
                <w:szCs w:val="22"/>
              </w:rPr>
              <w:t xml:space="preserve">he full set of nonpublic data </w:t>
            </w:r>
            <w:r w:rsidR="00A00694" w:rsidRPr="009B4D88">
              <w:rPr>
                <w:rFonts w:asciiTheme="minorHAnsi" w:eastAsia="Calibri" w:hAnsiTheme="minorHAnsi" w:cstheme="minorHAnsi"/>
                <w:sz w:val="22"/>
                <w:szCs w:val="22"/>
              </w:rPr>
              <w:t>has already been</w:t>
            </w:r>
            <w:r w:rsidR="00B03A12" w:rsidRPr="009B4D88">
              <w:rPr>
                <w:rFonts w:asciiTheme="minorHAnsi" w:eastAsia="Calibri" w:hAnsiTheme="minorHAnsi" w:cstheme="minorHAnsi"/>
                <w:sz w:val="22"/>
                <w:szCs w:val="22"/>
              </w:rPr>
              <w:t xml:space="preserve"> requested </w:t>
            </w:r>
            <w:r w:rsidR="00A00694" w:rsidRPr="009B4D88">
              <w:rPr>
                <w:rFonts w:asciiTheme="minorHAnsi" w:eastAsia="Calibri" w:hAnsiTheme="minorHAnsi" w:cstheme="minorHAnsi"/>
                <w:sz w:val="22"/>
                <w:szCs w:val="22"/>
              </w:rPr>
              <w:t xml:space="preserve">in Part 1 of this use case </w:t>
            </w:r>
            <w:r w:rsidR="00B03A12" w:rsidRPr="009B4D88">
              <w:rPr>
                <w:rFonts w:asciiTheme="minorHAnsi" w:eastAsia="Calibri" w:hAnsiTheme="minorHAnsi" w:cstheme="minorHAnsi"/>
                <w:sz w:val="22"/>
                <w:szCs w:val="22"/>
              </w:rPr>
              <w:t>to facilitate further investigation and identification.</w:t>
            </w:r>
          </w:p>
          <w:p w14:paraId="69529D52" w14:textId="77777777" w:rsidR="006E515F" w:rsidRPr="009B4D88" w:rsidRDefault="00F56169" w:rsidP="00862654">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Part 2 of this use case </w:t>
            </w:r>
            <w:r w:rsidR="008B633F" w:rsidRPr="009B4D88">
              <w:rPr>
                <w:rFonts w:asciiTheme="minorHAnsi" w:eastAsia="Calibri" w:hAnsiTheme="minorHAnsi" w:cstheme="minorHAnsi"/>
                <w:sz w:val="22"/>
                <w:szCs w:val="22"/>
              </w:rPr>
              <w:t xml:space="preserve">relates to </w:t>
            </w:r>
            <w:r w:rsidR="002103B1" w:rsidRPr="009B4D88">
              <w:rPr>
                <w:rFonts w:asciiTheme="minorHAnsi" w:eastAsia="Calibri" w:hAnsiTheme="minorHAnsi" w:cstheme="minorHAnsi"/>
                <w:sz w:val="22"/>
                <w:szCs w:val="22"/>
              </w:rPr>
              <w:t xml:space="preserve">pattern-matching </w:t>
            </w:r>
            <w:r w:rsidR="00FE5B62" w:rsidRPr="009B4D88">
              <w:rPr>
                <w:rFonts w:asciiTheme="minorHAnsi" w:eastAsia="Calibri" w:hAnsiTheme="minorHAnsi" w:cstheme="minorHAnsi"/>
                <w:sz w:val="22"/>
                <w:szCs w:val="22"/>
              </w:rPr>
              <w:t>portions of the personal data already disclosed in Part</w:t>
            </w:r>
            <w:r w:rsidR="00544B94" w:rsidRPr="009B4D88">
              <w:rPr>
                <w:rFonts w:asciiTheme="minorHAnsi" w:eastAsia="Calibri" w:hAnsiTheme="minorHAnsi" w:cstheme="minorHAnsi"/>
                <w:sz w:val="22"/>
                <w:szCs w:val="22"/>
              </w:rPr>
              <w:t xml:space="preserve"> </w:t>
            </w:r>
            <w:r w:rsidR="00FE5B62" w:rsidRPr="009B4D88">
              <w:rPr>
                <w:rFonts w:asciiTheme="minorHAnsi" w:eastAsia="Calibri" w:hAnsiTheme="minorHAnsi" w:cstheme="minorHAnsi"/>
                <w:sz w:val="22"/>
                <w:szCs w:val="22"/>
              </w:rPr>
              <w:t>1</w:t>
            </w:r>
            <w:r w:rsidR="001315BC" w:rsidRPr="009B4D88">
              <w:rPr>
                <w:rFonts w:asciiTheme="minorHAnsi" w:eastAsia="Calibri" w:hAnsiTheme="minorHAnsi" w:cstheme="minorHAnsi"/>
                <w:sz w:val="22"/>
                <w:szCs w:val="22"/>
              </w:rPr>
              <w:t xml:space="preserve"> </w:t>
            </w:r>
            <w:r w:rsidR="00DA0FAB" w:rsidRPr="009B4D88">
              <w:rPr>
                <w:rFonts w:asciiTheme="minorHAnsi" w:eastAsia="Calibri" w:hAnsiTheme="minorHAnsi" w:cstheme="minorHAnsi"/>
                <w:sz w:val="22"/>
                <w:szCs w:val="22"/>
              </w:rPr>
              <w:t xml:space="preserve">against other domain name registrations at the same </w:t>
            </w:r>
            <w:r w:rsidR="00544B94" w:rsidRPr="009B4D88">
              <w:rPr>
                <w:rFonts w:asciiTheme="minorHAnsi" w:eastAsia="Calibri" w:hAnsiTheme="minorHAnsi" w:cstheme="minorHAnsi"/>
                <w:sz w:val="22"/>
                <w:szCs w:val="22"/>
              </w:rPr>
              <w:t>registrar.</w:t>
            </w:r>
            <w:r w:rsidR="00A41452" w:rsidRPr="009B4D88">
              <w:rPr>
                <w:rFonts w:asciiTheme="minorHAnsi" w:eastAsia="Calibri" w:hAnsiTheme="minorHAnsi" w:cstheme="minorHAnsi"/>
                <w:sz w:val="22"/>
                <w:szCs w:val="22"/>
              </w:rPr>
              <w:t xml:space="preserve">  </w:t>
            </w:r>
          </w:p>
          <w:p w14:paraId="5051389F" w14:textId="5EF9FEDF" w:rsidR="00583B02" w:rsidRPr="009B4D88" w:rsidRDefault="00A41452" w:rsidP="00862654">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lastRenderedPageBreak/>
              <w:t xml:space="preserve">No data elements are disclosed unless the registrar </w:t>
            </w:r>
            <w:r w:rsidR="00015738" w:rsidRPr="009B4D88">
              <w:rPr>
                <w:rFonts w:asciiTheme="minorHAnsi" w:eastAsia="Calibri" w:hAnsiTheme="minorHAnsi" w:cstheme="minorHAnsi"/>
                <w:sz w:val="22"/>
                <w:szCs w:val="22"/>
              </w:rPr>
              <w:t xml:space="preserve">agrees to perform such a search </w:t>
            </w:r>
            <w:r w:rsidR="00901CDD" w:rsidRPr="009B4D88">
              <w:rPr>
                <w:rFonts w:asciiTheme="minorHAnsi" w:eastAsia="Calibri" w:hAnsiTheme="minorHAnsi" w:cstheme="minorHAnsi"/>
                <w:sz w:val="22"/>
                <w:szCs w:val="22"/>
              </w:rPr>
              <w:t>and</w:t>
            </w:r>
            <w:r w:rsidR="00015738" w:rsidRPr="009B4D88">
              <w:rPr>
                <w:rFonts w:asciiTheme="minorHAnsi" w:eastAsia="Calibri" w:hAnsiTheme="minorHAnsi" w:cstheme="minorHAnsi"/>
                <w:sz w:val="22"/>
                <w:szCs w:val="22"/>
              </w:rPr>
              <w:t xml:space="preserve"> </w:t>
            </w:r>
            <w:r w:rsidRPr="009B4D88">
              <w:rPr>
                <w:rFonts w:asciiTheme="minorHAnsi" w:eastAsia="Calibri" w:hAnsiTheme="minorHAnsi" w:cstheme="minorHAnsi"/>
                <w:sz w:val="22"/>
                <w:szCs w:val="22"/>
              </w:rPr>
              <w:t>identifies a match.</w:t>
            </w:r>
          </w:p>
          <w:p w14:paraId="10090232" w14:textId="37CD204F" w:rsidR="001315BC" w:rsidRPr="009B4D88" w:rsidRDefault="00C5543D" w:rsidP="00862654">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If a match is found, the full set of nonpublic data for the matching registrations will be returned</w:t>
            </w:r>
            <w:r w:rsidR="00583B02" w:rsidRPr="009B4D88">
              <w:rPr>
                <w:rFonts w:asciiTheme="minorHAnsi" w:eastAsia="Calibri" w:hAnsiTheme="minorHAnsi" w:cstheme="minorHAnsi"/>
                <w:sz w:val="22"/>
                <w:szCs w:val="22"/>
              </w:rPr>
              <w:t>.</w:t>
            </w:r>
          </w:p>
        </w:tc>
      </w:tr>
      <w:tr w:rsidR="00B03A12" w:rsidRPr="009B4D88" w14:paraId="458C4EE9"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BEC08A6"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lastRenderedPageBreak/>
              <w:t>Lawful basis of entity disclosing non-public registration data to the requestor</w:t>
            </w:r>
          </w:p>
        </w:tc>
        <w:tc>
          <w:tcPr>
            <w:tcW w:w="6120" w:type="dxa"/>
          </w:tcPr>
          <w:p w14:paraId="1B248F68" w14:textId="24362DF5" w:rsidR="00F5336D" w:rsidRPr="009B4D88" w:rsidRDefault="006E515F" w:rsidP="0086265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6</w:t>
            </w:r>
            <w:r w:rsidR="00DA67F9" w:rsidRPr="009B4D88">
              <w:rPr>
                <w:rFonts w:asciiTheme="minorHAnsi" w:eastAsia="Calibri" w:hAnsiTheme="minorHAnsi" w:cstheme="minorHAnsi"/>
                <w:sz w:val="22"/>
                <w:szCs w:val="22"/>
              </w:rPr>
              <w:t>(1)(f)</w:t>
            </w:r>
          </w:p>
          <w:p w14:paraId="1914945C" w14:textId="688230B8"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tc>
      </w:tr>
      <w:tr w:rsidR="00B03A12" w:rsidRPr="009B4D88" w14:paraId="657E84FC"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2BC110B" w14:textId="77777777" w:rsidR="00B03A12" w:rsidRPr="009B4D88" w:rsidRDefault="00B03A12" w:rsidP="00862654">
            <w:pPr>
              <w:pStyle w:val="ListParagraph"/>
              <w:numPr>
                <w:ilvl w:val="0"/>
                <w:numId w:val="29"/>
              </w:numPr>
              <w:spacing w:before="40" w:after="40"/>
              <w:rPr>
                <w:rFonts w:asciiTheme="minorHAnsi" w:hAnsiTheme="minorHAnsi" w:cstheme="minorHAnsi"/>
                <w:sz w:val="22"/>
                <w:szCs w:val="22"/>
              </w:rPr>
            </w:pPr>
            <w:r w:rsidRPr="009B4D88">
              <w:rPr>
                <w:rFonts w:asciiTheme="minorHAnsi" w:eastAsia="Calibri" w:hAnsiTheme="minorHAnsi" w:cstheme="minorHAnsi"/>
                <w:b w:val="0"/>
                <w:color w:val="000000"/>
                <w:sz w:val="22"/>
                <w:szCs w:val="22"/>
              </w:rPr>
              <w:t>Supporting info to determine lawful basis for the requestor</w:t>
            </w:r>
          </w:p>
        </w:tc>
        <w:tc>
          <w:tcPr>
            <w:tcW w:w="6120" w:type="dxa"/>
          </w:tcPr>
          <w:p w14:paraId="64079D3C" w14:textId="77777777" w:rsidR="00C2371B" w:rsidRPr="009B4D88" w:rsidRDefault="00DA67F9" w:rsidP="00862654">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Although an investigator may be </w:t>
            </w:r>
            <w:r w:rsidR="002216A0" w:rsidRPr="009B4D88">
              <w:rPr>
                <w:rFonts w:asciiTheme="minorHAnsi" w:eastAsia="Calibri" w:hAnsiTheme="minorHAnsi" w:cstheme="minorHAnsi"/>
                <w:sz w:val="22"/>
                <w:szCs w:val="22"/>
              </w:rPr>
              <w:t xml:space="preserve">acting in a fashion which is seemingly in the public interest, </w:t>
            </w:r>
            <w:r w:rsidRPr="009B4D88">
              <w:rPr>
                <w:rFonts w:asciiTheme="minorHAnsi" w:eastAsia="Calibri" w:hAnsiTheme="minorHAnsi" w:cstheme="minorHAnsi"/>
                <w:sz w:val="22"/>
                <w:szCs w:val="22"/>
              </w:rPr>
              <w:t xml:space="preserve">GDPR has not yet addressed this type of public interest activity.  </w:t>
            </w:r>
          </w:p>
          <w:p w14:paraId="3D3E3CF1" w14:textId="77995919" w:rsidR="00B03A12" w:rsidRPr="009B4D88" w:rsidRDefault="00DA67F9" w:rsidP="009B4D88">
            <w:pPr>
              <w:pStyle w:val="ListParagraph"/>
              <w:numPr>
                <w:ilvl w:val="1"/>
                <w:numId w:val="30"/>
              </w:numPr>
              <w:cnfStyle w:val="000000100000" w:firstRow="0" w:lastRow="0" w:firstColumn="0" w:lastColumn="0" w:oddVBand="0" w:evenVBand="0" w:oddHBand="1" w:evenHBand="0" w:firstRowFirstColumn="0" w:firstRowLastColumn="0" w:lastRowFirstColumn="0" w:lastRowLastColumn="0"/>
              <w:rPr>
                <w:rStyle w:val="normaltextrun"/>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Therefore, </w:t>
            </w:r>
            <w:r w:rsidR="00AE183B" w:rsidRPr="009B4D88">
              <w:rPr>
                <w:rFonts w:asciiTheme="minorHAnsi" w:eastAsia="Calibri" w:hAnsiTheme="minorHAnsi" w:cstheme="minorHAnsi"/>
                <w:sz w:val="22"/>
                <w:szCs w:val="22"/>
              </w:rPr>
              <w:t>like</w:t>
            </w:r>
            <w:r w:rsidRPr="009B4D88">
              <w:rPr>
                <w:rFonts w:asciiTheme="minorHAnsi" w:eastAsia="Calibri" w:hAnsiTheme="minorHAnsi" w:cstheme="minorHAnsi"/>
                <w:sz w:val="22"/>
                <w:szCs w:val="22"/>
              </w:rPr>
              <w:t xml:space="preserve"> (d) and (e) above, we request that a working party examine the processing required for this use case and provide greater clarity and certainty.</w:t>
            </w:r>
          </w:p>
          <w:p w14:paraId="1CCE1612" w14:textId="77777777" w:rsidR="00F6139C" w:rsidRPr="009B4D88" w:rsidRDefault="00FC2F66" w:rsidP="00862654">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Style w:val="normaltextrun"/>
                <w:rFonts w:asciiTheme="minorHAnsi" w:eastAsia="Calibri" w:hAnsiTheme="minorHAnsi" w:cstheme="minorHAnsi"/>
                <w:sz w:val="22"/>
                <w:szCs w:val="22"/>
              </w:rPr>
            </w:pPr>
            <w:r w:rsidRPr="009B4D88">
              <w:rPr>
                <w:rStyle w:val="normaltextrun"/>
                <w:rFonts w:asciiTheme="minorHAnsi" w:hAnsiTheme="minorHAnsi" w:cstheme="minorHAnsi"/>
                <w:color w:val="000000"/>
                <w:sz w:val="22"/>
                <w:szCs w:val="22"/>
                <w:shd w:val="clear" w:color="auto" w:fill="F7CBAC"/>
              </w:rPr>
              <w:t>Even in cases where the investigator is doing so at the instruction of LEA</w:t>
            </w:r>
            <w:r w:rsidR="001506BA" w:rsidRPr="009B4D88">
              <w:rPr>
                <w:rStyle w:val="normaltextrun"/>
                <w:rFonts w:asciiTheme="minorHAnsi" w:hAnsiTheme="minorHAnsi" w:cstheme="minorHAnsi"/>
                <w:color w:val="000000"/>
                <w:sz w:val="22"/>
                <w:szCs w:val="22"/>
                <w:shd w:val="clear" w:color="auto" w:fill="F7CBAC"/>
              </w:rPr>
              <w:t xml:space="preserve">, we do not feel that 6(1)(c) is applicable since the investigator is not the data controller. </w:t>
            </w:r>
          </w:p>
          <w:p w14:paraId="39C2DF21" w14:textId="7AD01BF9" w:rsidR="00FC2F66" w:rsidRPr="009B4D88" w:rsidRDefault="001506BA" w:rsidP="009B4D88">
            <w:pPr>
              <w:pStyle w:val="ListParagraph"/>
              <w:numPr>
                <w:ilvl w:val="1"/>
                <w:numId w:val="30"/>
              </w:numPr>
              <w:cnfStyle w:val="000000100000" w:firstRow="0" w:lastRow="0" w:firstColumn="0" w:lastColumn="0" w:oddVBand="0" w:evenVBand="0" w:oddHBand="1" w:evenHBand="0" w:firstRowFirstColumn="0" w:firstRowLastColumn="0" w:lastRowFirstColumn="0" w:lastRowLastColumn="0"/>
              <w:rPr>
                <w:rStyle w:val="normaltextrun"/>
                <w:rFonts w:asciiTheme="minorHAnsi" w:eastAsia="Calibri" w:hAnsiTheme="minorHAnsi" w:cstheme="minorHAnsi"/>
                <w:sz w:val="22"/>
                <w:szCs w:val="22"/>
              </w:rPr>
            </w:pPr>
            <w:r w:rsidRPr="009B4D88">
              <w:rPr>
                <w:rStyle w:val="normaltextrun"/>
                <w:rFonts w:asciiTheme="minorHAnsi" w:hAnsiTheme="minorHAnsi" w:cstheme="minorHAnsi"/>
                <w:color w:val="000000"/>
                <w:sz w:val="22"/>
                <w:szCs w:val="22"/>
                <w:shd w:val="clear" w:color="auto" w:fill="F7CBAC"/>
              </w:rPr>
              <w:t>Rather, this</w:t>
            </w:r>
            <w:r w:rsidR="00805BA8" w:rsidRPr="009B4D88">
              <w:rPr>
                <w:rStyle w:val="normaltextrun"/>
                <w:rFonts w:asciiTheme="minorHAnsi" w:hAnsiTheme="minorHAnsi" w:cstheme="minorHAnsi"/>
                <w:color w:val="000000"/>
                <w:sz w:val="22"/>
                <w:szCs w:val="22"/>
                <w:shd w:val="clear" w:color="auto" w:fill="F7CBAC"/>
              </w:rPr>
              <w:t xml:space="preserve"> more clearly falls under the processing contemplated by 6(1)(f). </w:t>
            </w:r>
          </w:p>
          <w:p w14:paraId="412FE55A" w14:textId="18FFD194" w:rsidR="00C72E91" w:rsidRPr="009B4D88" w:rsidRDefault="00C72E91" w:rsidP="009B4D88">
            <w:pPr>
              <w:pStyle w:val="ListParagraph"/>
              <w:numPr>
                <w:ilvl w:val="1"/>
                <w:numId w:val="30"/>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Style w:val="normaltextrun"/>
                <w:rFonts w:asciiTheme="minorHAnsi" w:hAnsiTheme="minorHAnsi" w:cstheme="minorHAnsi"/>
                <w:color w:val="000000"/>
                <w:sz w:val="22"/>
                <w:szCs w:val="22"/>
                <w:shd w:val="clear" w:color="auto" w:fill="F7CBAC"/>
              </w:rPr>
              <w:t xml:space="preserve">Article 10 </w:t>
            </w:r>
            <w:r w:rsidR="005B1851" w:rsidRPr="009B4D88">
              <w:rPr>
                <w:rStyle w:val="normaltextrun"/>
                <w:rFonts w:asciiTheme="minorHAnsi" w:hAnsiTheme="minorHAnsi" w:cstheme="minorHAnsi"/>
                <w:color w:val="000000"/>
                <w:sz w:val="22"/>
                <w:szCs w:val="22"/>
                <w:shd w:val="clear" w:color="auto" w:fill="F7CBAC"/>
              </w:rPr>
              <w:t>may also provide justification for such</w:t>
            </w:r>
            <w:r w:rsidRPr="009B4D88">
              <w:rPr>
                <w:rStyle w:val="normaltextrun"/>
                <w:rFonts w:asciiTheme="minorHAnsi" w:hAnsiTheme="minorHAnsi" w:cstheme="minorHAnsi"/>
                <w:color w:val="000000"/>
                <w:sz w:val="22"/>
                <w:szCs w:val="22"/>
                <w:shd w:val="clear" w:color="auto" w:fill="F7CBAC"/>
              </w:rPr>
              <w:t xml:space="preserve"> processing</w:t>
            </w:r>
            <w:r w:rsidR="005B1851" w:rsidRPr="009B4D88">
              <w:rPr>
                <w:rStyle w:val="normaltextrun"/>
                <w:rFonts w:asciiTheme="minorHAnsi" w:hAnsiTheme="minorHAnsi" w:cstheme="minorHAnsi"/>
                <w:color w:val="000000"/>
                <w:sz w:val="22"/>
                <w:szCs w:val="22"/>
                <w:shd w:val="clear" w:color="auto" w:fill="F7CBAC"/>
              </w:rPr>
              <w:t>.</w:t>
            </w:r>
          </w:p>
        </w:tc>
      </w:tr>
      <w:tr w:rsidR="00B03A12" w:rsidRPr="009B4D88" w14:paraId="062037E8"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1C0A8D7"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Requestor</w:t>
            </w:r>
          </w:p>
        </w:tc>
        <w:tc>
          <w:tcPr>
            <w:tcW w:w="6120" w:type="dxa"/>
          </w:tcPr>
          <w:p w14:paraId="171A0C29" w14:textId="77777777"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color w:val="000000"/>
                <w:sz w:val="22"/>
                <w:szCs w:val="22"/>
              </w:rPr>
            </w:pPr>
            <w:r w:rsidRPr="009B4D88">
              <w:rPr>
                <w:rFonts w:asciiTheme="minorHAnsi" w:eastAsia="Calibri" w:hAnsiTheme="minorHAnsi" w:cstheme="minorHAnsi"/>
                <w:color w:val="000000"/>
                <w:sz w:val="22"/>
                <w:szCs w:val="22"/>
              </w:rPr>
              <w:t xml:space="preserve">The requestor: </w:t>
            </w:r>
          </w:p>
          <w:p w14:paraId="5D514261" w14:textId="77777777" w:rsidR="00B03A12" w:rsidRPr="00042AD8" w:rsidRDefault="00B03A12" w:rsidP="007A45D5">
            <w:pPr>
              <w:pStyle w:val="NormalWeb"/>
              <w:numPr>
                <w:ilvl w:val="0"/>
                <w:numId w:val="36"/>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042AD8">
              <w:rPr>
                <w:rFonts w:asciiTheme="minorHAnsi" w:hAnsiTheme="minorHAnsi" w:cstheme="minorHAnsi"/>
                <w:color w:val="000000"/>
                <w:sz w:val="22"/>
                <w:szCs w:val="22"/>
              </w:rPr>
              <w:t>Must process data in compliance with data protection laws such as GDPR, including secure transmission;</w:t>
            </w:r>
          </w:p>
          <w:p w14:paraId="116C7A01" w14:textId="77777777" w:rsidR="00B03A12" w:rsidRPr="00042AD8" w:rsidRDefault="00B03A12" w:rsidP="007A45D5">
            <w:pPr>
              <w:pStyle w:val="NormalWeb"/>
              <w:numPr>
                <w:ilvl w:val="0"/>
                <w:numId w:val="36"/>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042AD8">
              <w:rPr>
                <w:rFonts w:asciiTheme="minorHAnsi" w:hAnsiTheme="minorHAnsi" w:cstheme="minorHAnsi"/>
                <w:color w:val="000000"/>
                <w:sz w:val="22"/>
                <w:szCs w:val="22"/>
              </w:rPr>
              <w:t>Must provide representations about use of requested data which will be subject to auditing.</w:t>
            </w:r>
          </w:p>
          <w:p w14:paraId="09912805" w14:textId="77777777" w:rsidR="00B03A12" w:rsidRPr="009B4D88" w:rsidRDefault="00B03A12" w:rsidP="00862654">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p w14:paraId="20B90F60" w14:textId="77777777" w:rsidR="00B03A12" w:rsidRPr="009B4D88" w:rsidRDefault="00B03A12"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Additional items to be considered in the development of a code of conduct</w:t>
            </w:r>
            <w:r w:rsidRPr="009B4D88">
              <w:rPr>
                <w:rStyle w:val="FootnoteReference"/>
                <w:rFonts w:asciiTheme="minorHAnsi" w:hAnsiTheme="minorHAnsi" w:cstheme="minorHAnsi"/>
                <w:color w:val="000000"/>
                <w:sz w:val="22"/>
                <w:szCs w:val="22"/>
              </w:rPr>
              <w:footnoteReference w:id="7"/>
            </w:r>
            <w:r w:rsidRPr="009B4D88">
              <w:rPr>
                <w:rFonts w:asciiTheme="minorHAnsi" w:hAnsiTheme="minorHAnsi" w:cstheme="minorHAnsi"/>
                <w:color w:val="000000"/>
                <w:sz w:val="22"/>
                <w:szCs w:val="22"/>
              </w:rPr>
              <w:t>: </w:t>
            </w:r>
          </w:p>
          <w:p w14:paraId="768F9B41" w14:textId="77777777"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7E441474" w14:textId="77777777" w:rsidR="00B03A12" w:rsidRPr="009B4D88" w:rsidRDefault="00B03A12"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Individuals or entities seeking accreditation as a member of this user group must also:</w:t>
            </w:r>
          </w:p>
          <w:p w14:paraId="14D1B27C" w14:textId="77777777"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p w14:paraId="4BB8FAC4" w14:textId="77777777" w:rsidR="00B03A12" w:rsidRPr="009B4D88" w:rsidRDefault="00B03A12" w:rsidP="00A00F4E">
            <w:pPr>
              <w:pStyle w:val="NormalWeb"/>
              <w:numPr>
                <w:ilvl w:val="0"/>
                <w:numId w:val="4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Agree to only use the data for the legitimate and lawful purpose described above;</w:t>
            </w:r>
          </w:p>
          <w:p w14:paraId="12790221" w14:textId="77777777" w:rsidR="00B03A12" w:rsidRPr="009B4D88" w:rsidRDefault="00B03A12" w:rsidP="00A00F4E">
            <w:pPr>
              <w:pStyle w:val="NormalWeb"/>
              <w:numPr>
                <w:ilvl w:val="0"/>
                <w:numId w:val="4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Only issue disclosure requests with respect to the trademark(s) where ownership is evidenced;</w:t>
            </w:r>
          </w:p>
          <w:p w14:paraId="4753660F" w14:textId="77777777" w:rsidR="00B03A12" w:rsidRPr="009B4D88" w:rsidRDefault="00B03A12" w:rsidP="00A00F4E">
            <w:pPr>
              <w:pStyle w:val="NormalWeb"/>
              <w:numPr>
                <w:ilvl w:val="0"/>
                <w:numId w:val="4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Agree to: </w:t>
            </w:r>
          </w:p>
          <w:p w14:paraId="657F1E85" w14:textId="77777777" w:rsidR="00B03A12" w:rsidRPr="009B4D88" w:rsidRDefault="00B03A12" w:rsidP="00862654">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the terms of service, in which the lawful use of data described;</w:t>
            </w:r>
          </w:p>
          <w:p w14:paraId="58C2C2AF" w14:textId="77777777" w:rsidR="00B03A12" w:rsidRPr="009B4D88" w:rsidRDefault="00B03A12" w:rsidP="00862654">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prevent abuse of data received; </w:t>
            </w:r>
          </w:p>
          <w:p w14:paraId="42B3A2C5" w14:textId="77777777" w:rsidR="00B03A12" w:rsidRPr="009B4D88" w:rsidRDefault="00B03A12" w:rsidP="00862654">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be subject to de-accreditation if they are found to abuse use of data;</w:t>
            </w:r>
          </w:p>
          <w:p w14:paraId="00782853" w14:textId="77777777" w:rsidR="00B03A12" w:rsidRPr="009B4D88" w:rsidRDefault="00B03A12" w:rsidP="00862654">
            <w:pPr>
              <w:pStyle w:val="NormalWeb"/>
              <w:numPr>
                <w:ilvl w:val="1"/>
                <w:numId w:val="22"/>
              </w:numPr>
              <w:spacing w:before="0" w:beforeAutospacing="0" w:after="0" w:afterAutospacing="0"/>
              <w:ind w:left="10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lastRenderedPageBreak/>
              <w:t>maintain a register of all requests also including the respective rightsholders name (subject to audits).</w:t>
            </w:r>
          </w:p>
          <w:p w14:paraId="1CAFB9F1" w14:textId="77777777" w:rsidR="00B03A12" w:rsidRPr="009B4D88" w:rsidRDefault="00B03A12" w:rsidP="00862654">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p w14:paraId="1C7D1876" w14:textId="77777777" w:rsidR="00B03A12" w:rsidRPr="009B4D88" w:rsidRDefault="00B03A12" w:rsidP="00862654">
            <w:pPr>
              <w:numPr>
                <w:ilvl w:val="0"/>
                <w:numId w:val="31"/>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hAnsiTheme="minorHAnsi" w:cstheme="minorHAnsi"/>
                <w:color w:val="000000"/>
                <w:sz w:val="22"/>
                <w:szCs w:val="22"/>
              </w:rPr>
              <w:t>Failure to abide by safeguards would affect accreditation, including the possibility of revocation.</w:t>
            </w:r>
          </w:p>
        </w:tc>
      </w:tr>
      <w:tr w:rsidR="00B03A12" w:rsidRPr="009B4D88" w14:paraId="558F37E2"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D0D70A0"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Cs w:val="0"/>
                <w:color w:val="000000"/>
                <w:sz w:val="22"/>
                <w:szCs w:val="22"/>
              </w:rPr>
            </w:pPr>
            <w:r w:rsidRPr="009B4D88">
              <w:rPr>
                <w:rFonts w:asciiTheme="minorHAnsi" w:eastAsia="Calibri" w:hAnsiTheme="minorHAnsi" w:cstheme="minorHAnsi"/>
                <w:b w:val="0"/>
                <w:color w:val="000000"/>
                <w:sz w:val="22"/>
                <w:szCs w:val="22"/>
              </w:rPr>
              <w:lastRenderedPageBreak/>
              <w:t>Safeguards (requirements) applicable to the Entity Disclosing the Nonpublic Registration Data</w:t>
            </w:r>
          </w:p>
        </w:tc>
        <w:tc>
          <w:tcPr>
            <w:tcW w:w="6120" w:type="dxa"/>
          </w:tcPr>
          <w:p w14:paraId="27A661D6" w14:textId="77777777" w:rsidR="00B03A12" w:rsidRPr="009B4D88" w:rsidRDefault="00B03A12" w:rsidP="00862654">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The entity disclosing the data:</w:t>
            </w:r>
          </w:p>
          <w:p w14:paraId="35041750" w14:textId="48DC9A1C" w:rsidR="00B03A12" w:rsidRPr="009B4D88" w:rsidRDefault="00B03A12" w:rsidP="00862654">
            <w:pPr>
              <w:numPr>
                <w:ilvl w:val="0"/>
                <w:numId w:val="32"/>
              </w:numPr>
              <w:spacing w:before="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only supply the data requested by the requestor;</w:t>
            </w:r>
            <w:r w:rsidR="007F5721" w:rsidRPr="009B4D88">
              <w:rPr>
                <w:rFonts w:asciiTheme="minorHAnsi" w:eastAsia="Calibri" w:hAnsiTheme="minorHAnsi" w:cstheme="minorHAnsi"/>
                <w:sz w:val="22"/>
                <w:szCs w:val="22"/>
              </w:rPr>
              <w:t xml:space="preserve"> </w:t>
            </w:r>
            <w:r w:rsidR="005E75A7" w:rsidRPr="009B4D88">
              <w:rPr>
                <w:rFonts w:asciiTheme="minorHAnsi" w:eastAsia="Calibri" w:hAnsiTheme="minorHAnsi" w:cstheme="minorHAnsi"/>
                <w:sz w:val="22"/>
                <w:szCs w:val="22"/>
              </w:rPr>
              <w:t xml:space="preserve">Note: </w:t>
            </w:r>
            <w:r w:rsidR="007F5721" w:rsidRPr="009B4D88">
              <w:rPr>
                <w:rFonts w:asciiTheme="minorHAnsi" w:eastAsia="Calibri" w:hAnsiTheme="minorHAnsi" w:cstheme="minorHAnsi"/>
                <w:sz w:val="22"/>
                <w:szCs w:val="22"/>
              </w:rPr>
              <w:t xml:space="preserve">Absent working party guidance on this use case, it is not yet clear whether </w:t>
            </w:r>
            <w:r w:rsidR="004633E9" w:rsidRPr="009B4D88">
              <w:rPr>
                <w:rFonts w:asciiTheme="minorHAnsi" w:eastAsia="Calibri" w:hAnsiTheme="minorHAnsi" w:cstheme="minorHAnsi"/>
                <w:sz w:val="22"/>
                <w:szCs w:val="22"/>
              </w:rPr>
              <w:t xml:space="preserve">data returned as a result of such a request </w:t>
            </w:r>
            <w:r w:rsidR="005E75A7" w:rsidRPr="009B4D88">
              <w:rPr>
                <w:rFonts w:asciiTheme="minorHAnsi" w:eastAsia="Calibri" w:hAnsiTheme="minorHAnsi" w:cstheme="minorHAnsi"/>
                <w:sz w:val="22"/>
                <w:szCs w:val="22"/>
              </w:rPr>
              <w:t xml:space="preserve">meets the conditions of this </w:t>
            </w:r>
            <w:r w:rsidR="00827281" w:rsidRPr="009B4D88">
              <w:rPr>
                <w:rFonts w:asciiTheme="minorHAnsi" w:eastAsia="Calibri" w:hAnsiTheme="minorHAnsi" w:cstheme="minorHAnsi"/>
                <w:sz w:val="22"/>
                <w:szCs w:val="22"/>
              </w:rPr>
              <w:t>safeguard</w:t>
            </w:r>
            <w:r w:rsidR="005E75A7" w:rsidRPr="009B4D88">
              <w:rPr>
                <w:rFonts w:asciiTheme="minorHAnsi" w:eastAsia="Calibri" w:hAnsiTheme="minorHAnsi" w:cstheme="minorHAnsi"/>
                <w:sz w:val="22"/>
                <w:szCs w:val="22"/>
              </w:rPr>
              <w:t>.</w:t>
            </w:r>
          </w:p>
          <w:p w14:paraId="78FF1B9B" w14:textId="77777777" w:rsidR="00B03A12" w:rsidRPr="009B4D88" w:rsidRDefault="00B03A12" w:rsidP="00862654">
            <w:pPr>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return current data in response to a request;</w:t>
            </w:r>
          </w:p>
          <w:p w14:paraId="6DD31310" w14:textId="77777777" w:rsidR="00B03A12" w:rsidRPr="009B4D88" w:rsidRDefault="00B03A12" w:rsidP="00862654">
            <w:pPr>
              <w:numPr>
                <w:ilvl w:val="0"/>
                <w:numId w:val="32"/>
              </w:numPr>
              <w:spacing w:after="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monitor the system and take appropriate action, such as revoking or limiting access, to protect against abuse or misuse of the system</w:t>
            </w:r>
          </w:p>
        </w:tc>
      </w:tr>
      <w:tr w:rsidR="00B03A12" w:rsidRPr="009B4D88" w14:paraId="63E27E05"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5FC8AB"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data subject</w:t>
            </w:r>
          </w:p>
        </w:tc>
        <w:tc>
          <w:tcPr>
            <w:tcW w:w="6120" w:type="dxa"/>
          </w:tcPr>
          <w:p w14:paraId="75DCC4C9" w14:textId="77777777" w:rsidR="00A96410" w:rsidRDefault="00B03A12" w:rsidP="00A96410">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b/>
                <w:bCs/>
                <w:sz w:val="22"/>
                <w:szCs w:val="22"/>
              </w:rPr>
              <w:t>The Registered Name Holder</w:t>
            </w:r>
            <w:r w:rsidRPr="009B4D88">
              <w:rPr>
                <w:rFonts w:asciiTheme="minorHAnsi" w:eastAsia="Calibri" w:hAnsiTheme="minorHAnsi" w:cstheme="minorHAnsi"/>
                <w:sz w:val="22"/>
                <w:szCs w:val="22"/>
              </w:rPr>
              <w:t xml:space="preserve"> (data subject) must have the </w:t>
            </w:r>
            <w:r w:rsidR="00014FC3">
              <w:rPr>
                <w:rFonts w:asciiTheme="minorHAnsi" w:eastAsia="Calibri" w:hAnsiTheme="minorHAnsi" w:cstheme="minorHAnsi"/>
                <w:sz w:val="22"/>
                <w:szCs w:val="22"/>
              </w:rPr>
              <w:t>same rights as (h) above, with the following caveats:</w:t>
            </w:r>
          </w:p>
          <w:p w14:paraId="5FA233B7" w14:textId="16131A18" w:rsidR="00B03A12" w:rsidRPr="009B4D88" w:rsidRDefault="00B03A12" w:rsidP="00A96410">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 </w:t>
            </w:r>
          </w:p>
          <w:p w14:paraId="07F879FF" w14:textId="3737D03F" w:rsidR="007141EC" w:rsidRPr="00A96410" w:rsidRDefault="00A96410" w:rsidP="00A96410">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 xml:space="preserve">Regarding the right </w:t>
            </w:r>
            <w:r w:rsidR="005E75A7" w:rsidRPr="00A96410">
              <w:rPr>
                <w:rFonts w:asciiTheme="minorHAnsi" w:eastAsia="Calibri" w:hAnsiTheme="minorHAnsi" w:cstheme="minorHAnsi"/>
                <w:sz w:val="22"/>
                <w:szCs w:val="22"/>
              </w:rPr>
              <w:t xml:space="preserve">to obtain, on </w:t>
            </w:r>
            <w:r>
              <w:rPr>
                <w:rFonts w:asciiTheme="minorHAnsi" w:eastAsia="Calibri" w:hAnsiTheme="minorHAnsi" w:cstheme="minorHAnsi"/>
                <w:sz w:val="22"/>
                <w:szCs w:val="22"/>
              </w:rPr>
              <w:t xml:space="preserve">reasonable </w:t>
            </w:r>
            <w:r w:rsidR="005E75A7" w:rsidRPr="00A96410">
              <w:rPr>
                <w:rFonts w:asciiTheme="minorHAnsi" w:eastAsia="Calibri" w:hAnsiTheme="minorHAnsi" w:cstheme="minorHAnsi"/>
                <w:sz w:val="22"/>
                <w:szCs w:val="22"/>
              </w:rPr>
              <w:t>request, confirmation of the processing of personal data relating to them and the communication in an intelligible form of the data processed</w:t>
            </w:r>
            <w:r w:rsidR="007141EC" w:rsidRPr="00A96410">
              <w:rPr>
                <w:rFonts w:asciiTheme="minorHAnsi" w:eastAsia="Calibri" w:hAnsiTheme="minorHAnsi" w:cstheme="minorHAnsi"/>
                <w:sz w:val="22"/>
                <w:szCs w:val="22"/>
              </w:rPr>
              <w:t>;</w:t>
            </w:r>
          </w:p>
          <w:p w14:paraId="630888AD" w14:textId="77777777" w:rsidR="00AA3833" w:rsidRPr="00042AD8" w:rsidRDefault="007141EC" w:rsidP="007141EC">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W</w:t>
            </w:r>
            <w:r w:rsidR="005E75A7" w:rsidRPr="00042AD8">
              <w:rPr>
                <w:rFonts w:asciiTheme="minorHAnsi" w:eastAsia="Calibri" w:hAnsiTheme="minorHAnsi" w:cstheme="minorHAnsi"/>
                <w:sz w:val="22"/>
                <w:szCs w:val="22"/>
              </w:rPr>
              <w:t xml:space="preserve">hen </w:t>
            </w:r>
            <w:r w:rsidRPr="00042AD8">
              <w:rPr>
                <w:rFonts w:asciiTheme="minorHAnsi" w:eastAsia="Calibri" w:hAnsiTheme="minorHAnsi" w:cstheme="minorHAnsi"/>
                <w:sz w:val="22"/>
                <w:szCs w:val="22"/>
              </w:rPr>
              <w:t>the data subject</w:t>
            </w:r>
            <w:r w:rsidR="005E75A7" w:rsidRPr="00042AD8">
              <w:rPr>
                <w:rFonts w:asciiTheme="minorHAnsi" w:eastAsia="Calibri" w:hAnsiTheme="minorHAnsi" w:cstheme="minorHAnsi"/>
                <w:sz w:val="22"/>
                <w:szCs w:val="22"/>
              </w:rPr>
              <w:t xml:space="preserve"> </w:t>
            </w:r>
            <w:r w:rsidRPr="00042AD8">
              <w:rPr>
                <w:rFonts w:asciiTheme="minorHAnsi" w:eastAsia="Calibri" w:hAnsiTheme="minorHAnsi" w:cstheme="minorHAnsi"/>
                <w:sz w:val="22"/>
                <w:szCs w:val="22"/>
              </w:rPr>
              <w:t>is</w:t>
            </w:r>
            <w:r w:rsidR="005E75A7" w:rsidRPr="00042AD8">
              <w:rPr>
                <w:rFonts w:asciiTheme="minorHAnsi" w:eastAsia="Calibri" w:hAnsiTheme="minorHAnsi" w:cstheme="minorHAnsi"/>
                <w:sz w:val="22"/>
                <w:szCs w:val="22"/>
              </w:rPr>
              <w:t xml:space="preserve"> shown to have been a secondary victim</w:t>
            </w:r>
            <w:r w:rsidRPr="00042AD8">
              <w:rPr>
                <w:rFonts w:asciiTheme="minorHAnsi" w:eastAsia="Calibri" w:hAnsiTheme="minorHAnsi" w:cstheme="minorHAnsi"/>
                <w:sz w:val="22"/>
                <w:szCs w:val="22"/>
              </w:rPr>
              <w:t>, this safeguard clearly applies</w:t>
            </w:r>
            <w:r w:rsidR="005E75A7" w:rsidRPr="00042AD8">
              <w:rPr>
                <w:rFonts w:asciiTheme="minorHAnsi" w:eastAsia="Calibri" w:hAnsiTheme="minorHAnsi" w:cstheme="minorHAnsi"/>
                <w:sz w:val="22"/>
                <w:szCs w:val="22"/>
              </w:rPr>
              <w:t xml:space="preserve">. </w:t>
            </w:r>
          </w:p>
          <w:p w14:paraId="42904705" w14:textId="77777777" w:rsidR="00AA3833" w:rsidRPr="00042AD8" w:rsidRDefault="00004DA4" w:rsidP="007141EC">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 xml:space="preserve">In this use case, it has already been determined that they are not such a </w:t>
            </w:r>
            <w:r w:rsidR="00C07A3E" w:rsidRPr="00042AD8">
              <w:rPr>
                <w:rFonts w:asciiTheme="minorHAnsi" w:eastAsia="Calibri" w:hAnsiTheme="minorHAnsi" w:cstheme="minorHAnsi"/>
                <w:sz w:val="22"/>
                <w:szCs w:val="22"/>
              </w:rPr>
              <w:t>victim but</w:t>
            </w:r>
            <w:r w:rsidRPr="00042AD8">
              <w:rPr>
                <w:rFonts w:asciiTheme="minorHAnsi" w:eastAsia="Calibri" w:hAnsiTheme="minorHAnsi" w:cstheme="minorHAnsi"/>
                <w:sz w:val="22"/>
                <w:szCs w:val="22"/>
              </w:rPr>
              <w:t xml:space="preserve"> </w:t>
            </w:r>
            <w:r w:rsidR="00806B66" w:rsidRPr="00042AD8">
              <w:rPr>
                <w:rFonts w:asciiTheme="minorHAnsi" w:eastAsia="Calibri" w:hAnsiTheme="minorHAnsi" w:cstheme="minorHAnsi"/>
                <w:sz w:val="22"/>
                <w:szCs w:val="22"/>
              </w:rPr>
              <w:t xml:space="preserve">rather </w:t>
            </w:r>
            <w:r w:rsidRPr="00042AD8">
              <w:rPr>
                <w:rFonts w:asciiTheme="minorHAnsi" w:eastAsia="Calibri" w:hAnsiTheme="minorHAnsi" w:cstheme="minorHAnsi"/>
                <w:sz w:val="22"/>
                <w:szCs w:val="22"/>
              </w:rPr>
              <w:t xml:space="preserve">are </w:t>
            </w:r>
            <w:r w:rsidR="00C07A3E" w:rsidRPr="00042AD8">
              <w:rPr>
                <w:rFonts w:asciiTheme="minorHAnsi" w:eastAsia="Calibri" w:hAnsiTheme="minorHAnsi" w:cstheme="minorHAnsi"/>
                <w:sz w:val="22"/>
                <w:szCs w:val="22"/>
              </w:rPr>
              <w:t xml:space="preserve">engaged in criminal activity. </w:t>
            </w:r>
          </w:p>
          <w:p w14:paraId="52C1F70F" w14:textId="322EFE13" w:rsidR="005E75A7" w:rsidRPr="00042AD8" w:rsidRDefault="00C07A3E" w:rsidP="009B4D88">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Since</w:t>
            </w:r>
            <w:r w:rsidR="005E75A7" w:rsidRPr="00042AD8">
              <w:rPr>
                <w:rFonts w:asciiTheme="minorHAnsi" w:eastAsia="Calibri" w:hAnsiTheme="minorHAnsi" w:cstheme="minorHAnsi"/>
                <w:sz w:val="22"/>
                <w:szCs w:val="22"/>
              </w:rPr>
              <w:t xml:space="preserve"> the investigator has concluded that the data subject is the perpetrator of a </w:t>
            </w:r>
            <w:r w:rsidRPr="00042AD8">
              <w:rPr>
                <w:rFonts w:asciiTheme="minorHAnsi" w:eastAsia="Calibri" w:hAnsiTheme="minorHAnsi" w:cstheme="minorHAnsi"/>
                <w:sz w:val="22"/>
                <w:szCs w:val="22"/>
              </w:rPr>
              <w:t>crime, it</w:t>
            </w:r>
            <w:r w:rsidR="005E75A7" w:rsidRPr="00042AD8">
              <w:rPr>
                <w:rFonts w:asciiTheme="minorHAnsi" w:eastAsia="Calibri" w:hAnsiTheme="minorHAnsi" w:cstheme="minorHAnsi"/>
                <w:sz w:val="22"/>
                <w:szCs w:val="22"/>
              </w:rPr>
              <w:t xml:space="preserve"> </w:t>
            </w:r>
            <w:r w:rsidR="006247DF">
              <w:rPr>
                <w:rFonts w:asciiTheme="minorHAnsi" w:eastAsia="Calibri" w:hAnsiTheme="minorHAnsi" w:cstheme="minorHAnsi"/>
                <w:sz w:val="22"/>
                <w:szCs w:val="22"/>
              </w:rPr>
              <w:t>is not reasonable</w:t>
            </w:r>
            <w:r w:rsidR="005E75A7" w:rsidRPr="00042AD8">
              <w:rPr>
                <w:rFonts w:asciiTheme="minorHAnsi" w:eastAsia="Calibri" w:hAnsiTheme="minorHAnsi" w:cstheme="minorHAnsi"/>
                <w:sz w:val="22"/>
                <w:szCs w:val="22"/>
              </w:rPr>
              <w:t xml:space="preserve"> to notify them in advance. The decision not to notify the data subject remains with the data </w:t>
            </w:r>
            <w:r w:rsidRPr="00042AD8">
              <w:rPr>
                <w:rFonts w:asciiTheme="minorHAnsi" w:eastAsia="Calibri" w:hAnsiTheme="minorHAnsi" w:cstheme="minorHAnsi"/>
                <w:sz w:val="22"/>
                <w:szCs w:val="22"/>
              </w:rPr>
              <w:t>controller</w:t>
            </w:r>
            <w:r w:rsidR="005E75A7" w:rsidRPr="00042AD8">
              <w:rPr>
                <w:rFonts w:asciiTheme="minorHAnsi" w:eastAsia="Calibri" w:hAnsiTheme="minorHAnsi" w:cstheme="minorHAnsi"/>
                <w:sz w:val="22"/>
                <w:szCs w:val="22"/>
              </w:rPr>
              <w:t xml:space="preserve">. </w:t>
            </w:r>
          </w:p>
          <w:p w14:paraId="65D2D281" w14:textId="184AC695"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03A12" w:rsidRPr="009B4D88" w14:paraId="4C8D6F80"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30979E2"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access/disclosure system</w:t>
            </w:r>
          </w:p>
        </w:tc>
        <w:tc>
          <w:tcPr>
            <w:tcW w:w="6120" w:type="dxa"/>
          </w:tcPr>
          <w:p w14:paraId="1D959471" w14:textId="69CA985B" w:rsidR="00B03A12" w:rsidRPr="009B4D88" w:rsidRDefault="00B03A12" w:rsidP="007A45D5">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At this stage of an investigation, bulk access</w:t>
            </w:r>
            <w:r w:rsidRPr="009B4D88">
              <w:rPr>
                <w:rFonts w:asciiTheme="minorHAnsi" w:eastAsia="Calibri" w:hAnsiTheme="minorHAnsi" w:cstheme="minorHAnsi"/>
                <w:sz w:val="22"/>
                <w:szCs w:val="22"/>
                <w:vertAlign w:val="superscript"/>
              </w:rPr>
              <w:footnoteReference w:id="8"/>
            </w:r>
            <w:r w:rsidRPr="009B4D88">
              <w:rPr>
                <w:rFonts w:asciiTheme="minorHAnsi" w:eastAsia="Calibri" w:hAnsiTheme="minorHAnsi" w:cstheme="minorHAnsi"/>
                <w:sz w:val="22"/>
                <w:szCs w:val="22"/>
              </w:rPr>
              <w:t xml:space="preserve">, wildcard requests, reverse lookups, and </w:t>
            </w:r>
            <w:proofErr w:type="spellStart"/>
            <w:r w:rsidRPr="009B4D88">
              <w:rPr>
                <w:rFonts w:asciiTheme="minorHAnsi" w:eastAsia="Calibri" w:hAnsiTheme="minorHAnsi" w:cstheme="minorHAnsi"/>
                <w:sz w:val="22"/>
                <w:szCs w:val="22"/>
              </w:rPr>
              <w:t>boolean</w:t>
            </w:r>
            <w:proofErr w:type="spellEnd"/>
            <w:r w:rsidRPr="009B4D88">
              <w:rPr>
                <w:rFonts w:asciiTheme="minorHAnsi" w:eastAsia="Calibri" w:hAnsiTheme="minorHAnsi" w:cstheme="minorHAnsi"/>
                <w:sz w:val="22"/>
                <w:szCs w:val="22"/>
              </w:rPr>
              <w:t xml:space="preserve"> search capabilities </w:t>
            </w:r>
            <w:r w:rsidR="00840045" w:rsidRPr="009B4D88">
              <w:rPr>
                <w:rFonts w:asciiTheme="minorHAnsi" w:eastAsia="Calibri" w:hAnsiTheme="minorHAnsi" w:cstheme="minorHAnsi"/>
                <w:sz w:val="22"/>
                <w:szCs w:val="22"/>
              </w:rPr>
              <w:t xml:space="preserve">may be </w:t>
            </w:r>
            <w:r w:rsidRPr="009B4D88">
              <w:rPr>
                <w:rFonts w:asciiTheme="minorHAnsi" w:eastAsia="Calibri" w:hAnsiTheme="minorHAnsi" w:cstheme="minorHAnsi"/>
                <w:sz w:val="22"/>
                <w:szCs w:val="22"/>
              </w:rPr>
              <w:t>required</w:t>
            </w:r>
            <w:r w:rsidR="00840045" w:rsidRPr="009B4D88">
              <w:rPr>
                <w:rFonts w:asciiTheme="minorHAnsi" w:eastAsia="Calibri" w:hAnsiTheme="minorHAnsi" w:cstheme="minorHAnsi"/>
                <w:sz w:val="22"/>
                <w:szCs w:val="22"/>
              </w:rPr>
              <w:t xml:space="preserve">, but </w:t>
            </w:r>
            <w:r w:rsidR="007F59CA" w:rsidRPr="009B4D88">
              <w:rPr>
                <w:rFonts w:asciiTheme="minorHAnsi" w:eastAsia="Calibri" w:hAnsiTheme="minorHAnsi" w:cstheme="minorHAnsi"/>
                <w:sz w:val="22"/>
                <w:szCs w:val="22"/>
              </w:rPr>
              <w:t xml:space="preserve">such searches must be conducted by the data controller and are </w:t>
            </w:r>
            <w:r w:rsidR="00840045" w:rsidRPr="009B4D88">
              <w:rPr>
                <w:rFonts w:asciiTheme="minorHAnsi" w:eastAsia="Calibri" w:hAnsiTheme="minorHAnsi" w:cstheme="minorHAnsi"/>
                <w:sz w:val="22"/>
                <w:szCs w:val="22"/>
              </w:rPr>
              <w:t>only at the discretion of the data controller</w:t>
            </w:r>
            <w:r w:rsidRPr="009B4D88">
              <w:rPr>
                <w:rFonts w:asciiTheme="minorHAnsi" w:eastAsia="Calibri" w:hAnsiTheme="minorHAnsi" w:cstheme="minorHAnsi"/>
                <w:sz w:val="22"/>
                <w:szCs w:val="22"/>
              </w:rPr>
              <w:t>.</w:t>
            </w:r>
          </w:p>
          <w:p w14:paraId="0E6C7585" w14:textId="77777777" w:rsidR="00B03A12" w:rsidRPr="009B4D88" w:rsidRDefault="00B03A12" w:rsidP="007A45D5">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Requests must only refer to current registration data (historical registration data will not be made available via this mechanism).</w:t>
            </w:r>
          </w:p>
          <w:p w14:paraId="71E517DA" w14:textId="77777777" w:rsidR="00B03A12" w:rsidRPr="009B4D88" w:rsidRDefault="00B03A12" w:rsidP="007A45D5">
            <w:pPr>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lastRenderedPageBreak/>
              <w:t>Contracted parties are only responsible for disclosing nonpublic registration data for the domain names under their management.</w:t>
            </w:r>
          </w:p>
          <w:p w14:paraId="7CD0EA4C" w14:textId="77777777" w:rsidR="00B03A12" w:rsidRPr="009B4D88" w:rsidRDefault="00B03A12" w:rsidP="007A45D5">
            <w:pPr>
              <w:pStyle w:val="NormalWeb"/>
              <w:numPr>
                <w:ilvl w:val="0"/>
                <w:numId w:val="3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Must only return current data (no data about the domain name registration’s history);</w:t>
            </w:r>
          </w:p>
          <w:p w14:paraId="75B95939" w14:textId="063161F2" w:rsidR="00B03A12" w:rsidRPr="009B4D88" w:rsidRDefault="00B03A12" w:rsidP="007A45D5">
            <w:pPr>
              <w:pStyle w:val="NormalWeb"/>
              <w:numPr>
                <w:ilvl w:val="0"/>
                <w:numId w:val="38"/>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Must receive a specific request for every individual domain name (no bulk access</w:t>
            </w:r>
            <w:r w:rsidRPr="009B4D88">
              <w:rPr>
                <w:rStyle w:val="FootnoteReference"/>
                <w:rFonts w:asciiTheme="minorHAnsi" w:hAnsiTheme="minorHAnsi" w:cstheme="minorHAnsi"/>
                <w:b/>
                <w:bCs/>
                <w:color w:val="000000"/>
                <w:sz w:val="22"/>
                <w:szCs w:val="22"/>
              </w:rPr>
              <w:footnoteReference w:id="9"/>
            </w:r>
            <w:r w:rsidRPr="009B4D88">
              <w:rPr>
                <w:rFonts w:asciiTheme="minorHAnsi" w:hAnsiTheme="minorHAnsi" w:cstheme="minorHAnsi"/>
                <w:color w:val="000000"/>
                <w:sz w:val="22"/>
                <w:szCs w:val="22"/>
              </w:rPr>
              <w:t>)</w:t>
            </w:r>
            <w:r w:rsidR="00F80F96" w:rsidRPr="009B4D88">
              <w:rPr>
                <w:rFonts w:asciiTheme="minorHAnsi" w:hAnsiTheme="minorHAnsi" w:cstheme="minorHAnsi"/>
                <w:color w:val="000000"/>
                <w:sz w:val="22"/>
                <w:szCs w:val="22"/>
              </w:rPr>
              <w:t xml:space="preserve">, except </w:t>
            </w:r>
            <w:proofErr w:type="spellStart"/>
            <w:r w:rsidR="00F80F96" w:rsidRPr="009B4D88">
              <w:rPr>
                <w:rFonts w:asciiTheme="minorHAnsi" w:hAnsiTheme="minorHAnsi" w:cstheme="minorHAnsi"/>
                <w:color w:val="000000"/>
                <w:sz w:val="22"/>
                <w:szCs w:val="22"/>
              </w:rPr>
              <w:t>atthe</w:t>
            </w:r>
            <w:proofErr w:type="spellEnd"/>
            <w:r w:rsidR="00F80F96" w:rsidRPr="009B4D88">
              <w:rPr>
                <w:rFonts w:asciiTheme="minorHAnsi" w:hAnsiTheme="minorHAnsi" w:cstheme="minorHAnsi"/>
                <w:color w:val="000000"/>
                <w:sz w:val="22"/>
                <w:szCs w:val="22"/>
              </w:rPr>
              <w:t xml:space="preserve"> discretion of the data controller</w:t>
            </w:r>
            <w:r w:rsidRPr="009B4D88">
              <w:rPr>
                <w:rFonts w:asciiTheme="minorHAnsi" w:hAnsiTheme="minorHAnsi" w:cstheme="minorHAnsi"/>
                <w:color w:val="000000"/>
                <w:sz w:val="22"/>
                <w:szCs w:val="22"/>
              </w:rPr>
              <w:t>;</w:t>
            </w:r>
          </w:p>
          <w:p w14:paraId="62A0C409" w14:textId="17E32547" w:rsidR="00B03A12" w:rsidRPr="009B4D88" w:rsidRDefault="00B03A12" w:rsidP="007A45D5">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hAnsiTheme="minorHAnsi" w:cstheme="minorHAnsi"/>
                <w:color w:val="000000"/>
                <w:sz w:val="22"/>
                <w:szCs w:val="22"/>
              </w:rPr>
              <w:t>Must direct requests at the entity that is determined through this policy process to be responsible for the disclosure of the requested data</w:t>
            </w:r>
          </w:p>
        </w:tc>
      </w:tr>
      <w:tr w:rsidR="00B03A12" w:rsidRPr="009B4D88" w14:paraId="175DF9F3"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8FB605B"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lastRenderedPageBreak/>
              <w:t>Accreditation of user group(s) required (Y/N) – if Y, define policy principles</w:t>
            </w:r>
          </w:p>
        </w:tc>
        <w:tc>
          <w:tcPr>
            <w:tcW w:w="6120" w:type="dxa"/>
          </w:tcPr>
          <w:p w14:paraId="0EAC819E" w14:textId="77777777" w:rsidR="00B03A12" w:rsidRPr="009B4D88" w:rsidRDefault="00B03A12"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With respect to the accreditation of [user groups] seeking accreditation as a member of this user group must provide:</w:t>
            </w:r>
          </w:p>
          <w:p w14:paraId="0AF535DC" w14:textId="77777777"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7C1FF9E2" w14:textId="72112511"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Evidence of membership in good standing of digital crimes investigations organizations such as </w:t>
            </w:r>
          </w:p>
          <w:p w14:paraId="69994266"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Messaging Anti-</w:t>
            </w:r>
            <w:proofErr w:type="gramStart"/>
            <w:r w:rsidRPr="00E1502C">
              <w:rPr>
                <w:rFonts w:asciiTheme="minorHAnsi" w:eastAsia="Calibri" w:hAnsiTheme="minorHAnsi" w:cstheme="minorHAnsi"/>
                <w:sz w:val="22"/>
                <w:szCs w:val="22"/>
              </w:rPr>
              <w:t>abuse</w:t>
            </w:r>
            <w:proofErr w:type="gramEnd"/>
            <w:r w:rsidRPr="00E1502C">
              <w:rPr>
                <w:rFonts w:asciiTheme="minorHAnsi" w:eastAsia="Calibri" w:hAnsiTheme="minorHAnsi" w:cstheme="minorHAnsi"/>
                <w:sz w:val="22"/>
                <w:szCs w:val="22"/>
              </w:rPr>
              <w:t xml:space="preserve"> Working Group (</w:t>
            </w:r>
            <w:hyperlink r:id="rId16" w:tgtFrame="_blank" w:history="1">
              <w:r w:rsidRPr="00E1502C">
                <w:rPr>
                  <w:rStyle w:val="Hyperlink"/>
                  <w:rFonts w:asciiTheme="minorHAnsi" w:hAnsiTheme="minorHAnsi" w:cstheme="minorHAnsi"/>
                  <w:color w:val="1155CC"/>
                  <w:sz w:val="22"/>
                  <w:szCs w:val="22"/>
                </w:rPr>
                <w:t>MAAWG</w:t>
              </w:r>
            </w:hyperlink>
            <w:r w:rsidRPr="00E1502C">
              <w:rPr>
                <w:rFonts w:asciiTheme="minorHAnsi" w:eastAsia="Calibri" w:hAnsiTheme="minorHAnsi" w:cstheme="minorHAnsi"/>
                <w:sz w:val="22"/>
                <w:szCs w:val="22"/>
              </w:rPr>
              <w:t>)</w:t>
            </w:r>
          </w:p>
          <w:p w14:paraId="37952224"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Anti-phishing Working Group (</w:t>
            </w:r>
            <w:hyperlink r:id="rId17" w:tgtFrame="_blank" w:history="1">
              <w:r w:rsidRPr="00E1502C">
                <w:rPr>
                  <w:rStyle w:val="Hyperlink"/>
                  <w:rFonts w:asciiTheme="minorHAnsi" w:hAnsiTheme="minorHAnsi" w:cstheme="minorHAnsi"/>
                  <w:color w:val="1155CC"/>
                  <w:sz w:val="22"/>
                  <w:szCs w:val="22"/>
                </w:rPr>
                <w:t>APWG</w:t>
              </w:r>
            </w:hyperlink>
            <w:r w:rsidRPr="00E1502C">
              <w:rPr>
                <w:rFonts w:asciiTheme="minorHAnsi" w:eastAsia="Calibri" w:hAnsiTheme="minorHAnsi" w:cstheme="minorHAnsi"/>
                <w:sz w:val="22"/>
                <w:szCs w:val="22"/>
              </w:rPr>
              <w:t>)</w:t>
            </w:r>
          </w:p>
          <w:p w14:paraId="6F4B85CF"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Microsoft Digital Crimes Consortium</w:t>
            </w:r>
          </w:p>
          <w:p w14:paraId="3F594205"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National Cyber-Forensics &amp; Training Alliance (</w:t>
            </w:r>
            <w:hyperlink r:id="rId18" w:tgtFrame="_blank" w:history="1">
              <w:r w:rsidRPr="00E1502C">
                <w:rPr>
                  <w:rStyle w:val="Hyperlink"/>
                  <w:rFonts w:asciiTheme="minorHAnsi" w:hAnsiTheme="minorHAnsi" w:cstheme="minorHAnsi"/>
                  <w:color w:val="1155CC"/>
                  <w:sz w:val="22"/>
                  <w:szCs w:val="22"/>
                </w:rPr>
                <w:t>NCFTA</w:t>
              </w:r>
            </w:hyperlink>
            <w:r w:rsidRPr="00E1502C">
              <w:rPr>
                <w:rFonts w:asciiTheme="minorHAnsi" w:eastAsia="Calibri" w:hAnsiTheme="minorHAnsi" w:cstheme="minorHAnsi"/>
                <w:sz w:val="22"/>
                <w:szCs w:val="22"/>
              </w:rPr>
              <w:t>)</w:t>
            </w:r>
          </w:p>
          <w:p w14:paraId="5E46A257"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 xml:space="preserve">The </w:t>
            </w:r>
            <w:hyperlink r:id="rId19" w:tgtFrame="_blank" w:history="1">
              <w:r w:rsidRPr="00E1502C">
                <w:rPr>
                  <w:rFonts w:asciiTheme="minorHAnsi" w:eastAsia="Calibri" w:hAnsiTheme="minorHAnsi" w:cstheme="minorHAnsi"/>
                  <w:sz w:val="22"/>
                  <w:szCs w:val="22"/>
                </w:rPr>
                <w:t>U.S. National Cyber Security Alliance</w:t>
              </w:r>
            </w:hyperlink>
          </w:p>
          <w:p w14:paraId="56CECC5B"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 xml:space="preserve">The </w:t>
            </w:r>
            <w:hyperlink r:id="rId20" w:tgtFrame="_blank" w:history="1">
              <w:r w:rsidRPr="00E1502C">
                <w:rPr>
                  <w:rFonts w:asciiTheme="minorHAnsi" w:eastAsia="Calibri" w:hAnsiTheme="minorHAnsi" w:cstheme="minorHAnsi"/>
                  <w:sz w:val="22"/>
                  <w:szCs w:val="22"/>
                </w:rPr>
                <w:t>Stop Spam Alliance</w:t>
              </w:r>
            </w:hyperlink>
          </w:p>
          <w:p w14:paraId="56829659"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London Action Plan (</w:t>
            </w:r>
            <w:hyperlink r:id="rId21" w:tgtFrame="_blank" w:history="1">
              <w:r w:rsidRPr="00E1502C">
                <w:rPr>
                  <w:rStyle w:val="Hyperlink"/>
                  <w:rFonts w:asciiTheme="minorHAnsi" w:hAnsiTheme="minorHAnsi" w:cstheme="minorHAnsi"/>
                  <w:color w:val="1155CC"/>
                  <w:sz w:val="22"/>
                  <w:szCs w:val="22"/>
                </w:rPr>
                <w:t>LAP</w:t>
              </w:r>
            </w:hyperlink>
            <w:r w:rsidRPr="00E1502C">
              <w:rPr>
                <w:rFonts w:asciiTheme="minorHAnsi" w:eastAsia="Calibri" w:hAnsiTheme="minorHAnsi" w:cstheme="minorHAnsi"/>
                <w:sz w:val="22"/>
                <w:szCs w:val="22"/>
              </w:rPr>
              <w:t>)</w:t>
            </w:r>
          </w:p>
          <w:p w14:paraId="6ACEC59F"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U.S. Federal Communications Commission (</w:t>
            </w:r>
            <w:r w:rsidRPr="00E1502C">
              <w:rPr>
                <w:rStyle w:val="Hyperlink"/>
                <w:rFonts w:asciiTheme="minorHAnsi" w:hAnsiTheme="minorHAnsi" w:cstheme="minorHAnsi"/>
                <w:color w:val="1155CC"/>
                <w:sz w:val="22"/>
                <w:szCs w:val="22"/>
              </w:rPr>
              <w:t>FCC</w:t>
            </w:r>
            <w:r w:rsidRPr="00E1502C">
              <w:rPr>
                <w:rFonts w:asciiTheme="minorHAnsi" w:eastAsia="Calibri" w:hAnsiTheme="minorHAnsi" w:cstheme="minorHAnsi"/>
                <w:sz w:val="22"/>
                <w:szCs w:val="22"/>
              </w:rPr>
              <w:t>) Communications Security, Reliability And Interoperability Council (</w:t>
            </w:r>
            <w:hyperlink r:id="rId22" w:tgtFrame="_blank" w:history="1">
              <w:r w:rsidRPr="00E1502C">
                <w:rPr>
                  <w:rStyle w:val="Hyperlink"/>
                  <w:rFonts w:asciiTheme="minorHAnsi" w:hAnsiTheme="minorHAnsi" w:cstheme="minorHAnsi"/>
                  <w:color w:val="1155CC"/>
                  <w:sz w:val="22"/>
                  <w:szCs w:val="22"/>
                </w:rPr>
                <w:t>CSRIC</w:t>
              </w:r>
            </w:hyperlink>
            <w:r w:rsidRPr="00E1502C">
              <w:rPr>
                <w:rFonts w:asciiTheme="minorHAnsi" w:eastAsia="Calibri" w:hAnsiTheme="minorHAnsi" w:cstheme="minorHAnsi"/>
                <w:sz w:val="22"/>
                <w:szCs w:val="22"/>
              </w:rPr>
              <w:t>)</w:t>
            </w:r>
          </w:p>
          <w:p w14:paraId="1980572E" w14:textId="77777777" w:rsidR="00E1502C" w:rsidRPr="00E1502C" w:rsidRDefault="00E1502C" w:rsidP="00B526DD">
            <w:pPr>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E1502C">
              <w:rPr>
                <w:rFonts w:asciiTheme="minorHAnsi" w:eastAsia="Calibri" w:hAnsiTheme="minorHAnsi" w:cstheme="minorHAnsi"/>
                <w:sz w:val="22"/>
                <w:szCs w:val="22"/>
              </w:rPr>
              <w:t>The Anti-spyware Coalition (</w:t>
            </w:r>
            <w:hyperlink r:id="rId23" w:tgtFrame="_blank" w:history="1">
              <w:r w:rsidRPr="00E1502C">
                <w:rPr>
                  <w:rStyle w:val="Hyperlink"/>
                  <w:rFonts w:asciiTheme="minorHAnsi" w:hAnsiTheme="minorHAnsi" w:cstheme="minorHAnsi"/>
                  <w:color w:val="1155CC"/>
                  <w:sz w:val="22"/>
                  <w:szCs w:val="22"/>
                </w:rPr>
                <w:t>ASC</w:t>
              </w:r>
            </w:hyperlink>
            <w:r w:rsidRPr="00E1502C">
              <w:rPr>
                <w:rFonts w:asciiTheme="minorHAnsi" w:eastAsia="Calibri" w:hAnsiTheme="minorHAnsi" w:cstheme="minorHAnsi"/>
                <w:sz w:val="22"/>
                <w:szCs w:val="22"/>
              </w:rPr>
              <w:t>)</w:t>
            </w:r>
          </w:p>
          <w:p w14:paraId="53DA8A30" w14:textId="77777777"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01F42C28" w14:textId="77777777" w:rsidR="00B03A12" w:rsidRPr="009B4D88" w:rsidRDefault="00B03A12"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Additional items to be considered in the development of a code of conduct</w:t>
            </w:r>
            <w:r w:rsidRPr="009B4D88">
              <w:rPr>
                <w:rStyle w:val="FootnoteReference"/>
                <w:rFonts w:asciiTheme="minorHAnsi" w:hAnsiTheme="minorHAnsi" w:cstheme="minorHAnsi"/>
                <w:color w:val="000000"/>
                <w:sz w:val="22"/>
                <w:szCs w:val="22"/>
              </w:rPr>
              <w:footnoteReference w:id="10"/>
            </w:r>
            <w:r w:rsidRPr="009B4D88">
              <w:rPr>
                <w:rFonts w:asciiTheme="minorHAnsi" w:hAnsiTheme="minorHAnsi" w:cstheme="minorHAnsi"/>
                <w:color w:val="000000"/>
                <w:sz w:val="22"/>
                <w:szCs w:val="22"/>
              </w:rPr>
              <w:t>: </w:t>
            </w:r>
          </w:p>
          <w:p w14:paraId="0F4EB068" w14:textId="77777777" w:rsidR="00B03A12" w:rsidRPr="009B4D88" w:rsidRDefault="00B03A12" w:rsidP="00862654">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3D5D9978" w14:textId="77777777" w:rsidR="00B03A12" w:rsidRDefault="00B03A12" w:rsidP="00B526DD">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All subsequent disclosures to LEA of personal data processed as part of an investigation will be subject to the same levels of lawfulness and auditability as were the initial disclosure to and processing by the digital crime investigator.</w:t>
            </w:r>
          </w:p>
          <w:sdt>
            <w:sdtPr>
              <w:tag w:val="goog_rdk_66"/>
              <w:id w:val="-1814403284"/>
            </w:sdtPr>
            <w:sdtEndPr/>
            <w:sdtContent>
              <w:p w14:paraId="58D25043" w14:textId="2B319F34" w:rsidR="00B526DD" w:rsidRPr="00B526DD" w:rsidRDefault="00B526DD" w:rsidP="00B526DD">
                <w:pPr>
                  <w:numPr>
                    <w:ilvl w:val="0"/>
                    <w:numId w:val="35"/>
                  </w:numP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000000"/>
                    <w:sz w:val="22"/>
                    <w:szCs w:val="22"/>
                  </w:rPr>
                  <w:t>Proof of financial worthiness to justify enhanced access, reverse searching &amp; high volumes (such as bond, letter of credit, insurance, enhanced accreditation fees)</w:t>
                </w:r>
              </w:p>
            </w:sdtContent>
          </w:sdt>
        </w:tc>
      </w:tr>
      <w:tr w:rsidR="00B03A12" w:rsidRPr="009B4D88" w14:paraId="19A5101D"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B4AB06E"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Authentication – policy principles</w:t>
            </w:r>
          </w:p>
        </w:tc>
        <w:tc>
          <w:tcPr>
            <w:tcW w:w="6120" w:type="dxa"/>
          </w:tcPr>
          <w:p w14:paraId="4B5F1492" w14:textId="77777777" w:rsidR="00B03A12" w:rsidRPr="009B4D88" w:rsidRDefault="00B03A12" w:rsidP="00862654">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B03A12" w:rsidRPr="009B4D88" w14:paraId="53890CB4"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C67F1AA"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t xml:space="preserve">What information is required to be provided for </w:t>
            </w:r>
            <w:r w:rsidRPr="009B4D88">
              <w:rPr>
                <w:rFonts w:asciiTheme="minorHAnsi" w:eastAsia="Calibri" w:hAnsiTheme="minorHAnsi" w:cstheme="minorHAnsi"/>
                <w:b w:val="0"/>
                <w:color w:val="000000"/>
                <w:sz w:val="22"/>
                <w:szCs w:val="22"/>
              </w:rPr>
              <w:lastRenderedPageBreak/>
              <w:t>a request under this lawful basis?</w:t>
            </w:r>
          </w:p>
        </w:tc>
        <w:tc>
          <w:tcPr>
            <w:tcW w:w="6120" w:type="dxa"/>
          </w:tcPr>
          <w:p w14:paraId="46A65688" w14:textId="77777777" w:rsidR="00B03A12" w:rsidRPr="009B4D88" w:rsidRDefault="00DC2683"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lastRenderedPageBreak/>
              <w:t>Whatever applies to (l) above also applies here.</w:t>
            </w:r>
          </w:p>
          <w:p w14:paraId="6AAEEB62" w14:textId="2145FC69" w:rsidR="00DC2683" w:rsidRPr="009B4D88" w:rsidRDefault="00DC2683"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Additionally</w:t>
            </w:r>
            <w:r w:rsidR="006B6C0D" w:rsidRPr="009B4D88">
              <w:rPr>
                <w:rFonts w:asciiTheme="minorHAnsi" w:hAnsiTheme="minorHAnsi" w:cstheme="minorHAnsi"/>
                <w:color w:val="000000"/>
                <w:sz w:val="22"/>
                <w:szCs w:val="22"/>
              </w:rPr>
              <w:t>, the data controller may request</w:t>
            </w:r>
            <w:r w:rsidR="002E0838" w:rsidRPr="009B4D88">
              <w:rPr>
                <w:rFonts w:asciiTheme="minorHAnsi" w:hAnsiTheme="minorHAnsi" w:cstheme="minorHAnsi"/>
                <w:color w:val="000000"/>
                <w:sz w:val="22"/>
                <w:szCs w:val="22"/>
              </w:rPr>
              <w:t xml:space="preserve"> additional proof that the data subject is not a secondary victim.</w:t>
            </w:r>
          </w:p>
        </w:tc>
      </w:tr>
      <w:tr w:rsidR="00B03A12" w:rsidRPr="009B4D88" w14:paraId="0ADCAFF3"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BB94A21"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Expected timing of substantive response</w:t>
            </w:r>
          </w:p>
        </w:tc>
        <w:tc>
          <w:tcPr>
            <w:tcW w:w="6120" w:type="dxa"/>
          </w:tcPr>
          <w:p w14:paraId="1E5DADAE" w14:textId="0CFAB5E9" w:rsidR="00B03A12" w:rsidRPr="009B4D88" w:rsidRDefault="001A7BCB" w:rsidP="00862654">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These cases are usually related to transient behavior so instant acknowledgement of the request is critical.</w:t>
            </w:r>
          </w:p>
        </w:tc>
      </w:tr>
      <w:tr w:rsidR="00B03A12" w:rsidRPr="009B4D88" w14:paraId="12FDD60B"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F56B88C"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t>Is automation of substantive response possible / desirable?</w:t>
            </w:r>
          </w:p>
        </w:tc>
        <w:tc>
          <w:tcPr>
            <w:tcW w:w="6120" w:type="dxa"/>
          </w:tcPr>
          <w:p w14:paraId="4CF2A056" w14:textId="5416D2C5" w:rsidR="00B03A12" w:rsidRPr="009B4D88" w:rsidRDefault="00137A16"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Automation is not available</w:t>
            </w:r>
          </w:p>
        </w:tc>
      </w:tr>
      <w:tr w:rsidR="00B03A12" w:rsidRPr="009B4D88" w14:paraId="082481F4"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F090C75"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Expected timing of substantive response</w:t>
            </w:r>
          </w:p>
        </w:tc>
        <w:tc>
          <w:tcPr>
            <w:tcW w:w="6120" w:type="dxa"/>
          </w:tcPr>
          <w:p w14:paraId="269CDDDB" w14:textId="0921511D" w:rsidR="001609A8" w:rsidRPr="009B4D88" w:rsidRDefault="001609A8" w:rsidP="009B4D88">
            <w:pPr>
              <w:pStyle w:val="NormalWeb"/>
              <w:numPr>
                <w:ilvl w:val="0"/>
                <w:numId w:val="35"/>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 xml:space="preserve">As per (m) above, the decision of the data controller whether to disclose the data should be given the highest priority. </w:t>
            </w:r>
          </w:p>
          <w:p w14:paraId="092FC1A5" w14:textId="06D14DA8" w:rsidR="00B03A12" w:rsidRPr="009B4D88" w:rsidRDefault="001609A8" w:rsidP="009B4D88">
            <w:pPr>
              <w:pStyle w:val="NormalWeb"/>
              <w:numPr>
                <w:ilvl w:val="0"/>
                <w:numId w:val="35"/>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R</w:t>
            </w:r>
            <w:r w:rsidR="007D1997" w:rsidRPr="009B4D88">
              <w:rPr>
                <w:rFonts w:asciiTheme="minorHAnsi" w:hAnsiTheme="minorHAnsi" w:cstheme="minorHAnsi"/>
                <w:color w:val="000000"/>
                <w:sz w:val="22"/>
                <w:szCs w:val="22"/>
              </w:rPr>
              <w:t>esponse timing may be subject to processing limitations of the data controller</w:t>
            </w:r>
          </w:p>
        </w:tc>
      </w:tr>
      <w:tr w:rsidR="00B03A12" w:rsidRPr="009B4D88" w14:paraId="308920C7" w14:textId="77777777" w:rsidTr="0086265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B9A2B27"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How long can the requestor retain the data disclosed and what are the requirements for destruction following the end of the retention period?</w:t>
            </w:r>
          </w:p>
        </w:tc>
        <w:tc>
          <w:tcPr>
            <w:tcW w:w="6120" w:type="dxa"/>
          </w:tcPr>
          <w:p w14:paraId="64767C3D" w14:textId="1143A4D1" w:rsidR="00E8449C" w:rsidRPr="009B4D88" w:rsidRDefault="00E8449C" w:rsidP="0086265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0000"/>
                <w:sz w:val="22"/>
                <w:szCs w:val="22"/>
              </w:rPr>
            </w:pPr>
            <w:r w:rsidRPr="0093575B">
              <w:rPr>
                <w:rFonts w:asciiTheme="minorHAnsi" w:hAnsiTheme="minorHAnsi" w:cstheme="minorHAnsi"/>
                <w:sz w:val="22"/>
                <w:szCs w:val="22"/>
              </w:rPr>
              <w:t>Similar to (p) above</w:t>
            </w:r>
            <w:r w:rsidR="0062632A" w:rsidRPr="0093575B">
              <w:rPr>
                <w:rFonts w:asciiTheme="minorHAnsi" w:hAnsiTheme="minorHAnsi" w:cstheme="minorHAnsi"/>
                <w:sz w:val="22"/>
                <w:szCs w:val="22"/>
              </w:rPr>
              <w:t>, retention period is dependent</w:t>
            </w:r>
            <w:r w:rsidRPr="0093575B">
              <w:rPr>
                <w:rFonts w:asciiTheme="minorHAnsi" w:hAnsiTheme="minorHAnsi" w:cstheme="minorHAnsi"/>
                <w:sz w:val="22"/>
                <w:szCs w:val="22"/>
              </w:rPr>
              <w:t xml:space="preserve"> on the nature of the investigation</w:t>
            </w:r>
            <w:r w:rsidR="0062632A" w:rsidRPr="0093575B">
              <w:rPr>
                <w:rFonts w:asciiTheme="minorHAnsi" w:hAnsiTheme="minorHAnsi" w:cstheme="minorHAnsi"/>
                <w:sz w:val="22"/>
                <w:szCs w:val="22"/>
              </w:rPr>
              <w:t>. T</w:t>
            </w:r>
            <w:r w:rsidRPr="0093575B">
              <w:rPr>
                <w:rFonts w:asciiTheme="minorHAnsi" w:hAnsiTheme="minorHAnsi" w:cstheme="minorHAnsi"/>
                <w:sz w:val="22"/>
                <w:szCs w:val="22"/>
              </w:rPr>
              <w:t xml:space="preserve">he data may need to be retained for up to 6 months </w:t>
            </w:r>
            <w:r w:rsidR="0062632A" w:rsidRPr="0093575B">
              <w:rPr>
                <w:rFonts w:asciiTheme="minorHAnsi" w:hAnsiTheme="minorHAnsi" w:cstheme="minorHAnsi"/>
                <w:sz w:val="22"/>
                <w:szCs w:val="22"/>
              </w:rPr>
              <w:t xml:space="preserve">or more </w:t>
            </w:r>
            <w:r w:rsidRPr="0093575B">
              <w:rPr>
                <w:rFonts w:asciiTheme="minorHAnsi" w:hAnsiTheme="minorHAnsi" w:cstheme="minorHAnsi"/>
                <w:sz w:val="22"/>
                <w:szCs w:val="22"/>
              </w:rPr>
              <w:t>in order to support further investigation and/or collaboration with LEA.  Deletion following conclusion of investigations should be prompt, although follow-on investigations may occur from time to time. Duration of retention in these cases, and deletion following conclusion of investigations, may be subject to local law related to criminal investigations of this nature.</w:t>
            </w:r>
          </w:p>
        </w:tc>
      </w:tr>
      <w:tr w:rsidR="00B03A12" w:rsidRPr="009B4D88" w14:paraId="0149AB3F" w14:textId="77777777" w:rsidTr="008626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7BB4C5C" w14:textId="77777777" w:rsidR="00B03A12" w:rsidRPr="009B4D88" w:rsidRDefault="00B03A12" w:rsidP="00862654">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Other?</w:t>
            </w:r>
          </w:p>
        </w:tc>
        <w:tc>
          <w:tcPr>
            <w:tcW w:w="6120" w:type="dxa"/>
          </w:tcPr>
          <w:p w14:paraId="0B03CF4D" w14:textId="50FB7704" w:rsidR="004F5CA9" w:rsidRPr="0093575B" w:rsidRDefault="004F5CA9" w:rsidP="004F5CA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FF0000"/>
                <w:sz w:val="22"/>
                <w:szCs w:val="22"/>
              </w:rPr>
            </w:pPr>
            <w:r w:rsidRPr="0093575B">
              <w:rPr>
                <w:rFonts w:asciiTheme="minorHAnsi" w:hAnsiTheme="minorHAnsi" w:cstheme="minorHAnsi"/>
                <w:color w:val="000000"/>
                <w:sz w:val="22"/>
                <w:szCs w:val="22"/>
              </w:rPr>
              <w:t xml:space="preserve">Regardless of automation, </w:t>
            </w:r>
            <w:r w:rsidRPr="0093575B">
              <w:rPr>
                <w:rFonts w:asciiTheme="minorHAnsi" w:eastAsia="Calibri" w:hAnsiTheme="minorHAnsi" w:cstheme="minorHAnsi"/>
                <w:sz w:val="22"/>
                <w:szCs w:val="22"/>
              </w:rPr>
              <w:t>any policy or system designed for disclosing of data under this use case must include a mechanism for communicating the request for confidentiality and a mechanism for providing additional proofs to the data controller.</w:t>
            </w:r>
          </w:p>
          <w:p w14:paraId="076D25A4" w14:textId="77777777" w:rsidR="00B03A12" w:rsidRPr="009B4D88" w:rsidRDefault="00B03A12" w:rsidP="00862654">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bl>
    <w:p w14:paraId="24164295" w14:textId="77777777" w:rsidR="00B03A12" w:rsidRPr="009B4D88" w:rsidRDefault="00B03A12">
      <w:pPr>
        <w:rPr>
          <w:rFonts w:asciiTheme="minorHAnsi" w:hAnsiTheme="minorHAnsi" w:cstheme="minorHAnsi"/>
          <w:sz w:val="22"/>
          <w:szCs w:val="22"/>
        </w:rPr>
      </w:pPr>
    </w:p>
    <w:sectPr w:rsidR="00B03A12" w:rsidRPr="009B4D8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3C4B5" w14:textId="77777777" w:rsidR="000B748F" w:rsidRDefault="000B748F">
      <w:r>
        <w:separator/>
      </w:r>
    </w:p>
  </w:endnote>
  <w:endnote w:type="continuationSeparator" w:id="0">
    <w:p w14:paraId="7ADC1D49" w14:textId="77777777" w:rsidR="000B748F" w:rsidRDefault="000B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EB355" w14:textId="77777777" w:rsidR="000B748F" w:rsidRDefault="000B748F">
      <w:r>
        <w:separator/>
      </w:r>
    </w:p>
  </w:footnote>
  <w:footnote w:type="continuationSeparator" w:id="0">
    <w:p w14:paraId="391B3E00" w14:textId="77777777" w:rsidR="000B748F" w:rsidRDefault="000B748F">
      <w:r>
        <w:continuationSeparator/>
      </w:r>
    </w:p>
  </w:footnote>
  <w:footnote w:id="1">
    <w:p w14:paraId="5955F5F6" w14:textId="6CB6D12D" w:rsidR="0065279E" w:rsidRPr="00791C55" w:rsidRDefault="0065279E">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2">
    <w:p w14:paraId="02CEC0CD" w14:textId="77777777" w:rsidR="00766E8C" w:rsidRPr="00D90582" w:rsidRDefault="00766E8C" w:rsidP="005A23A2">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 w:id="3">
    <w:sdt>
      <w:sdtPr>
        <w:rPr>
          <w:sz w:val="18"/>
          <w:szCs w:val="18"/>
        </w:rPr>
        <w:tag w:val="goog_rdk_152"/>
        <w:id w:val="2143537648"/>
      </w:sdtPr>
      <w:sdtEndPr/>
      <w:sdtContent>
        <w:p w14:paraId="09E8D563" w14:textId="2E1DB8D0" w:rsidR="00766E8C" w:rsidRPr="00A6196F" w:rsidRDefault="00766E8C" w:rsidP="00DA4B18">
          <w:pPr>
            <w:rPr>
              <w:rFonts w:ascii="Calibri" w:eastAsia="Calibri" w:hAnsi="Calibri" w:cs="Calibri"/>
              <w:sz w:val="18"/>
              <w:szCs w:val="18"/>
            </w:rPr>
          </w:pPr>
          <w:r w:rsidRPr="00A6196F">
            <w:rPr>
              <w:rStyle w:val="FootnoteReference"/>
              <w:sz w:val="18"/>
              <w:szCs w:val="18"/>
            </w:rPr>
            <w:footnoteRef/>
          </w:r>
          <w:r w:rsidRPr="00A6196F">
            <w:rPr>
              <w:rFonts w:ascii="Calibri" w:eastAsia="Calibri" w:hAnsi="Calibri" w:cs="Calibri"/>
              <w:sz w:val="18"/>
              <w:szCs w:val="18"/>
            </w:rPr>
            <w:t xml:space="preserve"> As defined in section 3.3.6 of the Registrar Accreditation Agreement</w:t>
          </w:r>
        </w:p>
      </w:sdtContent>
    </w:sdt>
  </w:footnote>
  <w:footnote w:id="4">
    <w:p w14:paraId="444EF5AE" w14:textId="77777777" w:rsidR="00766E8C" w:rsidRPr="00791C55" w:rsidRDefault="00766E8C" w:rsidP="00DA4B18">
      <w:pPr>
        <w:pStyle w:val="FootnoteText"/>
        <w:rPr>
          <w:sz w:val="18"/>
          <w:szCs w:val="18"/>
          <w:lang w:val="en-US"/>
        </w:rPr>
      </w:pPr>
      <w:r w:rsidRPr="00791C55">
        <w:rPr>
          <w:rStyle w:val="FootnoteReference"/>
          <w:sz w:val="18"/>
          <w:szCs w:val="18"/>
        </w:rPr>
        <w:footnoteRef/>
      </w:r>
      <w:r w:rsidRPr="00791C55">
        <w:rPr>
          <w:sz w:val="18"/>
          <w:szCs w:val="18"/>
        </w:rPr>
        <w:t xml:space="preserve"> </w:t>
      </w:r>
      <w:r w:rsidRPr="00791C55">
        <w:rPr>
          <w:sz w:val="18"/>
          <w:szCs w:val="18"/>
          <w:lang w:val="en-US"/>
        </w:rPr>
        <w:t xml:space="preserve">As defined in section </w:t>
      </w:r>
      <w:r>
        <w:rPr>
          <w:sz w:val="18"/>
          <w:szCs w:val="18"/>
          <w:lang w:val="en-US"/>
        </w:rPr>
        <w:t xml:space="preserve">3.3.6 of the Registrar Accreditation Agreement. </w:t>
      </w:r>
    </w:p>
  </w:footnote>
  <w:footnote w:id="5">
    <w:p w14:paraId="2C0F852F" w14:textId="77777777" w:rsidR="00766E8C" w:rsidRPr="00D90582" w:rsidRDefault="00766E8C" w:rsidP="00CD3148">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2"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 w:id="6">
    <w:p w14:paraId="1BF93CB4" w14:textId="77777777" w:rsidR="00B03A12" w:rsidRPr="00791C55" w:rsidRDefault="00B03A12" w:rsidP="00B03A12">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7">
    <w:p w14:paraId="439A7D2D" w14:textId="77777777" w:rsidR="00B03A12" w:rsidRPr="00D90582" w:rsidRDefault="00B03A12" w:rsidP="00B03A12">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3"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 w:id="8">
    <w:sdt>
      <w:sdtPr>
        <w:rPr>
          <w:sz w:val="18"/>
          <w:szCs w:val="18"/>
        </w:rPr>
        <w:tag w:val="goog_rdk_152"/>
        <w:id w:val="74869250"/>
      </w:sdtPr>
      <w:sdtEndPr/>
      <w:sdtContent>
        <w:p w14:paraId="18C0F6E3" w14:textId="77777777" w:rsidR="00B03A12" w:rsidRPr="00A6196F" w:rsidRDefault="00B03A12" w:rsidP="00B03A12">
          <w:pPr>
            <w:rPr>
              <w:rFonts w:ascii="Calibri" w:eastAsia="Calibri" w:hAnsi="Calibri" w:cs="Calibri"/>
              <w:sz w:val="18"/>
              <w:szCs w:val="18"/>
            </w:rPr>
          </w:pPr>
          <w:r w:rsidRPr="00A6196F">
            <w:rPr>
              <w:rStyle w:val="FootnoteReference"/>
              <w:sz w:val="18"/>
              <w:szCs w:val="18"/>
            </w:rPr>
            <w:footnoteRef/>
          </w:r>
          <w:r w:rsidRPr="00A6196F">
            <w:rPr>
              <w:rFonts w:ascii="Calibri" w:eastAsia="Calibri" w:hAnsi="Calibri" w:cs="Calibri"/>
              <w:sz w:val="18"/>
              <w:szCs w:val="18"/>
            </w:rPr>
            <w:t xml:space="preserve"> As defined in section 3.3.6 of the Registrar Accreditation Agreement</w:t>
          </w:r>
        </w:p>
      </w:sdtContent>
    </w:sdt>
  </w:footnote>
  <w:footnote w:id="9">
    <w:p w14:paraId="3DCC21DB" w14:textId="77777777" w:rsidR="00B03A12" w:rsidRPr="00791C55" w:rsidRDefault="00B03A12" w:rsidP="00B03A12">
      <w:pPr>
        <w:pStyle w:val="FootnoteText"/>
        <w:rPr>
          <w:sz w:val="18"/>
          <w:szCs w:val="18"/>
          <w:lang w:val="en-US"/>
        </w:rPr>
      </w:pPr>
      <w:r w:rsidRPr="00791C55">
        <w:rPr>
          <w:rStyle w:val="FootnoteReference"/>
          <w:sz w:val="18"/>
          <w:szCs w:val="18"/>
        </w:rPr>
        <w:footnoteRef/>
      </w:r>
      <w:r w:rsidRPr="00791C55">
        <w:rPr>
          <w:sz w:val="18"/>
          <w:szCs w:val="18"/>
        </w:rPr>
        <w:t xml:space="preserve"> </w:t>
      </w:r>
      <w:r w:rsidRPr="00791C55">
        <w:rPr>
          <w:sz w:val="18"/>
          <w:szCs w:val="18"/>
          <w:lang w:val="en-US"/>
        </w:rPr>
        <w:t xml:space="preserve">As defined in section </w:t>
      </w:r>
      <w:r>
        <w:rPr>
          <w:sz w:val="18"/>
          <w:szCs w:val="18"/>
          <w:lang w:val="en-US"/>
        </w:rPr>
        <w:t xml:space="preserve">3.3.6 of the Registrar Accreditation Agreement. </w:t>
      </w:r>
    </w:p>
  </w:footnote>
  <w:footnote w:id="10">
    <w:p w14:paraId="5B3B9BA9" w14:textId="77777777" w:rsidR="00B03A12" w:rsidRPr="00D90582" w:rsidRDefault="00B03A12" w:rsidP="00B03A12">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4"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B31E1"/>
    <w:multiLevelType w:val="hybridMultilevel"/>
    <w:tmpl w:val="A8568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956EC1"/>
    <w:multiLevelType w:val="hybridMultilevel"/>
    <w:tmpl w:val="D5EE8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214FFA"/>
    <w:multiLevelType w:val="hybridMultilevel"/>
    <w:tmpl w:val="C80C0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243F0"/>
    <w:multiLevelType w:val="multilevel"/>
    <w:tmpl w:val="DA0E068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2067E06"/>
    <w:multiLevelType w:val="hybridMultilevel"/>
    <w:tmpl w:val="F2D2F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402D"/>
    <w:multiLevelType w:val="hybridMultilevel"/>
    <w:tmpl w:val="71CAD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3632A20"/>
    <w:multiLevelType w:val="hybridMultilevel"/>
    <w:tmpl w:val="8E305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771A0"/>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4A35310"/>
    <w:multiLevelType w:val="hybridMultilevel"/>
    <w:tmpl w:val="97CE4C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613E51"/>
    <w:multiLevelType w:val="hybridMultilevel"/>
    <w:tmpl w:val="ED9E85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14B15"/>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1803A7"/>
    <w:multiLevelType w:val="hybridMultilevel"/>
    <w:tmpl w:val="A8568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436A85"/>
    <w:multiLevelType w:val="multilevel"/>
    <w:tmpl w:val="87CAB5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E59D1"/>
    <w:multiLevelType w:val="multilevel"/>
    <w:tmpl w:val="DA0E068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550029B"/>
    <w:multiLevelType w:val="hybridMultilevel"/>
    <w:tmpl w:val="31E812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46E1B"/>
    <w:multiLevelType w:val="hybridMultilevel"/>
    <w:tmpl w:val="B6403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9DD706D"/>
    <w:multiLevelType w:val="hybridMultilevel"/>
    <w:tmpl w:val="84B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9"/>
  </w:num>
  <w:num w:numId="3">
    <w:abstractNumId w:val="6"/>
  </w:num>
  <w:num w:numId="4">
    <w:abstractNumId w:val="18"/>
  </w:num>
  <w:num w:numId="5">
    <w:abstractNumId w:val="45"/>
  </w:num>
  <w:num w:numId="6">
    <w:abstractNumId w:val="13"/>
  </w:num>
  <w:num w:numId="7">
    <w:abstractNumId w:val="17"/>
  </w:num>
  <w:num w:numId="8">
    <w:abstractNumId w:val="40"/>
  </w:num>
  <w:num w:numId="9">
    <w:abstractNumId w:val="38"/>
  </w:num>
  <w:num w:numId="10">
    <w:abstractNumId w:val="3"/>
  </w:num>
  <w:num w:numId="11">
    <w:abstractNumId w:val="11"/>
  </w:num>
  <w:num w:numId="12">
    <w:abstractNumId w:val="1"/>
  </w:num>
  <w:num w:numId="13">
    <w:abstractNumId w:val="14"/>
  </w:num>
  <w:num w:numId="14">
    <w:abstractNumId w:val="16"/>
  </w:num>
  <w:num w:numId="15">
    <w:abstractNumId w:val="29"/>
  </w:num>
  <w:num w:numId="16">
    <w:abstractNumId w:val="33"/>
    <w:lvlOverride w:ilvl="0">
      <w:lvl w:ilvl="0">
        <w:numFmt w:val="lowerLetter"/>
        <w:lvlText w:val="%1."/>
        <w:lvlJc w:val="left"/>
      </w:lvl>
    </w:lvlOverride>
  </w:num>
  <w:num w:numId="17">
    <w:abstractNumId w:val="37"/>
  </w:num>
  <w:num w:numId="18">
    <w:abstractNumId w:val="25"/>
  </w:num>
  <w:num w:numId="19">
    <w:abstractNumId w:val="22"/>
  </w:num>
  <w:num w:numId="20">
    <w:abstractNumId w:val="35"/>
  </w:num>
  <w:num w:numId="21">
    <w:abstractNumId w:val="30"/>
  </w:num>
  <w:num w:numId="22">
    <w:abstractNumId w:val="9"/>
  </w:num>
  <w:num w:numId="23">
    <w:abstractNumId w:val="8"/>
  </w:num>
  <w:num w:numId="24">
    <w:abstractNumId w:val="34"/>
  </w:num>
  <w:num w:numId="25">
    <w:abstractNumId w:val="44"/>
  </w:num>
  <w:num w:numId="26">
    <w:abstractNumId w:val="5"/>
  </w:num>
  <w:num w:numId="27">
    <w:abstractNumId w:val="12"/>
  </w:num>
  <w:num w:numId="28">
    <w:abstractNumId w:val="7"/>
  </w:num>
  <w:num w:numId="29">
    <w:abstractNumId w:val="42"/>
  </w:num>
  <w:num w:numId="30">
    <w:abstractNumId w:val="36"/>
  </w:num>
  <w:num w:numId="31">
    <w:abstractNumId w:val="21"/>
  </w:num>
  <w:num w:numId="32">
    <w:abstractNumId w:val="43"/>
  </w:num>
  <w:num w:numId="33">
    <w:abstractNumId w:val="2"/>
  </w:num>
  <w:num w:numId="34">
    <w:abstractNumId w:val="15"/>
  </w:num>
  <w:num w:numId="35">
    <w:abstractNumId w:val="4"/>
  </w:num>
  <w:num w:numId="36">
    <w:abstractNumId w:val="26"/>
  </w:num>
  <w:num w:numId="37">
    <w:abstractNumId w:val="20"/>
  </w:num>
  <w:num w:numId="38">
    <w:abstractNumId w:val="27"/>
  </w:num>
  <w:num w:numId="39">
    <w:abstractNumId w:val="19"/>
  </w:num>
  <w:num w:numId="40">
    <w:abstractNumId w:val="32"/>
  </w:num>
  <w:num w:numId="41">
    <w:abstractNumId w:val="10"/>
  </w:num>
  <w:num w:numId="42">
    <w:abstractNumId w:val="41"/>
  </w:num>
  <w:num w:numId="43">
    <w:abstractNumId w:val="23"/>
  </w:num>
  <w:num w:numId="44">
    <w:abstractNumId w:val="31"/>
  </w:num>
  <w:num w:numId="45">
    <w:abstractNumId w:val="24"/>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83"/>
    <w:rsid w:val="00004365"/>
    <w:rsid w:val="00004DA4"/>
    <w:rsid w:val="0001035E"/>
    <w:rsid w:val="00014FC3"/>
    <w:rsid w:val="00015738"/>
    <w:rsid w:val="00035858"/>
    <w:rsid w:val="00042AD8"/>
    <w:rsid w:val="00043F45"/>
    <w:rsid w:val="00050B87"/>
    <w:rsid w:val="0009092E"/>
    <w:rsid w:val="000B06C1"/>
    <w:rsid w:val="000B0EAF"/>
    <w:rsid w:val="000B748F"/>
    <w:rsid w:val="000C7DAB"/>
    <w:rsid w:val="000C7EDA"/>
    <w:rsid w:val="000E3D44"/>
    <w:rsid w:val="000F1C20"/>
    <w:rsid w:val="000F3991"/>
    <w:rsid w:val="00115334"/>
    <w:rsid w:val="00121D2D"/>
    <w:rsid w:val="001244AB"/>
    <w:rsid w:val="00124A24"/>
    <w:rsid w:val="00125001"/>
    <w:rsid w:val="001315BC"/>
    <w:rsid w:val="00137A16"/>
    <w:rsid w:val="001506BA"/>
    <w:rsid w:val="001509E8"/>
    <w:rsid w:val="00155A02"/>
    <w:rsid w:val="001609A8"/>
    <w:rsid w:val="00162656"/>
    <w:rsid w:val="00196BBB"/>
    <w:rsid w:val="001A7BCB"/>
    <w:rsid w:val="001B4FAC"/>
    <w:rsid w:val="001D0670"/>
    <w:rsid w:val="001E1284"/>
    <w:rsid w:val="001E41DF"/>
    <w:rsid w:val="001E7284"/>
    <w:rsid w:val="001F3169"/>
    <w:rsid w:val="002103B1"/>
    <w:rsid w:val="002216A0"/>
    <w:rsid w:val="002327ED"/>
    <w:rsid w:val="002346E8"/>
    <w:rsid w:val="00243294"/>
    <w:rsid w:val="00281DEA"/>
    <w:rsid w:val="002904F2"/>
    <w:rsid w:val="0029487D"/>
    <w:rsid w:val="00294CDC"/>
    <w:rsid w:val="00296201"/>
    <w:rsid w:val="002A1E1F"/>
    <w:rsid w:val="002A51BD"/>
    <w:rsid w:val="002B1458"/>
    <w:rsid w:val="002B562B"/>
    <w:rsid w:val="002C08A1"/>
    <w:rsid w:val="002C5D56"/>
    <w:rsid w:val="002D05F6"/>
    <w:rsid w:val="002E0838"/>
    <w:rsid w:val="0031040C"/>
    <w:rsid w:val="00324355"/>
    <w:rsid w:val="00333575"/>
    <w:rsid w:val="003563C1"/>
    <w:rsid w:val="003578A6"/>
    <w:rsid w:val="00362F69"/>
    <w:rsid w:val="0037233B"/>
    <w:rsid w:val="003727AE"/>
    <w:rsid w:val="003767A8"/>
    <w:rsid w:val="00381A08"/>
    <w:rsid w:val="0038449F"/>
    <w:rsid w:val="003A7DE1"/>
    <w:rsid w:val="003B5B12"/>
    <w:rsid w:val="003C288A"/>
    <w:rsid w:val="003C3D77"/>
    <w:rsid w:val="003D79F3"/>
    <w:rsid w:val="003E5D88"/>
    <w:rsid w:val="003F4376"/>
    <w:rsid w:val="0041078C"/>
    <w:rsid w:val="00431AA7"/>
    <w:rsid w:val="004627B0"/>
    <w:rsid w:val="004633E9"/>
    <w:rsid w:val="00463B2D"/>
    <w:rsid w:val="00471159"/>
    <w:rsid w:val="00473B87"/>
    <w:rsid w:val="004846A3"/>
    <w:rsid w:val="0048506C"/>
    <w:rsid w:val="004A48FF"/>
    <w:rsid w:val="004A680A"/>
    <w:rsid w:val="004B4A81"/>
    <w:rsid w:val="004E6ED3"/>
    <w:rsid w:val="004F5CA9"/>
    <w:rsid w:val="00502AFD"/>
    <w:rsid w:val="00535380"/>
    <w:rsid w:val="0054279C"/>
    <w:rsid w:val="00544B94"/>
    <w:rsid w:val="00552DA5"/>
    <w:rsid w:val="005537E8"/>
    <w:rsid w:val="00555CED"/>
    <w:rsid w:val="00556CF2"/>
    <w:rsid w:val="005575F8"/>
    <w:rsid w:val="005606DD"/>
    <w:rsid w:val="0058358F"/>
    <w:rsid w:val="00583B02"/>
    <w:rsid w:val="005867D8"/>
    <w:rsid w:val="0059780C"/>
    <w:rsid w:val="00597C71"/>
    <w:rsid w:val="005A6711"/>
    <w:rsid w:val="005B101F"/>
    <w:rsid w:val="005B1851"/>
    <w:rsid w:val="005B1A4B"/>
    <w:rsid w:val="005B502C"/>
    <w:rsid w:val="005B6E98"/>
    <w:rsid w:val="005C2116"/>
    <w:rsid w:val="005C7993"/>
    <w:rsid w:val="005D7D44"/>
    <w:rsid w:val="005E7510"/>
    <w:rsid w:val="005E75A7"/>
    <w:rsid w:val="00601164"/>
    <w:rsid w:val="0060373A"/>
    <w:rsid w:val="006247DF"/>
    <w:rsid w:val="00624CF1"/>
    <w:rsid w:val="0062632A"/>
    <w:rsid w:val="006338C1"/>
    <w:rsid w:val="00640006"/>
    <w:rsid w:val="006501C3"/>
    <w:rsid w:val="00651343"/>
    <w:rsid w:val="006525AE"/>
    <w:rsid w:val="0065279E"/>
    <w:rsid w:val="00656860"/>
    <w:rsid w:val="00673553"/>
    <w:rsid w:val="00675908"/>
    <w:rsid w:val="006B6C0D"/>
    <w:rsid w:val="006C3C99"/>
    <w:rsid w:val="006D41D6"/>
    <w:rsid w:val="006E03FD"/>
    <w:rsid w:val="006E515F"/>
    <w:rsid w:val="006E54AD"/>
    <w:rsid w:val="006F00AF"/>
    <w:rsid w:val="00706136"/>
    <w:rsid w:val="007141EC"/>
    <w:rsid w:val="00722BB7"/>
    <w:rsid w:val="007240F6"/>
    <w:rsid w:val="00726D3F"/>
    <w:rsid w:val="00731BBA"/>
    <w:rsid w:val="00741A85"/>
    <w:rsid w:val="00762698"/>
    <w:rsid w:val="00766E8C"/>
    <w:rsid w:val="00791C55"/>
    <w:rsid w:val="007A40A2"/>
    <w:rsid w:val="007A45D5"/>
    <w:rsid w:val="007A4C87"/>
    <w:rsid w:val="007B2CB1"/>
    <w:rsid w:val="007D1997"/>
    <w:rsid w:val="007E030A"/>
    <w:rsid w:val="007F0722"/>
    <w:rsid w:val="007F5721"/>
    <w:rsid w:val="007F59CA"/>
    <w:rsid w:val="00805BA8"/>
    <w:rsid w:val="00806A22"/>
    <w:rsid w:val="00806B66"/>
    <w:rsid w:val="008128D1"/>
    <w:rsid w:val="008148E7"/>
    <w:rsid w:val="00827281"/>
    <w:rsid w:val="00840045"/>
    <w:rsid w:val="00850762"/>
    <w:rsid w:val="008A5D83"/>
    <w:rsid w:val="008B1438"/>
    <w:rsid w:val="008B633F"/>
    <w:rsid w:val="008B6ADE"/>
    <w:rsid w:val="008C1A95"/>
    <w:rsid w:val="008C7113"/>
    <w:rsid w:val="008D4D66"/>
    <w:rsid w:val="008F228F"/>
    <w:rsid w:val="00901CDD"/>
    <w:rsid w:val="00905A4F"/>
    <w:rsid w:val="009177E2"/>
    <w:rsid w:val="00917DE8"/>
    <w:rsid w:val="00924E61"/>
    <w:rsid w:val="0093575B"/>
    <w:rsid w:val="00956ED8"/>
    <w:rsid w:val="00960EC3"/>
    <w:rsid w:val="00974A97"/>
    <w:rsid w:val="00977E43"/>
    <w:rsid w:val="00981F47"/>
    <w:rsid w:val="0098514B"/>
    <w:rsid w:val="009914E0"/>
    <w:rsid w:val="009A6002"/>
    <w:rsid w:val="009B4D88"/>
    <w:rsid w:val="009D3CF1"/>
    <w:rsid w:val="009D77A8"/>
    <w:rsid w:val="009E62A7"/>
    <w:rsid w:val="009F7BA4"/>
    <w:rsid w:val="00A00694"/>
    <w:rsid w:val="00A00F4E"/>
    <w:rsid w:val="00A34159"/>
    <w:rsid w:val="00A41452"/>
    <w:rsid w:val="00A43BCE"/>
    <w:rsid w:val="00A4420D"/>
    <w:rsid w:val="00A44D4B"/>
    <w:rsid w:val="00A6108A"/>
    <w:rsid w:val="00A6196F"/>
    <w:rsid w:val="00A938B6"/>
    <w:rsid w:val="00A96410"/>
    <w:rsid w:val="00AA3833"/>
    <w:rsid w:val="00AB3710"/>
    <w:rsid w:val="00AB48CE"/>
    <w:rsid w:val="00AC4303"/>
    <w:rsid w:val="00AC6D8F"/>
    <w:rsid w:val="00AD3C60"/>
    <w:rsid w:val="00AE183B"/>
    <w:rsid w:val="00AE278F"/>
    <w:rsid w:val="00B03755"/>
    <w:rsid w:val="00B03A12"/>
    <w:rsid w:val="00B1201D"/>
    <w:rsid w:val="00B161E3"/>
    <w:rsid w:val="00B2145E"/>
    <w:rsid w:val="00B46C29"/>
    <w:rsid w:val="00B51A88"/>
    <w:rsid w:val="00B526DD"/>
    <w:rsid w:val="00B67BFF"/>
    <w:rsid w:val="00B73EBC"/>
    <w:rsid w:val="00B82534"/>
    <w:rsid w:val="00B95471"/>
    <w:rsid w:val="00BC4D46"/>
    <w:rsid w:val="00BD4336"/>
    <w:rsid w:val="00BF4703"/>
    <w:rsid w:val="00BF485C"/>
    <w:rsid w:val="00C01C2A"/>
    <w:rsid w:val="00C07A3E"/>
    <w:rsid w:val="00C13E65"/>
    <w:rsid w:val="00C17511"/>
    <w:rsid w:val="00C2371B"/>
    <w:rsid w:val="00C421EA"/>
    <w:rsid w:val="00C5543D"/>
    <w:rsid w:val="00C61973"/>
    <w:rsid w:val="00C7250B"/>
    <w:rsid w:val="00C72E91"/>
    <w:rsid w:val="00CB020D"/>
    <w:rsid w:val="00CD3148"/>
    <w:rsid w:val="00CF6010"/>
    <w:rsid w:val="00D03F30"/>
    <w:rsid w:val="00D05010"/>
    <w:rsid w:val="00D270B9"/>
    <w:rsid w:val="00D31F02"/>
    <w:rsid w:val="00D45B71"/>
    <w:rsid w:val="00D5085B"/>
    <w:rsid w:val="00D5462D"/>
    <w:rsid w:val="00D5662B"/>
    <w:rsid w:val="00D663C4"/>
    <w:rsid w:val="00D73DD0"/>
    <w:rsid w:val="00D743E7"/>
    <w:rsid w:val="00D808EE"/>
    <w:rsid w:val="00D80F72"/>
    <w:rsid w:val="00D81319"/>
    <w:rsid w:val="00D87A82"/>
    <w:rsid w:val="00D90582"/>
    <w:rsid w:val="00D92B0F"/>
    <w:rsid w:val="00D93B40"/>
    <w:rsid w:val="00DA0FAB"/>
    <w:rsid w:val="00DA4B18"/>
    <w:rsid w:val="00DA67F9"/>
    <w:rsid w:val="00DB46B3"/>
    <w:rsid w:val="00DC2683"/>
    <w:rsid w:val="00DC33FC"/>
    <w:rsid w:val="00DD79C4"/>
    <w:rsid w:val="00DE4B64"/>
    <w:rsid w:val="00DE7ACD"/>
    <w:rsid w:val="00DF3108"/>
    <w:rsid w:val="00DF5AC9"/>
    <w:rsid w:val="00DF5E87"/>
    <w:rsid w:val="00E10E37"/>
    <w:rsid w:val="00E1502C"/>
    <w:rsid w:val="00E34AE6"/>
    <w:rsid w:val="00E63091"/>
    <w:rsid w:val="00E67066"/>
    <w:rsid w:val="00E67496"/>
    <w:rsid w:val="00E712CE"/>
    <w:rsid w:val="00E8449C"/>
    <w:rsid w:val="00E8523C"/>
    <w:rsid w:val="00E87132"/>
    <w:rsid w:val="00E9742F"/>
    <w:rsid w:val="00E97A0C"/>
    <w:rsid w:val="00EA28E4"/>
    <w:rsid w:val="00EA6377"/>
    <w:rsid w:val="00EB3B83"/>
    <w:rsid w:val="00EB4FFB"/>
    <w:rsid w:val="00EB712C"/>
    <w:rsid w:val="00EB7FE3"/>
    <w:rsid w:val="00EC5235"/>
    <w:rsid w:val="00ED59D8"/>
    <w:rsid w:val="00EE31C7"/>
    <w:rsid w:val="00EE36D8"/>
    <w:rsid w:val="00EE520E"/>
    <w:rsid w:val="00EF1471"/>
    <w:rsid w:val="00EF2869"/>
    <w:rsid w:val="00EF495A"/>
    <w:rsid w:val="00F06EF4"/>
    <w:rsid w:val="00F31444"/>
    <w:rsid w:val="00F32235"/>
    <w:rsid w:val="00F5336D"/>
    <w:rsid w:val="00F56169"/>
    <w:rsid w:val="00F6139C"/>
    <w:rsid w:val="00F641B0"/>
    <w:rsid w:val="00F80EDB"/>
    <w:rsid w:val="00F80F96"/>
    <w:rsid w:val="00F85533"/>
    <w:rsid w:val="00F92A89"/>
    <w:rsid w:val="00F97168"/>
    <w:rsid w:val="00FC2F66"/>
    <w:rsid w:val="00FD1F2D"/>
    <w:rsid w:val="00FD3955"/>
    <w:rsid w:val="00FD4D7A"/>
    <w:rsid w:val="00FD63B3"/>
    <w:rsid w:val="00FE5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437F"/>
  <w15:docId w15:val="{D660DAFA-7935-F34D-BE58-1E4E9E67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 w:type="character" w:customStyle="1" w:styleId="normaltextrun">
    <w:name w:val="normaltextrun"/>
    <w:basedOn w:val="DefaultParagraphFont"/>
    <w:rsid w:val="00035858"/>
  </w:style>
  <w:style w:type="character" w:customStyle="1" w:styleId="scxw213572358">
    <w:name w:val="scxw213572358"/>
    <w:basedOn w:val="DefaultParagraphFont"/>
    <w:rsid w:val="00035858"/>
  </w:style>
  <w:style w:type="character" w:styleId="FollowedHyperlink">
    <w:name w:val="FollowedHyperlink"/>
    <w:basedOn w:val="DefaultParagraphFont"/>
    <w:uiPriority w:val="99"/>
    <w:semiHidden/>
    <w:unhideWhenUsed/>
    <w:rsid w:val="004627B0"/>
    <w:rPr>
      <w:color w:val="954F72" w:themeColor="followedHyperlink"/>
      <w:u w:val="single"/>
    </w:rPr>
  </w:style>
  <w:style w:type="character" w:customStyle="1" w:styleId="apple-converted-space">
    <w:name w:val="apple-converted-space"/>
    <w:basedOn w:val="DefaultParagraphFont"/>
    <w:rsid w:val="002A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46491739">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261036673">
      <w:bodyDiv w:val="1"/>
      <w:marLeft w:val="0"/>
      <w:marRight w:val="0"/>
      <w:marTop w:val="0"/>
      <w:marBottom w:val="0"/>
      <w:divBdr>
        <w:top w:val="none" w:sz="0" w:space="0" w:color="auto"/>
        <w:left w:val="none" w:sz="0" w:space="0" w:color="auto"/>
        <w:bottom w:val="none" w:sz="0" w:space="0" w:color="auto"/>
        <w:right w:val="none" w:sz="0" w:space="0" w:color="auto"/>
      </w:divBdr>
    </w:div>
    <w:div w:id="717632191">
      <w:bodyDiv w:val="1"/>
      <w:marLeft w:val="0"/>
      <w:marRight w:val="0"/>
      <w:marTop w:val="0"/>
      <w:marBottom w:val="0"/>
      <w:divBdr>
        <w:top w:val="none" w:sz="0" w:space="0" w:color="auto"/>
        <w:left w:val="none" w:sz="0" w:space="0" w:color="auto"/>
        <w:bottom w:val="none" w:sz="0" w:space="0" w:color="auto"/>
        <w:right w:val="none" w:sz="0" w:space="0" w:color="auto"/>
      </w:divBdr>
    </w:div>
    <w:div w:id="730614235">
      <w:bodyDiv w:val="1"/>
      <w:marLeft w:val="0"/>
      <w:marRight w:val="0"/>
      <w:marTop w:val="0"/>
      <w:marBottom w:val="0"/>
      <w:divBdr>
        <w:top w:val="none" w:sz="0" w:space="0" w:color="auto"/>
        <w:left w:val="none" w:sz="0" w:space="0" w:color="auto"/>
        <w:bottom w:val="none" w:sz="0" w:space="0" w:color="auto"/>
        <w:right w:val="none" w:sz="0" w:space="0" w:color="auto"/>
      </w:divBdr>
    </w:div>
    <w:div w:id="793911843">
      <w:bodyDiv w:val="1"/>
      <w:marLeft w:val="0"/>
      <w:marRight w:val="0"/>
      <w:marTop w:val="0"/>
      <w:marBottom w:val="0"/>
      <w:divBdr>
        <w:top w:val="none" w:sz="0" w:space="0" w:color="auto"/>
        <w:left w:val="none" w:sz="0" w:space="0" w:color="auto"/>
        <w:bottom w:val="none" w:sz="0" w:space="0" w:color="auto"/>
        <w:right w:val="none" w:sz="0" w:space="0" w:color="auto"/>
      </w:divBdr>
    </w:div>
    <w:div w:id="959919244">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160534394">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awg.org/" TargetMode="External"/><Relationship Id="rId13" Type="http://schemas.openxmlformats.org/officeDocument/2006/relationships/hyperlink" Target="http://londonactionplan.com/" TargetMode="External"/><Relationship Id="rId18" Type="http://schemas.openxmlformats.org/officeDocument/2006/relationships/hyperlink" Target="http://ncfta.net/" TargetMode="External"/><Relationship Id="rId3" Type="http://schemas.openxmlformats.org/officeDocument/2006/relationships/styles" Target="styles.xml"/><Relationship Id="rId21" Type="http://schemas.openxmlformats.org/officeDocument/2006/relationships/hyperlink" Target="http://londonactionplan.com/" TargetMode="External"/><Relationship Id="rId7" Type="http://schemas.openxmlformats.org/officeDocument/2006/relationships/endnotes" Target="endnotes.xml"/><Relationship Id="rId12" Type="http://schemas.openxmlformats.org/officeDocument/2006/relationships/hyperlink" Target="http://stopspamalliance.org/" TargetMode="External"/><Relationship Id="rId17" Type="http://schemas.openxmlformats.org/officeDocument/2006/relationships/hyperlink" Target="http://apwg.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awg.org/" TargetMode="External"/><Relationship Id="rId20" Type="http://schemas.openxmlformats.org/officeDocument/2006/relationships/hyperlink" Target="http://stopspamallian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ysafeonlin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ntispywarecoalition.org/" TargetMode="External"/><Relationship Id="rId23" Type="http://schemas.openxmlformats.org/officeDocument/2006/relationships/hyperlink" Target="http://antispywarecoalition.org/" TargetMode="External"/><Relationship Id="rId10" Type="http://schemas.openxmlformats.org/officeDocument/2006/relationships/hyperlink" Target="http://ncfta.net/" TargetMode="External"/><Relationship Id="rId19" Type="http://schemas.openxmlformats.org/officeDocument/2006/relationships/hyperlink" Target="https://staysafeonline.org/" TargetMode="External"/><Relationship Id="rId4" Type="http://schemas.openxmlformats.org/officeDocument/2006/relationships/settings" Target="settings.xml"/><Relationship Id="rId9" Type="http://schemas.openxmlformats.org/officeDocument/2006/relationships/hyperlink" Target="http://apwg.org/" TargetMode="External"/><Relationship Id="rId14" Type="http://schemas.openxmlformats.org/officeDocument/2006/relationships/hyperlink" Target="https://transition.fcc.gov/pshs/advisory/csric/" TargetMode="External"/><Relationship Id="rId22" Type="http://schemas.openxmlformats.org/officeDocument/2006/relationships/hyperlink" Target="https://transition.fcc.gov/pshs/advisory/csri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ann.org/2013raa" TargetMode="External"/><Relationship Id="rId2" Type="http://schemas.openxmlformats.org/officeDocument/2006/relationships/hyperlink" Target="http://www.icann.org/2013raa" TargetMode="External"/><Relationship Id="rId1" Type="http://schemas.openxmlformats.org/officeDocument/2006/relationships/hyperlink" Target="http://www.icann.org/2013raa" TargetMode="External"/><Relationship Id="rId4"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3164</Words>
  <Characters>17661</Characters>
  <Application>Microsoft Office Word</Application>
  <DocSecurity>0</DocSecurity>
  <Lines>569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Margie Milam</cp:lastModifiedBy>
  <cp:revision>2</cp:revision>
  <dcterms:created xsi:type="dcterms:W3CDTF">2019-07-05T21:52:00Z</dcterms:created>
  <dcterms:modified xsi:type="dcterms:W3CDTF">2019-07-05T21:52:00Z</dcterms:modified>
</cp:coreProperties>
</file>