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dtContent>
    </w:sdt>
    <w:tbl>
      <w:tblPr>
        <w:tblStyle w:val="Table1"/>
        <w:tblW w:w="9180.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9180"/>
        <w:tblGridChange w:id="0">
          <w:tblGrid>
            <w:gridCol w:w="9180"/>
          </w:tblGrid>
        </w:tblGridChange>
      </w:tblGrid>
      <w:tr>
        <w:trPr>
          <w:trHeight w:val="440" w:hRule="atLeast"/>
        </w:trPr>
        <w:tc>
          <w:tcPr/>
          <w:sdt>
            <w:sdtPr>
              <w:tag w:val="goog_rdk_1"/>
            </w:sdtPr>
            <w:sdtContent>
              <w:p w:rsidR="00000000" w:rsidDel="00000000" w:rsidP="00000000" w:rsidRDefault="00000000" w:rsidRPr="00000000" w14:paraId="00000002">
                <w:pPr>
                  <w:spacing w:after="40" w:before="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BC-3: </w:t>
                </w:r>
                <w:r w:rsidDel="00000000" w:rsidR="00000000" w:rsidRPr="00000000">
                  <w:rPr>
                    <w:rFonts w:ascii="Calibri" w:cs="Calibri" w:eastAsia="Calibri" w:hAnsi="Calibri"/>
                    <w:color w:val="000000"/>
                    <w:sz w:val="22"/>
                    <w:szCs w:val="22"/>
                    <w:rtl w:val="0"/>
                  </w:rPr>
                  <w:t xml:space="preserve">Overarching Purpose: Investigate, detect, prevent, and bring civil claims for Abusive Domain names</w:t>
                </w:r>
              </w:p>
            </w:sdtContent>
          </w:sdt>
        </w:tc>
      </w:tr>
    </w:tbl>
    <w:sdt>
      <w:sdtPr>
        <w:tag w:val="goog_rdk_2"/>
      </w:sdtPr>
      <w:sdtContent>
        <w:p w:rsidR="00000000" w:rsidDel="00000000" w:rsidP="00000000" w:rsidRDefault="00000000" w:rsidRPr="00000000" w14:paraId="00000003">
          <w:pPr>
            <w:spacing w:after="40" w:before="40" w:lineRule="auto"/>
            <w:rPr>
              <w:b w:val="1"/>
              <w:color w:val="ffffff"/>
            </w:rPr>
            <w:sectPr>
              <w:pgSz w:h="15840" w:w="12240"/>
              <w:pgMar w:bottom="1440" w:top="1440" w:left="1440" w:right="1440" w:header="720" w:footer="720"/>
              <w:pgNumType w:start="1"/>
              <w:cols w:equalWidth="0"/>
            </w:sectPr>
          </w:pPr>
          <w:r w:rsidDel="00000000" w:rsidR="00000000" w:rsidRPr="00000000">
            <w:rPr>
              <w:rtl w:val="0"/>
            </w:rPr>
          </w:r>
        </w:p>
      </w:sdtContent>
    </w:sdt>
    <w:sdt>
      <w:sdtPr>
        <w:tag w:val="goog_rdk_3"/>
      </w:sdtPr>
      <w:sdtContent>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sdtContent>
    </w:sdt>
    <w:tbl>
      <w:tblPr>
        <w:tblStyle w:val="Table2"/>
        <w:tblW w:w="9180.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060"/>
        <w:gridCol w:w="6120"/>
        <w:tblGridChange w:id="0">
          <w:tblGrid>
            <w:gridCol w:w="3060"/>
            <w:gridCol w:w="6120"/>
          </w:tblGrid>
        </w:tblGridChange>
      </w:tblGrid>
      <w:tr>
        <w:trPr>
          <w:trHeight w:val="440" w:hRule="atLeast"/>
        </w:trPr>
        <w:tc>
          <w:tcPr>
            <w:gridSpan w:val="2"/>
          </w:tcPr>
          <w:sdt>
            <w:sdtPr>
              <w:tag w:val="goog_rdk_4"/>
            </w:sdtPr>
            <w:sdtContent>
              <w:p w:rsidR="00000000" w:rsidDel="00000000" w:rsidP="00000000" w:rsidRDefault="00000000" w:rsidRPr="00000000" w14:paraId="00000005">
                <w:pPr>
                  <w:spacing w:after="40" w:before="40" w:lineRule="auto"/>
                  <w:rPr>
                    <w:rFonts w:ascii="Calibri" w:cs="Calibri" w:eastAsia="Calibri" w:hAnsi="Calibri"/>
                    <w:color w:val="000000"/>
                    <w:sz w:val="22"/>
                    <w:szCs w:val="22"/>
                  </w:rPr>
                </w:pPr>
                <w:bookmarkStart w:colFirst="0" w:colLast="0" w:name="_heading=h.30j0zll" w:id="0"/>
                <w:bookmarkEnd w:id="0"/>
                <w:r w:rsidDel="00000000" w:rsidR="00000000" w:rsidRPr="00000000">
                  <w:rPr>
                    <w:rFonts w:ascii="Calibri" w:cs="Calibri" w:eastAsia="Calibri" w:hAnsi="Calibri"/>
                    <w:color w:val="000000"/>
                    <w:sz w:val="22"/>
                    <w:szCs w:val="22"/>
                    <w:rtl w:val="0"/>
                  </w:rPr>
                  <w:t xml:space="preserve">Use Case: Identify owner of abusive domains and other related domains involved in civil legal claims related to phishing, malware, botnets, and other fraudulent activities</w:t>
                </w:r>
              </w:p>
            </w:sdtContent>
          </w:sdt>
        </w:tc>
      </w:tr>
      <w:tr>
        <w:trPr>
          <w:trHeight w:val="300" w:hRule="atLeast"/>
        </w:trPr>
        <w:tc>
          <w:tcPr/>
          <w:sdt>
            <w:sdtPr>
              <w:tag w:val="goog_rdk_6"/>
            </w:sdtPr>
            <w:sdtContent>
              <w:p w:rsidR="00000000" w:rsidDel="00000000" w:rsidP="00000000" w:rsidRDefault="00000000" w:rsidRPr="00000000" w14:paraId="0000000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User Groups (Requestors) / User characteristics </w:t>
                </w:r>
              </w:p>
            </w:sdtContent>
          </w:sdt>
        </w:tc>
        <w:tc>
          <w:tcPr/>
          <w:sdt>
            <w:sdtPr>
              <w:tag w:val="goog_rdk_7"/>
            </w:sdtPr>
            <w:sdtContent>
              <w:p w:rsidR="00000000" w:rsidDel="00000000" w:rsidP="00000000" w:rsidRDefault="00000000" w:rsidRPr="00000000" w14:paraId="00000008">
                <w:pPr>
                  <w:spacing w:after="40" w:before="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Law enforcement, operational security practitioners, anti-abuse authorities</w:t>
                </w:r>
              </w:p>
            </w:sdtContent>
          </w:sdt>
        </w:tc>
      </w:tr>
      <w:tr>
        <w:trPr>
          <w:trHeight w:val="300" w:hRule="atLeast"/>
        </w:trPr>
        <w:tc>
          <w:tcPr/>
          <w:sdt>
            <w:sdtPr>
              <w:tag w:val="goog_rdk_8"/>
            </w:sdtPr>
            <w:sdtContent>
              <w:p w:rsidR="00000000" w:rsidDel="00000000" w:rsidP="00000000" w:rsidRDefault="00000000" w:rsidRPr="00000000" w14:paraId="0000000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is non-public registration data necessary?</w:t>
                </w:r>
              </w:p>
            </w:sdtContent>
          </w:sdt>
        </w:tc>
        <w:tc>
          <w:tcPr/>
          <w:sdt>
            <w:sdtPr>
              <w:tag w:val="goog_rdk_9"/>
            </w:sdtPr>
            <w:sdtContent>
              <w:p w:rsidR="00000000" w:rsidDel="00000000" w:rsidP="00000000" w:rsidRDefault="00000000" w:rsidRPr="00000000" w14:paraId="0000000A">
                <w:pPr>
                  <w:spacing w:after="40" w:before="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non-public domain registration data fields (even if inaccurate) provide leads to identify the miscreants and other domain names associated with the miscreants or network of operators of abusive domain names</w:t>
                </w:r>
              </w:p>
            </w:sdtContent>
          </w:sdt>
        </w:tc>
      </w:tr>
      <w:tr>
        <w:trPr>
          <w:trHeight w:val="300" w:hRule="atLeast"/>
        </w:trPr>
        <w:tc>
          <w:tcPr/>
          <w:sdt>
            <w:sdtPr>
              <w:tag w:val="goog_rdk_10"/>
            </w:sdtPr>
            <w:sdtContent>
              <w:p w:rsidR="00000000" w:rsidDel="00000000" w:rsidP="00000000" w:rsidRDefault="00000000" w:rsidRPr="00000000" w14:paraId="0000000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elements that may typically be disclosed</w:t>
                </w:r>
                <w:r w:rsidDel="00000000" w:rsidR="00000000" w:rsidRPr="00000000">
                  <w:rPr>
                    <w:rtl w:val="0"/>
                  </w:rPr>
                </w:r>
              </w:p>
            </w:sdtContent>
          </w:sdt>
          <w:sdt>
            <w:sdtPr>
              <w:tag w:val="goog_rdk_11"/>
            </w:sdtPr>
            <w:sdtContent>
              <w:p w:rsidR="00000000" w:rsidDel="00000000" w:rsidP="00000000" w:rsidRDefault="00000000" w:rsidRPr="00000000" w14:paraId="0000000C">
                <w:pPr>
                  <w:spacing w:after="40" w:before="40" w:lineRule="auto"/>
                  <w:rPr>
                    <w:rFonts w:ascii="Calibri" w:cs="Calibri" w:eastAsia="Calibri" w:hAnsi="Calibri"/>
                    <w:color w:val="000000"/>
                    <w:sz w:val="22"/>
                    <w:szCs w:val="22"/>
                  </w:rPr>
                </w:pPr>
                <w:r w:rsidDel="00000000" w:rsidR="00000000" w:rsidRPr="00000000">
                  <w:rPr>
                    <w:rtl w:val="0"/>
                  </w:rPr>
                </w:r>
              </w:p>
            </w:sdtContent>
          </w:sdt>
        </w:tc>
        <w:tc>
          <w:tcPr/>
          <w:sdt>
            <w:sdtPr>
              <w:tag w:val="goog_rdk_12"/>
            </w:sdtPr>
            <w:sdtContent>
              <w:p w:rsidR="00000000" w:rsidDel="00000000" w:rsidP="00000000" w:rsidRDefault="00000000" w:rsidRPr="00000000" w14:paraId="0000000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Registrant name, e-mail address, phone, p</w:t>
                </w:r>
                <w:r w:rsidDel="00000000" w:rsidR="00000000" w:rsidRPr="00000000">
                  <w:rPr>
                    <w:rFonts w:ascii="Calibri" w:cs="Calibri" w:eastAsia="Calibri" w:hAnsi="Calibri"/>
                    <w:sz w:val="22"/>
                    <w:szCs w:val="22"/>
                    <w:rtl w:val="0"/>
                  </w:rPr>
                  <w:t xml:space="preserve">ostal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address</w:t>
                </w:r>
              </w:p>
            </w:sdtContent>
          </w:sdt>
          <w:sdt>
            <w:sdtPr>
              <w:tag w:val="goog_rdk_13"/>
            </w:sdtPr>
            <w:sdtContent>
              <w:p w:rsidR="00000000" w:rsidDel="00000000" w:rsidP="00000000" w:rsidRDefault="00000000" w:rsidRPr="00000000" w14:paraId="0000000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Technical contact name, email address, phone, p</w:t>
                </w:r>
                <w:r w:rsidDel="00000000" w:rsidR="00000000" w:rsidRPr="00000000">
                  <w:rPr>
                    <w:rFonts w:ascii="Calibri" w:cs="Calibri" w:eastAsia="Calibri" w:hAnsi="Calibri"/>
                    <w:sz w:val="22"/>
                    <w:szCs w:val="22"/>
                    <w:rtl w:val="0"/>
                  </w:rPr>
                  <w:t xml:space="preserve">ostal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address</w:t>
                </w:r>
              </w:p>
            </w:sdtContent>
          </w:sdt>
          <w:sdt>
            <w:sdtPr>
              <w:tag w:val="goog_rdk_14"/>
            </w:sdtPr>
            <w:sdtContent>
              <w:p w:rsidR="00000000" w:rsidDel="00000000" w:rsidP="00000000" w:rsidRDefault="00000000" w:rsidRPr="00000000" w14:paraId="0000000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domain names linked to the registrant’s data contact fields</w:t>
                </w:r>
              </w:p>
            </w:sdtContent>
          </w:sdt>
        </w:tc>
      </w:tr>
      <w:tr>
        <w:trPr>
          <w:trHeight w:val="300" w:hRule="atLeast"/>
        </w:trPr>
        <w:tc>
          <w:tcPr/>
          <w:sdt>
            <w:sdtPr>
              <w:tag w:val="goog_rdk_15"/>
            </w:sdtPr>
            <w:sdtContent>
              <w:p w:rsidR="00000000" w:rsidDel="00000000" w:rsidP="00000000" w:rsidRDefault="00000000" w:rsidRPr="00000000" w14:paraId="0000001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Lawful basis of entity disclosing non-public registration data to the requestor</w:t>
                </w:r>
              </w:p>
            </w:sdtContent>
          </w:sdt>
        </w:tc>
        <w:tc>
          <w:tcPr/>
          <w:sdt>
            <w:sdtPr>
              <w:tag w:val="goog_rdk_16"/>
            </w:sdtPr>
            <w:sdtContent>
              <w:p w:rsidR="00000000" w:rsidDel="00000000" w:rsidP="00000000" w:rsidRDefault="00000000" w:rsidRPr="00000000" w14:paraId="000000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Disclosure of non-public registration data may be justified under Art. 6 (1) (f) (legitimate interest), (c) performance of contract, (e) (task carried out in the public interest, official authority), and (d) </w:t>
                </w:r>
                <w:r w:rsidDel="00000000" w:rsidR="00000000" w:rsidRPr="00000000">
                  <w:rPr>
                    <w:shd w:fill="fbe5d5" w:val="clear"/>
                    <w:rtl w:val="0"/>
                  </w:rPr>
                  <w:t xml:space="preserve">p</w:t>
                </w:r>
                <w:r w:rsidDel="00000000" w:rsidR="00000000" w:rsidRPr="00000000">
                  <w:rPr>
                    <w:rFonts w:ascii="Calibri" w:cs="Calibri" w:eastAsia="Calibri" w:hAnsi="Calibri"/>
                    <w:sz w:val="22"/>
                    <w:szCs w:val="22"/>
                    <w:shd w:fill="fbe5d5" w:val="clear"/>
                    <w:rtl w:val="0"/>
                  </w:rPr>
                  <w:t xml:space="preserve">rotect the vital interests of the data subject or of another natural person.  The establishment, exercise or defense of legal claims is recognized under GDPR as an exception to as an exception to the rules regarding processing of special categories of personal data under Article 9(2)(f), the right to be forgotten (Art. )17, the right to restriction of processing (Art.18(c)), and the right to object (Art. 21).  See also GDPR Recital 52.</w:t>
                </w:r>
                <w:r w:rsidDel="00000000" w:rsidR="00000000" w:rsidRPr="00000000">
                  <w:rPr>
                    <w:rtl w:val="0"/>
                  </w:rPr>
                </w:r>
              </w:p>
            </w:sdtContent>
          </w:sdt>
        </w:tc>
      </w:tr>
      <w:tr>
        <w:trPr>
          <w:trHeight w:val="300" w:hRule="atLeast"/>
        </w:trPr>
        <w:tc>
          <w:tcPr/>
          <w:sdt>
            <w:sdtPr>
              <w:tag w:val="goog_rdk_17"/>
            </w:sdtPr>
            <w:sdtContent>
              <w:p w:rsidR="00000000" w:rsidDel="00000000" w:rsidP="00000000" w:rsidRDefault="00000000" w:rsidRPr="00000000" w14:paraId="0000001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Supporting info to determine lawful basis for the requestor</w:t>
                </w:r>
                <w:r w:rsidDel="00000000" w:rsidR="00000000" w:rsidRPr="00000000">
                  <w:rPr>
                    <w:rtl w:val="0"/>
                  </w:rPr>
                </w:r>
              </w:p>
            </w:sdtContent>
          </w:sdt>
        </w:tc>
        <w:tc>
          <w:tcPr/>
          <w:sdt>
            <w:sdtPr>
              <w:tag w:val="goog_rdk_18"/>
            </w:sdtPr>
            <w:sdtContent>
              <w:p w:rsidR="00000000" w:rsidDel="00000000" w:rsidP="00000000" w:rsidRDefault="00000000" w:rsidRPr="00000000" w14:paraId="000000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Requester should be a trusted notifier or has been vetted and verified by an accreditation body for security practitioners</w:t>
                </w:r>
              </w:p>
            </w:sdtContent>
          </w:sdt>
        </w:tc>
      </w:tr>
      <w:tr>
        <w:trPr>
          <w:trHeight w:val="300" w:hRule="atLeast"/>
        </w:trPr>
        <w:tc>
          <w:tcPr/>
          <w:sdt>
            <w:sdtPr>
              <w:tag w:val="goog_rdk_19"/>
            </w:sdtPr>
            <w:sdtContent>
              <w:p w:rsidR="00000000" w:rsidDel="00000000" w:rsidP="00000000" w:rsidRDefault="00000000" w:rsidRPr="00000000" w14:paraId="0000001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Safeguards (requirements) Applicable to the Requestor</w:t>
                </w:r>
              </w:p>
            </w:sdtContent>
          </w:sdt>
        </w:tc>
        <w:tc>
          <w:tcPr/>
          <w:sdt>
            <w:sdtPr>
              <w:tag w:val="goog_rdk_20"/>
            </w:sdtPr>
            <w:sdtContent>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w:t>
                </w:r>
                <w:r w:rsidDel="00000000" w:rsidR="00000000" w:rsidRPr="00000000">
                  <w:rPr>
                    <w:rFonts w:ascii="Calibri" w:cs="Calibri" w:eastAsia="Calibri" w:hAnsi="Calibri"/>
                    <w:sz w:val="22"/>
                    <w:szCs w:val="22"/>
                    <w:rtl w:val="0"/>
                  </w:rPr>
                  <w:t xml:space="preserve">Requ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estor: </w:t>
                </w:r>
              </w:p>
            </w:sdtContent>
          </w:sdt>
          <w:sdt>
            <w:sdtPr>
              <w:tag w:val="goog_rdk_21"/>
            </w:sdtPr>
            <w:sdtContent>
              <w:p w:rsidR="00000000" w:rsidDel="00000000" w:rsidP="00000000" w:rsidRDefault="00000000" w:rsidRPr="00000000" w14:paraId="0000001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process data in compliance with data protection laws such as GDPR, including secure transmission;</w:t>
                </w:r>
              </w:p>
            </w:sdtContent>
          </w:sdt>
          <w:sdt>
            <w:sdtPr>
              <w:tag w:val="goog_rdk_22"/>
            </w:sdtPr>
            <w:sdtContent>
              <w:p w:rsidR="00000000" w:rsidDel="00000000" w:rsidP="00000000" w:rsidRDefault="00000000" w:rsidRPr="00000000" w14:paraId="0000001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only request current data (no data about the domain name registration’s history);</w:t>
                </w:r>
              </w:p>
            </w:sdtContent>
          </w:sdt>
          <w:sdt>
            <w:sdtPr>
              <w:tag w:val="goog_rdk_23"/>
            </w:sdtPr>
            <w:sdtContent>
              <w:p w:rsidR="00000000" w:rsidDel="00000000" w:rsidP="00000000" w:rsidRDefault="00000000" w:rsidRPr="00000000" w14:paraId="0000001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direct requests at the entity that is determined through this policy process to be responsible for the disclosure of the requested data;</w:t>
                </w:r>
              </w:p>
            </w:sdtContent>
          </w:sdt>
          <w:sdt>
            <w:sdtPr>
              <w:tag w:val="goog_rdk_24"/>
            </w:sdtPr>
            <w:sdtContent>
              <w:p w:rsidR="00000000" w:rsidDel="00000000" w:rsidP="00000000" w:rsidRDefault="00000000" w:rsidRPr="00000000" w14:paraId="0000001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provide representations about use of requested data which will be subject to auditing.</w:t>
                </w:r>
              </w:p>
            </w:sdtContent>
          </w:sdt>
        </w:tc>
      </w:tr>
      <w:tr>
        <w:trPr>
          <w:trHeight w:val="300" w:hRule="atLeast"/>
        </w:trPr>
        <w:tc>
          <w:tcPr/>
          <w:sdt>
            <w:sdtPr>
              <w:tag w:val="goog_rdk_25"/>
            </w:sdtPr>
            <w:sdtContent>
              <w:p w:rsidR="00000000" w:rsidDel="00000000" w:rsidP="00000000" w:rsidRDefault="00000000" w:rsidRPr="00000000" w14:paraId="0000001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Safeguards (requirements) applicable to the Entity Disclosing the Nonpublic Registration Data</w:t>
                </w:r>
              </w:p>
            </w:sdtContent>
          </w:sdt>
        </w:tc>
        <w:tc>
          <w:tcPr/>
          <w:sdt>
            <w:sdtPr>
              <w:tag w:val="goog_rdk_26"/>
            </w:sdtPr>
            <w:sdtContent>
              <w:p w:rsidR="00000000" w:rsidDel="00000000" w:rsidP="00000000" w:rsidRDefault="00000000" w:rsidRPr="00000000" w14:paraId="0000001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entity disclosing the data:</w:t>
                </w:r>
              </w:p>
            </w:sdtContent>
          </w:sdt>
          <w:sdt>
            <w:sdtPr>
              <w:tag w:val="goog_rdk_27"/>
            </w:sdtPr>
            <w:sdtContent>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supply only the data requested by the requestor;</w:t>
                </w:r>
              </w:p>
            </w:sdtContent>
          </w:sdt>
          <w:sdt>
            <w:sdtPr>
              <w:tag w:val="goog_rdk_28"/>
            </w:sdtPr>
            <w:sdtContent>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return current data in response to a request;</w:t>
                </w:r>
              </w:p>
            </w:sdtContent>
          </w:sdt>
          <w:sdt>
            <w:sdtPr>
              <w:tag w:val="goog_rdk_29"/>
            </w:sdtPr>
            <w:sdtContent>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monitor the system and take appropriate action, such as revoking or limiting access, to protect against abuse or misuse of the system</w:t>
                </w:r>
              </w:p>
            </w:sdtContent>
          </w:sdt>
          <w:sdt>
            <w:sdtPr>
              <w:tag w:val="goog_rdk_30"/>
            </w:sdtPr>
            <w:sdtContent>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provide data for multiple domain names responsive to the request</w:t>
                </w:r>
              </w:p>
            </w:sdtContent>
          </w:sdt>
        </w:tc>
      </w:tr>
      <w:tr>
        <w:trPr>
          <w:trHeight w:val="300" w:hRule="atLeast"/>
        </w:trPr>
        <w:tc>
          <w:tcPr/>
          <w:sdt>
            <w:sdtPr>
              <w:tag w:val="goog_rdk_31"/>
            </w:sdtPr>
            <w:sdtContent>
              <w:p w:rsidR="00000000" w:rsidDel="00000000" w:rsidP="00000000" w:rsidRDefault="00000000" w:rsidRPr="00000000" w14:paraId="0000002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Safeguards (requirements) applicable to the data subject</w:t>
                </w:r>
              </w:p>
            </w:sdtContent>
          </w:sdt>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sdt>
            <w:sdtPr>
              <w:tag w:val="goog_rdk_32"/>
            </w:sdtPr>
            <w:sdtContent>
              <w:p w:rsidR="00000000" w:rsidDel="00000000" w:rsidP="00000000" w:rsidRDefault="00000000" w:rsidRPr="00000000" w14:paraId="00000021">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Registered Name Holder (data subject) must have the right: </w:t>
                </w:r>
              </w:p>
            </w:sdtContent>
          </w:sdt>
          <w:sdt>
            <w:sdtPr>
              <w:tag w:val="goog_rdk_33"/>
            </w:sdtPr>
            <w:sdtContent>
              <w:p w:rsidR="00000000" w:rsidDel="00000000" w:rsidP="00000000" w:rsidRDefault="00000000" w:rsidRPr="00000000" w14:paraId="00000022">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to obtain, on </w:t>
                </w:r>
                <w:r w:rsidDel="00000000" w:rsidR="00000000" w:rsidRPr="00000000">
                  <w:rPr>
                    <w:rFonts w:ascii="Calibri" w:cs="Calibri" w:eastAsia="Calibri" w:hAnsi="Calibri"/>
                    <w:sz w:val="22"/>
                    <w:szCs w:val="22"/>
                    <w:highlight w:val="yellow"/>
                    <w:rtl w:val="0"/>
                  </w:rPr>
                  <w:t xml:space="preserve">reasonable</w:t>
                </w:r>
                <w:r w:rsidDel="00000000" w:rsidR="00000000" w:rsidRPr="00000000">
                  <w:rPr>
                    <w:rFonts w:ascii="Calibri" w:cs="Calibri" w:eastAsia="Calibri" w:hAnsi="Calibri"/>
                    <w:sz w:val="22"/>
                    <w:szCs w:val="22"/>
                    <w:rtl w:val="0"/>
                  </w:rPr>
                  <w:t xml:space="preserve"> request, confirmation of the processing of personal data relating to them and the communication in an intelligible form of the data processed;</w:t>
                </w:r>
              </w:p>
            </w:sdtContent>
          </w:sdt>
          <w:sdt>
            <w:sdtPr>
              <w:tag w:val="goog_rdk_34"/>
            </w:sdtPr>
            <w:sdtContent>
              <w:p w:rsidR="00000000" w:rsidDel="00000000" w:rsidP="00000000" w:rsidRDefault="00000000" w:rsidRPr="00000000" w14:paraId="00000023">
                <w:pPr>
                  <w:ind w:left="0" w:firstLine="0"/>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             to obtain, on </w:t>
                </w:r>
                <w:r w:rsidDel="00000000" w:rsidR="00000000" w:rsidRPr="00000000">
                  <w:rPr>
                    <w:rFonts w:ascii="Calibri" w:cs="Calibri" w:eastAsia="Calibri" w:hAnsi="Calibri"/>
                    <w:sz w:val="22"/>
                    <w:szCs w:val="22"/>
                    <w:highlight w:val="yellow"/>
                    <w:rtl w:val="0"/>
                  </w:rPr>
                  <w:t xml:space="preserve">reasonable</w:t>
                </w:r>
                <w:r w:rsidDel="00000000" w:rsidR="00000000" w:rsidRPr="00000000">
                  <w:rPr>
                    <w:rFonts w:ascii="Calibri" w:cs="Calibri" w:eastAsia="Calibri" w:hAnsi="Calibri"/>
                    <w:sz w:val="22"/>
                    <w:szCs w:val="22"/>
                    <w:rtl w:val="0"/>
                  </w:rPr>
                  <w:t xml:space="preserve"> request, rectification or erasure, as the case may be, of inaccurate data or data that is being, or has been, processed contrary to the provisions of this Protocol, </w:t>
                </w:r>
                <w:r w:rsidDel="00000000" w:rsidR="00000000" w:rsidRPr="00000000">
                  <w:rPr>
                    <w:rFonts w:ascii="Calibri" w:cs="Calibri" w:eastAsia="Calibri" w:hAnsi="Calibri"/>
                    <w:sz w:val="22"/>
                    <w:szCs w:val="22"/>
                    <w:highlight w:val="yellow"/>
                    <w:rtl w:val="0"/>
                  </w:rPr>
                  <w:t xml:space="preserve">but in the case of erasure, except where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yellow"/>
                    <w:rtl w:val="0"/>
                  </w:rPr>
                  <w:t xml:space="preserve">that processing is allowed, necessary, or required under applicable law for:</w:t>
                </w:r>
              </w:p>
            </w:sdtContent>
          </w:sdt>
          <w:sdt>
            <w:sdtPr>
              <w:tag w:val="goog_rdk_35"/>
            </w:sdtPr>
            <w:sdtContent>
              <w:p w:rsidR="00000000" w:rsidDel="00000000" w:rsidP="00000000" w:rsidRDefault="00000000" w:rsidRPr="00000000" w14:paraId="00000024">
                <w:pPr>
                  <w:ind w:left="0" w:firstLine="0"/>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1.</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2"/>
                    <w:szCs w:val="22"/>
                    <w:highlight w:val="yellow"/>
                    <w:rtl w:val="0"/>
                  </w:rPr>
                  <w:t xml:space="preserve">exercising the right of freedom of expression and information;</w:t>
                </w:r>
              </w:p>
            </w:sdtContent>
          </w:sdt>
          <w:sdt>
            <w:sdtPr>
              <w:tag w:val="goog_rdk_36"/>
            </w:sdtPr>
            <w:sdtContent>
              <w:p w:rsidR="00000000" w:rsidDel="00000000" w:rsidP="00000000" w:rsidRDefault="00000000" w:rsidRPr="00000000" w14:paraId="00000025">
                <w:pPr>
                  <w:ind w:left="0" w:firstLine="0"/>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2.</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2"/>
                    <w:szCs w:val="22"/>
                    <w:highlight w:val="yellow"/>
                    <w:rtl w:val="0"/>
                  </w:rPr>
                  <w:t xml:space="preserve">compliance with a legal obligation(s) for the performance of a task carried out in the public interest;</w:t>
                </w:r>
              </w:p>
            </w:sdtContent>
          </w:sdt>
          <w:sdt>
            <w:sdtPr>
              <w:tag w:val="goog_rdk_37"/>
            </w:sdtPr>
            <w:sdtContent>
              <w:p w:rsidR="00000000" w:rsidDel="00000000" w:rsidP="00000000" w:rsidRDefault="00000000" w:rsidRPr="00000000" w14:paraId="00000026">
                <w:pPr>
                  <w:ind w:left="0" w:firstLine="0"/>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3.</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2"/>
                    <w:szCs w:val="22"/>
                    <w:highlight w:val="yellow"/>
                    <w:rtl w:val="0"/>
                  </w:rPr>
                  <w:t xml:space="preserve">the exercise of official authority vested in the controller;</w:t>
                </w:r>
              </w:p>
            </w:sdtContent>
          </w:sdt>
          <w:sdt>
            <w:sdtPr>
              <w:tag w:val="goog_rdk_38"/>
            </w:sdtPr>
            <w:sdtContent>
              <w:p w:rsidR="00000000" w:rsidDel="00000000" w:rsidP="00000000" w:rsidRDefault="00000000" w:rsidRPr="00000000" w14:paraId="00000027">
                <w:pPr>
                  <w:ind w:left="0" w:firstLine="0"/>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4.</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2"/>
                    <w:szCs w:val="22"/>
                    <w:highlight w:val="yellow"/>
                    <w:rtl w:val="0"/>
                  </w:rPr>
                  <w:t xml:space="preserve">reasons of public interest in the area of public health;</w:t>
                </w:r>
              </w:p>
            </w:sdtContent>
          </w:sdt>
          <w:sdt>
            <w:sdtPr>
              <w:tag w:val="goog_rdk_39"/>
            </w:sdtPr>
            <w:sdtContent>
              <w:p w:rsidR="00000000" w:rsidDel="00000000" w:rsidP="00000000" w:rsidRDefault="00000000" w:rsidRPr="00000000" w14:paraId="00000028">
                <w:pPr>
                  <w:ind w:left="0" w:firstLine="0"/>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5.</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2"/>
                    <w:szCs w:val="22"/>
                    <w:highlight w:val="yellow"/>
                    <w:rtl w:val="0"/>
                  </w:rPr>
                  <w:t xml:space="preserve">archiving purposes in the public interest, scientific or historical research purposes or statistical purposes; or</w:t>
                </w:r>
              </w:p>
            </w:sdtContent>
          </w:sdt>
          <w:sdt>
            <w:sdtPr>
              <w:tag w:val="goog_rdk_40"/>
            </w:sdtPr>
            <w:sdtContent>
              <w:p w:rsidR="00000000" w:rsidDel="00000000" w:rsidP="00000000" w:rsidRDefault="00000000" w:rsidRPr="00000000" w14:paraId="00000029">
                <w:pPr>
                  <w:ind w:left="0" w:firstLine="0"/>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6.</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2"/>
                    <w:szCs w:val="22"/>
                    <w:highlight w:val="yellow"/>
                    <w:rtl w:val="0"/>
                  </w:rPr>
                  <w:t xml:space="preserve">the establishment, exercise or defence of legal claims.</w:t>
                </w:r>
              </w:p>
            </w:sdtContent>
          </w:sdt>
          <w:sdt>
            <w:sdtPr>
              <w:tag w:val="goog_rdk_41"/>
            </w:sdtPr>
            <w:sdtContent>
              <w:p w:rsidR="00000000" w:rsidDel="00000000" w:rsidP="00000000" w:rsidRDefault="00000000" w:rsidRPr="00000000" w14:paraId="0000002A">
                <w:pPr>
                  <w:ind w:left="14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sdtContent>
          </w:sdt>
          <w:sdt>
            <w:sdtPr>
              <w:tag w:val="goog_rdk_42"/>
            </w:sdtPr>
            <w:sdtContent>
              <w:p w:rsidR="00000000" w:rsidDel="00000000" w:rsidP="00000000" w:rsidRDefault="00000000" w:rsidRPr="00000000" w14:paraId="0000002B">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not to be subject to a decision significantly affecting them based solely on an automated processing of data unless this is:</w:t>
                </w:r>
              </w:p>
            </w:sdtContent>
          </w:sdt>
          <w:sdt>
            <w:sdtPr>
              <w:tag w:val="goog_rdk_43"/>
            </w:sdtPr>
            <w:sdtContent>
              <w:p w:rsidR="00000000" w:rsidDel="00000000" w:rsidP="00000000" w:rsidRDefault="00000000" w:rsidRPr="00000000" w14:paraId="0000002C">
                <w:pPr>
                  <w:ind w:left="0" w:firstLine="0"/>
                  <w:rPr>
                    <w:rFonts w:ascii="Calibri" w:cs="Calibri" w:eastAsia="Calibri" w:hAnsi="Calibri"/>
                    <w:sz w:val="22"/>
                    <w:szCs w:val="22"/>
                  </w:rPr>
                </w:pPr>
                <w:r w:rsidDel="00000000" w:rsidR="00000000" w:rsidRPr="00000000">
                  <w:rPr>
                    <w:rFonts w:ascii="Courier New" w:cs="Courier New" w:eastAsia="Courier New" w:hAnsi="Courier New"/>
                    <w:sz w:val="22"/>
                    <w:szCs w:val="22"/>
                    <w:rtl w:val="0"/>
                  </w:rPr>
                  <w:t xml:space="preserve">o</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2"/>
                    <w:szCs w:val="22"/>
                    <w:rtl w:val="0"/>
                  </w:rPr>
                  <w:t xml:space="preserve">authorized by law providing appropriate safeguards, including at least the right to obtain human intervention;</w:t>
                </w:r>
              </w:p>
            </w:sdtContent>
          </w:sdt>
          <w:sdt>
            <w:sdtPr>
              <w:tag w:val="goog_rdk_44"/>
            </w:sdtPr>
            <w:sdtContent>
              <w:p w:rsidR="00000000" w:rsidDel="00000000" w:rsidP="00000000" w:rsidRDefault="00000000" w:rsidRPr="00000000" w14:paraId="0000002D">
                <w:pPr>
                  <w:ind w:left="0" w:firstLine="0"/>
                  <w:rPr>
                    <w:rFonts w:ascii="Calibri" w:cs="Calibri" w:eastAsia="Calibri" w:hAnsi="Calibri"/>
                    <w:sz w:val="22"/>
                    <w:szCs w:val="22"/>
                    <w:highlight w:val="yellow"/>
                  </w:rPr>
                </w:pPr>
                <w:r w:rsidDel="00000000" w:rsidR="00000000" w:rsidRPr="00000000">
                  <w:rPr>
                    <w:rFonts w:ascii="Courier New" w:cs="Courier New" w:eastAsia="Courier New" w:hAnsi="Courier New"/>
                    <w:sz w:val="22"/>
                    <w:szCs w:val="22"/>
                    <w:rtl w:val="0"/>
                  </w:rPr>
                  <w:t xml:space="preserve">o</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2"/>
                    <w:szCs w:val="22"/>
                    <w:highlight w:val="yellow"/>
                    <w:rtl w:val="0"/>
                  </w:rPr>
                  <w:t xml:space="preserve">necessary for entering into, or performance of, a contract between the data subject and a data controller;</w:t>
                </w:r>
              </w:p>
            </w:sdtContent>
          </w:sdt>
          <w:sdt>
            <w:sdtPr>
              <w:tag w:val="goog_rdk_45"/>
            </w:sdtPr>
            <w:sdtContent>
              <w:p w:rsidR="00000000" w:rsidDel="00000000" w:rsidP="00000000" w:rsidRDefault="00000000" w:rsidRPr="00000000" w14:paraId="0000002E">
                <w:pPr>
                  <w:ind w:left="0" w:firstLine="0"/>
                  <w:rPr>
                    <w:rFonts w:ascii="Calibri" w:cs="Calibri" w:eastAsia="Calibri" w:hAnsi="Calibri"/>
                    <w:sz w:val="22"/>
                    <w:szCs w:val="22"/>
                    <w:highlight w:val="yellow"/>
                  </w:rPr>
                </w:pPr>
                <w:r w:rsidDel="00000000" w:rsidR="00000000" w:rsidRPr="00000000">
                  <w:rPr>
                    <w:rFonts w:ascii="Courier New" w:cs="Courier New" w:eastAsia="Courier New" w:hAnsi="Courier New"/>
                    <w:sz w:val="22"/>
                    <w:szCs w:val="22"/>
                    <w:rtl w:val="0"/>
                  </w:rPr>
                  <w:t xml:space="preserve">o</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2"/>
                    <w:szCs w:val="22"/>
                    <w:highlight w:val="yellow"/>
                    <w:rtl w:val="0"/>
                  </w:rPr>
                  <w:t xml:space="preserve">authorized by applicable law to which the controller is subject and which also lays down suitable measures to safeguard the data subject's rights and freedoms and legitimate interests; or </w:t>
                </w:r>
              </w:p>
            </w:sdtContent>
          </w:sdt>
          <w:sdt>
            <w:sdtPr>
              <w:tag w:val="goog_rdk_46"/>
            </w:sdtPr>
            <w:sdtContent>
              <w:p w:rsidR="00000000" w:rsidDel="00000000" w:rsidP="00000000" w:rsidRDefault="00000000" w:rsidRPr="00000000" w14:paraId="0000002F">
                <w:pPr>
                  <w:ind w:left="0" w:firstLine="0"/>
                  <w:rPr>
                    <w:rFonts w:ascii="Calibri" w:cs="Calibri" w:eastAsia="Calibri" w:hAnsi="Calibri"/>
                    <w:sz w:val="22"/>
                    <w:szCs w:val="22"/>
                    <w:highlight w:val="yellow"/>
                  </w:rPr>
                </w:pPr>
                <w:r w:rsidDel="00000000" w:rsidR="00000000" w:rsidRPr="00000000">
                  <w:rPr>
                    <w:rFonts w:ascii="Courier New" w:cs="Courier New" w:eastAsia="Courier New" w:hAnsi="Courier New"/>
                    <w:sz w:val="22"/>
                    <w:szCs w:val="22"/>
                    <w:rtl w:val="0"/>
                  </w:rPr>
                  <w:t xml:space="preserve">o</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2"/>
                    <w:szCs w:val="22"/>
                    <w:highlight w:val="yellow"/>
                    <w:rtl w:val="0"/>
                  </w:rPr>
                  <w:t xml:space="preserve">based on the data subject's explicit consent.</w:t>
                </w:r>
              </w:p>
            </w:sdtContent>
          </w:sdt>
          <w:sdt>
            <w:sdtPr>
              <w:tag w:val="goog_rdk_47"/>
            </w:sdtPr>
            <w:sdtContent>
              <w:p w:rsidR="00000000" w:rsidDel="00000000" w:rsidP="00000000" w:rsidRDefault="00000000" w:rsidRPr="00000000" w14:paraId="00000030">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 </w:t>
                </w:r>
              </w:p>
            </w:sdtContent>
          </w:sdt>
          <w:sdt>
            <w:sdtPr>
              <w:tag w:val="goog_rdk_48"/>
            </w:sdtPr>
            <w:sdtContent>
              <w:p w:rsidR="00000000" w:rsidDel="00000000" w:rsidP="00000000" w:rsidRDefault="00000000" w:rsidRPr="00000000" w14:paraId="00000031">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Note that whether decisions referred to herein can be made shall always take into account whether applicable law allows for explicit consent or processing necessary for reasons of substantial public interest.</w:t>
                </w:r>
              </w:p>
            </w:sdtContent>
          </w:sdt>
          <w:sdt>
            <w:sdtPr>
              <w:tag w:val="goog_rdk_49"/>
            </w:sdtPr>
            <w:sdtContent>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sdtContent>
          </w:sdt>
          <w:sdt>
            <w:sdtPr>
              <w:tag w:val="goog_rdk_50"/>
            </w:sdtPr>
            <w:sdtContent>
              <w:p w:rsidR="00000000" w:rsidDel="00000000" w:rsidP="00000000" w:rsidRDefault="00000000" w:rsidRPr="00000000" w14:paraId="00000033">
                <w:pPr>
                  <w:rPr>
                    <w:rFonts w:ascii="Tahoma" w:cs="Tahoma" w:eastAsia="Tahoma" w:hAnsi="Tahoma"/>
                    <w:sz w:val="22"/>
                    <w:szCs w:val="22"/>
                  </w:rPr>
                </w:pPr>
                <w:r w:rsidDel="00000000" w:rsidR="00000000" w:rsidRPr="00000000">
                  <w:rPr>
                    <w:rFonts w:ascii="Calibri" w:cs="Calibri" w:eastAsia="Calibri" w:hAnsi="Calibri"/>
                    <w:sz w:val="22"/>
                    <w:szCs w:val="22"/>
                    <w:rtl w:val="0"/>
                  </w:rPr>
                  <w:t xml:space="preserve">•             to lodge a complaint with the supervisory authority, or authorities, when they consider that their data protection rights have been violated</w:t>
                </w:r>
                <w:r w:rsidDel="00000000" w:rsidR="00000000" w:rsidRPr="00000000">
                  <w:rPr>
                    <w:rFonts w:ascii="Tahoma" w:cs="Tahoma" w:eastAsia="Tahoma" w:hAnsi="Tahoma"/>
                    <w:sz w:val="22"/>
                    <w:szCs w:val="22"/>
                    <w:rtl w:val="0"/>
                  </w:rPr>
                  <w:t xml:space="preserve"> </w:t>
                </w:r>
              </w:p>
            </w:sdtContent>
          </w:sdt>
          <w:sdt>
            <w:sdtPr>
              <w:tag w:val="goog_rdk_51"/>
            </w:sdtPr>
            <w:sdtContent>
              <w:p w:rsidR="00000000" w:rsidDel="00000000" w:rsidP="00000000" w:rsidRDefault="00000000" w:rsidRPr="00000000" w14:paraId="00000034">
                <w:pPr>
                  <w:rPr>
                    <w:rFonts w:ascii="Tahoma" w:cs="Tahoma" w:eastAsia="Tahoma" w:hAnsi="Tahoma"/>
                    <w:sz w:val="22"/>
                    <w:szCs w:val="22"/>
                  </w:rPr>
                </w:pPr>
                <w:r w:rsidDel="00000000" w:rsidR="00000000" w:rsidRPr="00000000">
                  <w:rPr>
                    <w:rFonts w:ascii="Calibri" w:cs="Calibri" w:eastAsia="Calibri" w:hAnsi="Calibri"/>
                    <w:sz w:val="22"/>
                    <w:szCs w:val="22"/>
                    <w:rtl w:val="0"/>
                  </w:rPr>
                  <w:t xml:space="preserve">•             to an effective remedy before an independent and impartial tribunal when they consider that their data protection rights have been violated.</w:t>
                </w:r>
                <w:r w:rsidDel="00000000" w:rsidR="00000000" w:rsidRPr="00000000">
                  <w:rPr>
                    <w:rFonts w:ascii="Tahoma" w:cs="Tahoma" w:eastAsia="Tahoma" w:hAnsi="Tahoma"/>
                    <w:sz w:val="22"/>
                    <w:szCs w:val="22"/>
                    <w:rtl w:val="0"/>
                  </w:rPr>
                  <w:t xml:space="preserve"> </w:t>
                </w:r>
              </w:p>
            </w:sdtContent>
          </w:sdt>
          <w:sdt>
            <w:sdtPr>
              <w:tag w:val="goog_rdk_52"/>
            </w:sdtPr>
            <w:sdtContent>
              <w:p w:rsidR="00000000" w:rsidDel="00000000" w:rsidP="00000000" w:rsidRDefault="00000000" w:rsidRPr="00000000" w14:paraId="000000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sdtContent>
          </w:sdt>
          <w:sdt>
            <w:sdtPr>
              <w:tag w:val="goog_rdk_53"/>
            </w:sdtPr>
            <w:sdtContent>
              <w:p w:rsidR="00000000" w:rsidDel="00000000" w:rsidP="00000000" w:rsidRDefault="00000000" w:rsidRPr="00000000" w14:paraId="00000036">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Note that the right to object will be limited in instances where applicable law allows for (1) the controller to demonstrate compelling legitimate grounds for the processing that override the interests, rights and freedoms of the data subject or (2) for the establishment, exercise or defence of legal claims or (3) processing where it is necessary for the performance of a task carried out for reasons of public interest.</w:t>
                </w:r>
              </w:p>
            </w:sdtContent>
          </w:sdt>
          <w:sdt>
            <w:sdtPr>
              <w:tag w:val="goog_rdk_54"/>
            </w:sdtPr>
            <w:sdtContent>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sz w:val="14"/>
                    <w:szCs w:val="14"/>
                    <w:rtl w:val="0"/>
                  </w:rPr>
                  <w:t xml:space="preserve">   </w:t>
                  <w:tab/>
                </w:r>
                <w:r w:rsidDel="00000000" w:rsidR="00000000" w:rsidRPr="00000000">
                  <w:rPr>
                    <w:rFonts w:ascii="Calibri" w:cs="Calibri" w:eastAsia="Calibri" w:hAnsi="Calibri"/>
                    <w:sz w:val="22"/>
                    <w:szCs w:val="22"/>
                    <w:rtl w:val="0"/>
                  </w:rPr>
                  <w:t xml:space="preserve"> </w:t>
                </w:r>
              </w:p>
            </w:sdtContent>
          </w:sdt>
        </w:tc>
      </w:tr>
      <w:tr>
        <w:trPr>
          <w:trHeight w:val="300" w:hRule="atLeast"/>
        </w:trPr>
        <w:tc>
          <w:tcPr/>
          <w:sdt>
            <w:sdtPr>
              <w:tag w:val="goog_rdk_55"/>
            </w:sdtPr>
            <w:sdtContent>
              <w:p w:rsidR="00000000" w:rsidDel="00000000" w:rsidP="00000000" w:rsidRDefault="00000000" w:rsidRPr="00000000" w14:paraId="0000003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Safeguards (requirements) applicable to the access/disclosure system</w:t>
                </w:r>
              </w:p>
            </w:sdtContent>
          </w:sdt>
        </w:tc>
        <w:tc>
          <w:tcPr/>
          <w:sdt>
            <w:sdtPr>
              <w:tag w:val="goog_rdk_56"/>
            </w:sdtPr>
            <w:sdtContent>
              <w:p w:rsidR="00000000" w:rsidDel="00000000" w:rsidP="00000000" w:rsidRDefault="00000000" w:rsidRPr="00000000" w14:paraId="0000003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Requests must only refer to current registration data (historical registration data will not be made available via this mechanism).</w:t>
                </w:r>
              </w:p>
            </w:sdtContent>
          </w:sdt>
          <w:sdt>
            <w:sdtPr>
              <w:tag w:val="goog_rdk_57"/>
            </w:sdtPr>
            <w:sdtContent>
              <w:p w:rsidR="00000000" w:rsidDel="00000000" w:rsidP="00000000" w:rsidRDefault="00000000" w:rsidRPr="00000000" w14:paraId="0000003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Contracted parties are only responsible for disclosing nonpublic registration data for the domain names under their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sdtContent>
          </w:sdt>
          <w:sdt>
            <w:sdtPr>
              <w:tag w:val="goog_rdk_58"/>
            </w:sdtPr>
            <w:sdtContent>
              <w:p w:rsidR="00000000" w:rsidDel="00000000" w:rsidP="00000000" w:rsidRDefault="00000000" w:rsidRPr="00000000" w14:paraId="0000003B">
                <w:pPr>
                  <w:rPr>
                    <w:rFonts w:ascii="Calibri" w:cs="Calibri" w:eastAsia="Calibri" w:hAnsi="Calibri"/>
                    <w:sz w:val="22"/>
                    <w:szCs w:val="22"/>
                  </w:rPr>
                </w:pPr>
                <w:r w:rsidDel="00000000" w:rsidR="00000000" w:rsidRPr="00000000">
                  <w:rPr>
                    <w:rtl w:val="0"/>
                  </w:rPr>
                </w:r>
              </w:p>
            </w:sdtContent>
          </w:sdt>
        </w:tc>
      </w:tr>
      <w:tr>
        <w:trPr>
          <w:trHeight w:val="300" w:hRule="atLeast"/>
        </w:trPr>
        <w:tc>
          <w:tcPr/>
          <w:sdt>
            <w:sdtPr>
              <w:tag w:val="goog_rdk_59"/>
            </w:sdtPr>
            <w:sdtContent>
              <w:p w:rsidR="00000000" w:rsidDel="00000000" w:rsidP="00000000" w:rsidRDefault="00000000" w:rsidRPr="00000000" w14:paraId="0000003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Accreditation of user group(s) required (Y/N) – if Y, define policy principles</w:t>
                </w:r>
              </w:p>
            </w:sdtContent>
          </w:sdt>
        </w:tc>
        <w:tc>
          <w:tcPr/>
          <w:sdt>
            <w:sdtPr>
              <w:tag w:val="goog_rdk_60"/>
            </w:sdtPr>
            <w:sdtContent>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Individuals or entities seeking accreditation as a member of this user group must also:</w:t>
                </w:r>
              </w:p>
            </w:sdtContent>
          </w:sdt>
          <w:sdt>
            <w:sdtPr>
              <w:tag w:val="goog_rdk_61"/>
            </w:sdtPr>
            <w:sdtContent>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Agree to only use the data for the legitimate and lawful purpose described above;</w:t>
                </w:r>
              </w:p>
            </w:sdtContent>
          </w:sdt>
          <w:sdt>
            <w:sdtPr>
              <w:tag w:val="goog_rdk_62"/>
            </w:sdtPr>
            <w:sdtContent>
              <w:p w:rsidR="00000000" w:rsidDel="00000000" w:rsidP="00000000" w:rsidRDefault="00000000" w:rsidRPr="00000000" w14:paraId="0000003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Agree to: </w:t>
                </w:r>
              </w:p>
            </w:sdtContent>
          </w:sdt>
          <w:sdt>
            <w:sdtPr>
              <w:tag w:val="goog_rdk_63"/>
            </w:sdtPr>
            <w:sdtContent>
              <w:p w:rsidR="00000000" w:rsidDel="00000000" w:rsidP="00000000" w:rsidRDefault="00000000" w:rsidRPr="00000000" w14:paraId="00000040">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terms of service, in which the lawful use of data described;</w:t>
                </w:r>
              </w:p>
            </w:sdtContent>
          </w:sdt>
          <w:sdt>
            <w:sdtPr>
              <w:tag w:val="goog_rdk_64"/>
            </w:sdtPr>
            <w:sdtContent>
              <w:p w:rsidR="00000000" w:rsidDel="00000000" w:rsidP="00000000" w:rsidRDefault="00000000" w:rsidRPr="00000000" w14:paraId="00000041">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prevent abuse of data received; </w:t>
                </w:r>
              </w:p>
            </w:sdtContent>
          </w:sdt>
          <w:sdt>
            <w:sdtPr>
              <w:tag w:val="goog_rdk_65"/>
            </w:sdtPr>
            <w:sdtContent>
              <w:p w:rsidR="00000000" w:rsidDel="00000000" w:rsidP="00000000" w:rsidRDefault="00000000" w:rsidRPr="00000000" w14:paraId="00000042">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subject to de-accreditation if they are found to abuse use of data.</w:t>
                </w:r>
              </w:p>
            </w:sdtContent>
          </w:sdt>
          <w:sdt>
            <w:sdtPr>
              <w:tag w:val="goog_rdk_66"/>
            </w:sdtPr>
            <w:sdtContent>
              <w:p w:rsidR="00000000" w:rsidDel="00000000" w:rsidP="00000000" w:rsidRDefault="00000000" w:rsidRPr="00000000" w14:paraId="0000004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Proof of financial worthiness to justify enhanced access, reverse searching &amp; high volumes (such as bond, letter of credit, insurance, enhanced accreditation fees)</w:t>
                </w:r>
              </w:p>
            </w:sdtContent>
          </w:sdt>
        </w:tc>
      </w:tr>
      <w:tr>
        <w:trPr>
          <w:trHeight w:val="300" w:hRule="atLeast"/>
        </w:trPr>
        <w:tc>
          <w:tcPr/>
          <w:sdt>
            <w:sdtPr>
              <w:tag w:val="goog_rdk_67"/>
            </w:sdtPr>
            <w:sdtContent>
              <w:p w:rsidR="00000000" w:rsidDel="00000000" w:rsidP="00000000" w:rsidRDefault="00000000" w:rsidRPr="00000000" w14:paraId="0000004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Authentication – policy principles</w:t>
                </w:r>
              </w:p>
            </w:sdtContent>
          </w:sdt>
        </w:tc>
        <w:tc>
          <w:tcPr/>
          <w:sdt>
            <w:sdtPr>
              <w:tag w:val="goog_rdk_68"/>
            </w:sdtPr>
            <w:sdtContent>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dtContent>
          </w:sdt>
        </w:tc>
      </w:tr>
      <w:tr>
        <w:trPr>
          <w:trHeight w:val="300" w:hRule="atLeast"/>
        </w:trPr>
        <w:tc>
          <w:tcPr/>
          <w:sdt>
            <w:sdtPr>
              <w:tag w:val="goog_rdk_69"/>
            </w:sdtPr>
            <w:sdtContent>
              <w:p w:rsidR="00000000" w:rsidDel="00000000" w:rsidP="00000000" w:rsidRDefault="00000000" w:rsidRPr="00000000" w14:paraId="0000004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information is required to be provided for a request under this lawful basis?</w:t>
                </w:r>
              </w:p>
            </w:sdtContent>
          </w:sdt>
        </w:tc>
        <w:tc>
          <w:tcPr/>
          <w:sdt>
            <w:sdtPr>
              <w:tag w:val="goog_rdk_70"/>
            </w:sdtPr>
            <w:sdtContent>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registration data and domain names requested that are responsive to the request.</w:t>
                </w:r>
              </w:p>
            </w:sdtContent>
          </w:sdt>
        </w:tc>
      </w:tr>
      <w:tr>
        <w:trPr>
          <w:trHeight w:val="300" w:hRule="atLeast"/>
        </w:trPr>
        <w:tc>
          <w:tcPr/>
          <w:sdt>
            <w:sdtPr>
              <w:tag w:val="goog_rdk_71"/>
            </w:sdtPr>
            <w:sdtContent>
              <w:p w:rsidR="00000000" w:rsidDel="00000000" w:rsidP="00000000" w:rsidRDefault="00000000" w:rsidRPr="00000000" w14:paraId="0000004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Expected timing of substantive response</w:t>
                </w:r>
              </w:p>
            </w:sdtContent>
          </w:sdt>
        </w:tc>
        <w:tc>
          <w:tcPr/>
          <w:sdt>
            <w:sdtPr>
              <w:tag w:val="goog_rdk_72"/>
            </w:sdtPr>
            <w:sdtContent>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Immediate</w:t>
                </w:r>
              </w:p>
            </w:sdtContent>
          </w:sdt>
        </w:tc>
      </w:tr>
      <w:tr>
        <w:trPr>
          <w:trHeight w:val="300" w:hRule="atLeast"/>
        </w:trPr>
        <w:tc>
          <w:tcPr/>
          <w:sdt>
            <w:sdtPr>
              <w:tag w:val="goog_rdk_73"/>
            </w:sdtPr>
            <w:sdtContent>
              <w:p w:rsidR="00000000" w:rsidDel="00000000" w:rsidP="00000000" w:rsidRDefault="00000000" w:rsidRPr="00000000" w14:paraId="0000004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automation of substantive response possible / desirable?</w:t>
                </w:r>
              </w:p>
            </w:sdtContent>
          </w:sdt>
        </w:tc>
        <w:tc>
          <w:tcPr/>
          <w:sdt>
            <w:sdtPr>
              <w:tag w:val="goog_rdk_74"/>
            </w:sdtPr>
            <w:sdtContent>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Automation is both possible and desirable.</w:t>
                </w:r>
              </w:p>
            </w:sdtContent>
          </w:sdt>
        </w:tc>
      </w:tr>
      <w:tr>
        <w:trPr>
          <w:trHeight w:val="300" w:hRule="atLeast"/>
        </w:trPr>
        <w:tc>
          <w:tcPr/>
          <w:sdt>
            <w:sdtPr>
              <w:tag w:val="goog_rdk_75"/>
            </w:sdtPr>
            <w:sdtContent>
              <w:p w:rsidR="00000000" w:rsidDel="00000000" w:rsidP="00000000" w:rsidRDefault="00000000" w:rsidRPr="00000000" w14:paraId="0000004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Expected timing of substantive response</w:t>
                </w:r>
              </w:p>
            </w:sdtContent>
          </w:sdt>
        </w:tc>
        <w:tc>
          <w:tcPr/>
          <w:sdt>
            <w:sdtPr>
              <w:tag w:val="goog_rdk_76"/>
            </w:sdtPr>
            <w:sdtContent>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Immediate</w:t>
                </w:r>
              </w:p>
            </w:sdtContent>
          </w:sdt>
        </w:tc>
      </w:tr>
      <w:tr>
        <w:trPr>
          <w:trHeight w:val="300" w:hRule="atLeast"/>
        </w:trPr>
        <w:tc>
          <w:tcPr/>
          <w:sdt>
            <w:sdtPr>
              <w:tag w:val="goog_rdk_77"/>
            </w:sdtPr>
            <w:sdtContent>
              <w:p w:rsidR="00000000" w:rsidDel="00000000" w:rsidP="00000000" w:rsidRDefault="00000000" w:rsidRPr="00000000" w14:paraId="0000004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long can the requestor retain the data disclosed and what are the requirements for destruction following the end of the retention period?</w:t>
                </w:r>
              </w:p>
            </w:sdtContent>
          </w:sdt>
        </w:tc>
        <w:tc>
          <w:tcPr/>
          <w:sdt>
            <w:sdtPr>
              <w:tag w:val="goog_rdk_78"/>
            </w:sdtPr>
            <w:sdtContent>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Article 5 (e) of the GDPR states personal data shall be kept for no longer than is necessary for the purposes for which it is being processed.  </w:t>
                </w:r>
              </w:p>
            </w:sdtContent>
          </w:sdt>
        </w:tc>
      </w:tr>
      <w:tr>
        <w:trPr>
          <w:trHeight w:val="300" w:hRule="atLeast"/>
        </w:trPr>
        <w:tc>
          <w:tcPr/>
          <w:sdt>
            <w:sdtPr>
              <w:tag w:val="goog_rdk_79"/>
            </w:sdtPr>
            <w:sdtContent>
              <w:p w:rsidR="00000000" w:rsidDel="00000000" w:rsidP="00000000" w:rsidRDefault="00000000" w:rsidRPr="00000000" w14:paraId="0000005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w:t>
                </w:r>
              </w:p>
            </w:sdtContent>
          </w:sdt>
        </w:tc>
        <w:tc>
          <w:tcPr/>
          <w:sdt>
            <w:sdtPr>
              <w:tag w:val="goog_rdk_80"/>
            </w:sdtPr>
            <w:sdtContent>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dtContent>
          </w:sdt>
        </w:tc>
      </w:tr>
    </w:tbl>
    <w:sdt>
      <w:sdtPr>
        <w:tag w:val="goog_rdk_81"/>
      </w:sdtPr>
      <w:sdtContent>
        <w:p w:rsidR="00000000" w:rsidDel="00000000" w:rsidP="00000000" w:rsidRDefault="00000000" w:rsidRPr="00000000" w14:paraId="00000052">
          <w:pPr>
            <w:rPr/>
          </w:pPr>
          <w:r w:rsidDel="00000000" w:rsidR="00000000" w:rsidRPr="00000000">
            <w:rPr>
              <w:rtl w:val="0"/>
            </w:rPr>
          </w:r>
        </w:p>
      </w:sdtContent>
    </w:sdt>
    <w:sectPr>
      <w:type w:val="continuous"/>
      <w:pgSz w:h="15840" w:w="12240"/>
      <w:pgMar w:bottom="1440" w:top="1440" w:left="1440" w:right="1440"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Courier New"/>
  <w:font w:name="Times New Roman"/>
  <w:font w:name="Tahoma">
    <w:embedRegular w:fontKey="{00000000-0000-0000-0000-000000000000}" r:id="rId1" w:subsetted="0"/>
    <w:embedBold w:fontKey="{00000000-0000-0000-0000-000000000000}" r:id="rId2"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u w:val="none"/>
      </w:rPr>
    </w:lvl>
    <w:lvl w:ilvl="1">
      <w:start w:val="1"/>
      <w:numFmt w:val="bullet"/>
      <w:lvlText w:val="●"/>
      <w:lvlJc w:val="left"/>
      <w:pPr>
        <w:ind w:left="1080" w:hanging="360"/>
      </w:pPr>
      <w:rPr>
        <w:rFonts w:ascii="Noto Sans Symbols" w:cs="Noto Sans Symbols" w:eastAsia="Noto Sans Symbols" w:hAnsi="Noto Sans Symbols"/>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b w:val="0"/>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360" w:hanging="360"/>
      </w:pPr>
      <w:rPr>
        <w:rFonts w:ascii="Calibri" w:cs="Calibri" w:eastAsia="Calibri" w:hAnsi="Calibri"/>
        <w:b w:val="0"/>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E1AF7"/>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GridTable5Dark-Accent2">
    <w:name w:val="Grid Table 5 Dark Accent 2"/>
    <w:basedOn w:val="TableNormal"/>
    <w:uiPriority w:val="50"/>
    <w:rsid w:val="00EE1AF7"/>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be4d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ed7d31"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ed7d31" w:themeFill="accent2" w:val="clear"/>
      </w:tcPr>
    </w:tblStylePr>
    <w:tblStylePr w:type="band1Vert">
      <w:tblPr/>
      <w:tcPr>
        <w:shd w:color="auto" w:fill="f7caac" w:themeFill="accent2" w:themeFillTint="000066" w:val="clear"/>
      </w:tcPr>
    </w:tblStylePr>
    <w:tblStylePr w:type="band1Horz">
      <w:tblPr/>
      <w:tcPr>
        <w:shd w:color="auto" w:fill="f7caac" w:themeFill="accent2" w:themeFillTint="000066" w:val="clear"/>
      </w:tcPr>
    </w:tblStylePr>
  </w:style>
  <w:style w:type="paragraph" w:styleId="ListParagraph">
    <w:name w:val="List Paragraph"/>
    <w:basedOn w:val="Normal"/>
    <w:uiPriority w:val="34"/>
    <w:qFormat w:val="1"/>
    <w:rsid w:val="00EE1AF7"/>
    <w:pPr>
      <w:ind w:left="720"/>
      <w:contextualSpacing w:val="1"/>
    </w:pPr>
  </w:style>
  <w:style w:type="paragraph" w:styleId="FootnoteText">
    <w:name w:val="footnote text"/>
    <w:basedOn w:val="Normal"/>
    <w:link w:val="FootnoteTextChar"/>
    <w:uiPriority w:val="99"/>
    <w:semiHidden w:val="1"/>
    <w:unhideWhenUsed w:val="1"/>
    <w:rsid w:val="00EE1AF7"/>
    <w:pPr>
      <w:jc w:val="both"/>
    </w:pPr>
    <w:rPr>
      <w:rFonts w:asciiTheme="minorHAnsi" w:cstheme="minorBidi" w:eastAsiaTheme="minorHAnsi" w:hAnsiTheme="minorHAnsi"/>
      <w:sz w:val="20"/>
      <w:szCs w:val="20"/>
      <w:lang w:val="de-DE"/>
    </w:rPr>
  </w:style>
  <w:style w:type="character" w:styleId="FootnoteTextChar" w:customStyle="1">
    <w:name w:val="Footnote Text Char"/>
    <w:basedOn w:val="DefaultParagraphFont"/>
    <w:link w:val="FootnoteText"/>
    <w:uiPriority w:val="99"/>
    <w:semiHidden w:val="1"/>
    <w:rsid w:val="00EE1AF7"/>
    <w:rPr>
      <w:sz w:val="20"/>
      <w:szCs w:val="20"/>
      <w:lang w:val="de-DE"/>
    </w:rPr>
  </w:style>
  <w:style w:type="character" w:styleId="FootnoteReference">
    <w:name w:val="footnote reference"/>
    <w:basedOn w:val="DefaultParagraphFont"/>
    <w:uiPriority w:val="99"/>
    <w:semiHidden w:val="1"/>
    <w:unhideWhenUsed w:val="1"/>
    <w:rsid w:val="00EE1AF7"/>
    <w:rPr>
      <w:vertAlign w:val="superscript"/>
    </w:rPr>
  </w:style>
  <w:style w:type="paragraph" w:styleId="BalloonText">
    <w:name w:val="Balloon Text"/>
    <w:basedOn w:val="Normal"/>
    <w:link w:val="BalloonTextChar"/>
    <w:uiPriority w:val="99"/>
    <w:semiHidden w:val="1"/>
    <w:unhideWhenUsed w:val="1"/>
    <w:rsid w:val="00794B12"/>
    <w:rPr>
      <w:sz w:val="18"/>
      <w:szCs w:val="18"/>
    </w:rPr>
  </w:style>
  <w:style w:type="character" w:styleId="BalloonTextChar" w:customStyle="1">
    <w:name w:val="Balloon Text Char"/>
    <w:basedOn w:val="DefaultParagraphFont"/>
    <w:link w:val="BalloonText"/>
    <w:uiPriority w:val="99"/>
    <w:semiHidden w:val="1"/>
    <w:rsid w:val="00794B12"/>
    <w:rPr>
      <w:rFonts w:ascii="Times New Roman" w:cs="Times New Roman" w:eastAsia="Times New Roman" w:hAnsi="Times New Roman"/>
      <w:sz w:val="18"/>
      <w:szCs w:val="18"/>
    </w:rPr>
  </w:style>
  <w:style w:type="character" w:styleId="CommentReference">
    <w:name w:val="annotation reference"/>
    <w:basedOn w:val="DefaultParagraphFont"/>
    <w:uiPriority w:val="99"/>
    <w:semiHidden w:val="1"/>
    <w:unhideWhenUsed w:val="1"/>
    <w:rsid w:val="00794B12"/>
    <w:rPr>
      <w:sz w:val="16"/>
      <w:szCs w:val="16"/>
    </w:rPr>
  </w:style>
  <w:style w:type="paragraph" w:styleId="CommentText">
    <w:name w:val="annotation text"/>
    <w:basedOn w:val="Normal"/>
    <w:link w:val="CommentTextChar"/>
    <w:uiPriority w:val="99"/>
    <w:semiHidden w:val="1"/>
    <w:unhideWhenUsed w:val="1"/>
    <w:rsid w:val="00794B12"/>
    <w:rPr>
      <w:sz w:val="20"/>
      <w:szCs w:val="20"/>
    </w:rPr>
  </w:style>
  <w:style w:type="character" w:styleId="CommentTextChar" w:customStyle="1">
    <w:name w:val="Comment Text Char"/>
    <w:basedOn w:val="DefaultParagraphFont"/>
    <w:link w:val="CommentText"/>
    <w:uiPriority w:val="99"/>
    <w:semiHidden w:val="1"/>
    <w:rsid w:val="00794B12"/>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794B12"/>
    <w:rPr>
      <w:b w:val="1"/>
      <w:bCs w:val="1"/>
    </w:rPr>
  </w:style>
  <w:style w:type="character" w:styleId="CommentSubjectChar" w:customStyle="1">
    <w:name w:val="Comment Subject Char"/>
    <w:basedOn w:val="CommentTextChar"/>
    <w:link w:val="CommentSubject"/>
    <w:uiPriority w:val="99"/>
    <w:semiHidden w:val="1"/>
    <w:rsid w:val="00794B12"/>
    <w:rPr>
      <w:rFonts w:ascii="Times New Roman" w:cs="Times New Roman" w:eastAsia="Times New Roman" w:hAnsi="Times New Roman"/>
      <w:b w:val="1"/>
      <w:bCs w:val="1"/>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tcPr>
      <w:shd w:color="auto" w:fill="fbe5d5" w:val="clear"/>
    </w:tcPr>
    <w:tblStylePr w:type="firstRow">
      <w:rPr>
        <w:b w:val="1"/>
        <w:color w:val="ffffff"/>
      </w:rPr>
      <w:tblPr/>
      <w:tcPr>
        <w:tcBorders>
          <w:top w:color="ffffff" w:space="0" w:sz="4" w:val="single"/>
          <w:left w:color="ffffff" w:space="0" w:sz="4" w:val="single"/>
          <w:right w:color="ffffff" w:space="0" w:sz="4" w:val="single"/>
          <w:insideH w:space="0" w:sz="0" w:val="nil"/>
          <w:insideV w:space="0" w:sz="0" w:val="nil"/>
        </w:tcBorders>
        <w:shd w:color="auto" w:fill="ed7d31" w:val="clear"/>
      </w:tcPr>
    </w:tblStylePr>
    <w:tblStylePr w:type="lastRow">
      <w:rPr>
        <w:b w:val="1"/>
        <w:color w:val="ffffff"/>
      </w:rPr>
      <w:tblPr/>
      <w:tcPr>
        <w:tcBorders>
          <w:left w:color="ffffff" w:space="0" w:sz="4" w:val="single"/>
          <w:bottom w:color="ffffff" w:space="0" w:sz="4" w:val="single"/>
          <w:right w:color="ffffff" w:space="0" w:sz="4" w:val="single"/>
          <w:insideH w:space="0" w:sz="0" w:val="nil"/>
          <w:insideV w:space="0" w:sz="0" w:val="nil"/>
        </w:tcBorders>
        <w:shd w:color="auto" w:fill="ed7d31" w:val="clear"/>
      </w:tcPr>
    </w:tblStylePr>
    <w:tblStylePr w:type="firstCol">
      <w:rPr>
        <w:b w:val="1"/>
        <w:color w:val="ffffff"/>
      </w:rPr>
      <w:tblPr/>
      <w:tcPr>
        <w:tcBorders>
          <w:top w:color="ffffff" w:space="0" w:sz="4" w:val="single"/>
          <w:left w:color="ffffff" w:space="0" w:sz="4" w:val="single"/>
          <w:bottom w:color="ffffff" w:space="0" w:sz="4" w:val="single"/>
          <w:insideV w:space="0" w:sz="0" w:val="nil"/>
        </w:tcBorders>
        <w:shd w:color="auto" w:fill="ed7d31" w:val="clear"/>
      </w:tcPr>
    </w:tblStylePr>
    <w:tblStylePr w:type="lastCol">
      <w:rPr>
        <w:b w:val="1"/>
        <w:color w:val="ffffff"/>
      </w:rPr>
      <w:tblPr/>
      <w:tcPr>
        <w:tcBorders>
          <w:top w:color="ffffff" w:space="0" w:sz="4" w:val="single"/>
          <w:bottom w:color="ffffff" w:space="0" w:sz="4" w:val="single"/>
          <w:right w:color="ffffff" w:space="0" w:sz="4" w:val="single"/>
          <w:insideV w:space="0" w:sz="0" w:val="nil"/>
        </w:tcBorders>
        <w:shd w:color="auto" w:fill="ed7d31" w:val="clear"/>
      </w:tcPr>
    </w:tblStylePr>
    <w:tblStylePr w:type="band1Vert">
      <w:tblPr/>
      <w:tcPr>
        <w:shd w:color="auto" w:fill="f7cbac" w:val="clear"/>
      </w:tcPr>
    </w:tblStylePr>
    <w:tblStylePr w:type="band1Horz">
      <w:tblPr/>
      <w:tcPr>
        <w:shd w:color="auto" w:fill="f7cbac" w:val="clear"/>
      </w:tcPr>
    </w:tblStylePr>
  </w:style>
  <w:style w:type="table" w:styleId="a0" w:customStyle="1">
    <w:basedOn w:val="TableNormal"/>
    <w:tblPr>
      <w:tblStyleRowBandSize w:val="1"/>
      <w:tblStyleColBandSize w:val="1"/>
      <w:tblCellMar>
        <w:left w:w="115.0" w:type="dxa"/>
        <w:right w:w="115.0" w:type="dxa"/>
      </w:tblCellMar>
    </w:tblPr>
    <w:tcPr>
      <w:shd w:color="auto" w:fill="fbe5d5" w:val="clear"/>
    </w:tcPr>
    <w:tblStylePr w:type="firstRow">
      <w:rPr>
        <w:b w:val="1"/>
        <w:bCs w:val="1"/>
        <w:color w:val="ffffff" w:themeColor="background1"/>
      </w:rPr>
      <w:tblPr/>
      <w:tcPr>
        <w:tcBorders>
          <w:top w:color="ffffff" w:space="0" w:sz="4" w:val="single"/>
          <w:left w:color="ffffff" w:space="0" w:sz="4" w:val="single"/>
          <w:right w:color="ffffff" w:space="0" w:sz="4" w:val="single"/>
          <w:insideH w:space="0" w:sz="0" w:val="nil"/>
          <w:insideV w:space="0" w:sz="0" w:val="nil"/>
        </w:tcBorders>
        <w:shd w:color="auto" w:fill="ed7d31" w:val="clear"/>
      </w:tcPr>
    </w:tblStylePr>
    <w:tblStylePr w:type="lastRow">
      <w:rPr>
        <w:b w:val="1"/>
        <w:bCs w:val="1"/>
        <w:color w:val="ffffff" w:themeColor="background1"/>
      </w:rPr>
      <w:tblPr/>
      <w:tcPr>
        <w:tcBorders>
          <w:left w:color="ffffff" w:space="0" w:sz="4" w:val="single"/>
          <w:bottom w:color="ffffff" w:space="0" w:sz="4" w:val="single"/>
          <w:right w:color="ffffff" w:space="0" w:sz="4" w:val="single"/>
          <w:insideH w:space="0" w:sz="0" w:val="nil"/>
          <w:insideV w:space="0" w:sz="0" w:val="nil"/>
        </w:tcBorders>
        <w:shd w:color="auto" w:fill="ed7d31" w:val="clear"/>
      </w:tcPr>
    </w:tblStylePr>
    <w:tblStylePr w:type="firstCol">
      <w:rPr>
        <w:b w:val="1"/>
        <w:bCs w:val="1"/>
        <w:color w:val="ffffff" w:themeColor="background1"/>
      </w:rPr>
      <w:tblPr/>
      <w:tcPr>
        <w:tcBorders>
          <w:top w:color="ffffff" w:space="0" w:sz="4" w:val="single"/>
          <w:left w:color="ffffff" w:space="0" w:sz="4" w:val="single"/>
          <w:bottom w:color="ffffff" w:space="0" w:sz="4" w:val="single"/>
          <w:insideV w:space="0" w:sz="0" w:val="nil"/>
        </w:tcBorders>
        <w:shd w:color="auto" w:fill="ed7d31" w:val="clear"/>
      </w:tcPr>
    </w:tblStylePr>
    <w:tblStylePr w:type="lastCol">
      <w:rPr>
        <w:b w:val="1"/>
        <w:bCs w:val="1"/>
        <w:color w:val="ffffff" w:themeColor="background1"/>
      </w:rPr>
      <w:tblPr/>
      <w:tcPr>
        <w:tcBorders>
          <w:top w:color="ffffff" w:space="0" w:sz="4" w:val="single"/>
          <w:bottom w:color="ffffff" w:space="0" w:sz="4" w:val="single"/>
          <w:right w:color="ffffff" w:space="0" w:sz="4" w:val="single"/>
          <w:insideV w:space="0" w:sz="0" w:val="nil"/>
        </w:tcBorders>
        <w:shd w:color="auto" w:fill="ed7d31" w:val="clear"/>
      </w:tcPr>
    </w:tblStylePr>
    <w:tblStylePr w:type="band1Vert">
      <w:tblPr/>
      <w:tcPr>
        <w:shd w:color="auto" w:fill="f7cbac" w:val="clear"/>
      </w:tcPr>
    </w:tblStylePr>
    <w:tblStylePr w:type="band1Horz">
      <w:tblPr/>
      <w:tcPr>
        <w:shd w:color="auto" w:fill="f7cbac" w:val="clear"/>
      </w:tcPr>
    </w:tblStylePr>
  </w:style>
  <w:style w:type="paragraph" w:styleId="NormalWeb">
    <w:name w:val="Normal (Web)"/>
    <w:basedOn w:val="Normal"/>
    <w:uiPriority w:val="99"/>
    <w:unhideWhenUsed w:val="1"/>
    <w:rsid w:val="005575F8"/>
    <w:pPr>
      <w:spacing w:after="100" w:afterAutospacing="1" w:before="100" w:beforeAutospacing="1"/>
    </w:pPr>
  </w:style>
  <w:style w:type="paragraph" w:styleId="Revision">
    <w:name w:val="Revision"/>
    <w:hidden w:val="1"/>
    <w:uiPriority w:val="99"/>
    <w:semiHidden w:val="1"/>
    <w:rsid w:val="008F228F"/>
  </w:style>
  <w:style w:type="character" w:styleId="Hyperlink">
    <w:name w:val="Hyperlink"/>
    <w:basedOn w:val="DefaultParagraphFont"/>
    <w:uiPriority w:val="99"/>
    <w:semiHidden w:val="1"/>
    <w:unhideWhenUsed w:val="1"/>
    <w:rsid w:val="00D90582"/>
    <w:rPr>
      <w:color w:val="0000ff"/>
      <w:u w:val="single"/>
    </w:rPr>
  </w:style>
  <w:style w:type="character" w:styleId="normaltextrun" w:customStyle="1">
    <w:name w:val="normaltextrun"/>
    <w:basedOn w:val="DefaultParagraphFont"/>
    <w:rsid w:val="00363AF6"/>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fbe5d5" w:val="clear"/>
    </w:tcPr>
    <w:tblStylePr w:type="band1Horz">
      <w:tcPr>
        <w:shd w:fill="f7cbac" w:val="clear"/>
      </w:tcPr>
    </w:tblStylePr>
    <w:tblStylePr w:type="band1Vert">
      <w:tcPr>
        <w:shd w:fill="f7cbac"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ed7d31"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ed7d31"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ed7d31"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ed7d31" w:val="clear"/>
      </w:tcPr>
    </w:tblStylePr>
  </w:style>
  <w:style w:type="table" w:styleId="Table2">
    <w:basedOn w:val="TableNormal"/>
    <w:tblPr>
      <w:tblStyleRowBandSize w:val="1"/>
      <w:tblStyleColBandSize w:val="1"/>
      <w:tblCellMar>
        <w:top w:w="0.0" w:type="dxa"/>
        <w:left w:w="115.0" w:type="dxa"/>
        <w:bottom w:w="0.0" w:type="dxa"/>
        <w:right w:w="115.0" w:type="dxa"/>
      </w:tblCellMar>
    </w:tblPr>
    <w:tcPr>
      <w:shd w:fill="fbe5d5" w:val="clear"/>
    </w:tcPr>
    <w:tblStylePr w:type="band1Horz">
      <w:tcPr>
        <w:shd w:fill="f7cbac" w:val="clear"/>
      </w:tcPr>
    </w:tblStylePr>
    <w:tblStylePr w:type="band1Vert">
      <w:tcPr>
        <w:shd w:fill="f7cbac"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ed7d31"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ed7d31"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ed7d31"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ed7d31"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wQcjCqcVaGB/Ut0lUP6QKp2McQ==">AMUW2mWnuFSrK3KNkeHGbA1v/pS8AB7srZPDtmfQyD5+gL1lLxrD45JjoLlhE/qrnNWL6896xnmq8jbm8otJNifZSyYWoXhTy4Zt/VcT0DFW5ucwe4Bi4dT2nnj/q1/TlRYkppOMFcLZ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2019-07-03T17:25:00Z</dcterms:created>
</cp:coreProperties>
</file>