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dtContent>
    </w:sdt>
    <w:tbl>
      <w:tblPr>
        <w:tblStyle w:val="Table1"/>
        <w:tblW w:w="918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9180"/>
        <w:tblGridChange w:id="0">
          <w:tblGrid>
            <w:gridCol w:w="9180"/>
          </w:tblGrid>
        </w:tblGridChange>
      </w:tblGrid>
      <w:tr>
        <w:trPr>
          <w:trHeight w:val="440" w:hRule="atLeast"/>
        </w:trPr>
        <w:tc>
          <w:tcPr/>
          <w:sdt>
            <w:sdtPr>
              <w:tag w:val="goog_rdk_1"/>
            </w:sdtPr>
            <w:sdtContent>
              <w:p w:rsidR="00000000" w:rsidDel="00000000" w:rsidP="00000000" w:rsidRDefault="00000000" w:rsidRPr="00000000" w14:paraId="00000002">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 BC-</w:t>
                </w:r>
                <w:r w:rsidDel="00000000" w:rsidR="00000000" w:rsidRPr="00000000">
                  <w:rPr>
                    <w:rFonts w:ascii="Calibri" w:cs="Calibri" w:eastAsia="Calibri" w:hAnsi="Calibri"/>
                    <w:color w:val="000000"/>
                    <w:sz w:val="22"/>
                    <w:szCs w:val="22"/>
                    <w:rtl w:val="0"/>
                  </w:rPr>
                  <w:t xml:space="preserve">Overarching Purpose: Business investigation for Domain Portfolio Purchases</w:t>
                </w:r>
              </w:p>
            </w:sdtContent>
          </w:sdt>
        </w:tc>
      </w:tr>
    </w:tbl>
    <w:sdt>
      <w:sdtPr>
        <w:tag w:val="goog_rdk_2"/>
      </w:sdtPr>
      <w:sdtContent>
        <w:p w:rsidR="00000000" w:rsidDel="00000000" w:rsidP="00000000" w:rsidRDefault="00000000" w:rsidRPr="00000000" w14:paraId="00000003">
          <w:pPr>
            <w:spacing w:after="40" w:before="40" w:lineRule="auto"/>
            <w:rPr>
              <w:b w:val="1"/>
              <w:color w:val="ffffff"/>
            </w:rPr>
            <w:sectPr>
              <w:pgSz w:h="15840" w:w="12240"/>
              <w:pgMar w:bottom="1440" w:top="1440" w:left="1440" w:right="1440" w:header="720" w:footer="720"/>
              <w:pgNumType w:start="1"/>
              <w:cols w:equalWidth="0"/>
            </w:sectPr>
          </w:pPr>
          <w:r w:rsidDel="00000000" w:rsidR="00000000" w:rsidRPr="00000000">
            <w:rPr>
              <w:rtl w:val="0"/>
            </w:rPr>
          </w:r>
        </w:p>
      </w:sdtContent>
    </w:sdt>
    <w:sdt>
      <w:sdtPr>
        <w:tag w:val="goog_rdk_3"/>
      </w:sdtPr>
      <w:sdtContent>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sdtContent>
    </w:sdt>
    <w:tbl>
      <w:tblPr>
        <w:tblStyle w:val="Table2"/>
        <w:tblW w:w="918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060"/>
        <w:gridCol w:w="6120"/>
        <w:tblGridChange w:id="0">
          <w:tblGrid>
            <w:gridCol w:w="3060"/>
            <w:gridCol w:w="6120"/>
          </w:tblGrid>
        </w:tblGridChange>
      </w:tblGrid>
      <w:tr>
        <w:trPr>
          <w:trHeight w:val="440" w:hRule="atLeast"/>
        </w:trPr>
        <w:tc>
          <w:tcPr>
            <w:gridSpan w:val="2"/>
          </w:tcPr>
          <w:sdt>
            <w:sdtPr>
              <w:tag w:val="goog_rdk_4"/>
            </w:sdtPr>
            <w:sdtContent>
              <w:p w:rsidR="00000000" w:rsidDel="00000000" w:rsidP="00000000" w:rsidRDefault="00000000" w:rsidRPr="00000000" w14:paraId="00000005">
                <w:pPr>
                  <w:spacing w:after="40" w:before="40" w:lineRule="auto"/>
                  <w:rPr>
                    <w:rFonts w:ascii="Calibri" w:cs="Calibri" w:eastAsia="Calibri" w:hAnsi="Calibri"/>
                    <w:color w:val="000000"/>
                    <w:sz w:val="22"/>
                    <w:szCs w:val="22"/>
                  </w:rPr>
                </w:pPr>
                <w:bookmarkStart w:colFirst="0" w:colLast="0" w:name="_heading=h.30j0zll" w:id="0"/>
                <w:bookmarkEnd w:id="0"/>
                <w:r w:rsidDel="00000000" w:rsidR="00000000" w:rsidRPr="00000000">
                  <w:rPr>
                    <w:rFonts w:ascii="Calibri" w:cs="Calibri" w:eastAsia="Calibri" w:hAnsi="Calibri"/>
                    <w:color w:val="000000"/>
                    <w:sz w:val="22"/>
                    <w:szCs w:val="22"/>
                    <w:rtl w:val="0"/>
                  </w:rPr>
                  <w:t xml:space="preserve">Use Case: M&amp;A name portfolio due diligence or purchase of domain name from bankrupt entity or other seller</w:t>
                </w:r>
              </w:p>
            </w:sdtContent>
          </w:sdt>
        </w:tc>
      </w:tr>
      <w:tr>
        <w:trPr>
          <w:trHeight w:val="300" w:hRule="atLeast"/>
        </w:trPr>
        <w:tc>
          <w:tcPr/>
          <w:sdt>
            <w:sdtPr>
              <w:tag w:val="goog_rdk_6"/>
            </w:sdtPr>
            <w:sdtContent>
              <w:p w:rsidR="00000000" w:rsidDel="00000000" w:rsidP="00000000" w:rsidRDefault="00000000" w:rsidRPr="00000000" w14:paraId="0000000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User Groups (Requestors) / User characteristics </w:t>
                </w:r>
              </w:p>
            </w:sdtContent>
          </w:sdt>
        </w:tc>
        <w:tc>
          <w:tcPr/>
          <w:sdt>
            <w:sdtPr>
              <w:tag w:val="goog_rdk_7"/>
            </w:sdtPr>
            <w:sdtContent>
              <w:p w:rsidR="00000000" w:rsidDel="00000000" w:rsidP="00000000" w:rsidRDefault="00000000" w:rsidRPr="00000000" w14:paraId="00000008">
                <w:pPr>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Company interested in acquiring new domain name(s)</w:t>
                </w:r>
              </w:p>
            </w:sdtContent>
          </w:sdt>
        </w:tc>
      </w:tr>
      <w:tr>
        <w:trPr>
          <w:trHeight w:val="300" w:hRule="atLeast"/>
        </w:trPr>
        <w:tc>
          <w:tcPr/>
          <w:sdt>
            <w:sdtPr>
              <w:tag w:val="goog_rdk_8"/>
            </w:sdtPr>
            <w:sdtContent>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is non-public registration data necessary?</w:t>
                </w:r>
              </w:p>
            </w:sdtContent>
          </w:sdt>
        </w:tc>
        <w:tc>
          <w:tcPr/>
          <w:sdt>
            <w:sdtPr>
              <w:tag w:val="goog_rdk_9"/>
            </w:sdtPr>
            <w:sdtContent>
              <w:p w:rsidR="00000000" w:rsidDel="00000000" w:rsidP="00000000" w:rsidRDefault="00000000" w:rsidRPr="00000000" w14:paraId="0000000A">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verify the accuracy of representations made by the seller(s).</w:t>
                </w:r>
              </w:p>
            </w:sdtContent>
          </w:sdt>
        </w:tc>
      </w:tr>
      <w:tr>
        <w:trPr>
          <w:trHeight w:val="300" w:hRule="atLeast"/>
        </w:trPr>
        <w:tc>
          <w:tcPr/>
          <w:sdt>
            <w:sdtPr>
              <w:tag w:val="goog_rdk_10"/>
            </w:sdtPr>
            <w:sdtContent>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elements that may typically be disclosed</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sdtContent>
          </w:sdt>
          <w:sdt>
            <w:sdtPr>
              <w:tag w:val="goog_rdk_11"/>
            </w:sdtPr>
            <w:sdtContent>
              <w:p w:rsidR="00000000" w:rsidDel="00000000" w:rsidP="00000000" w:rsidRDefault="00000000" w:rsidRPr="00000000" w14:paraId="0000000C">
                <w:pPr>
                  <w:spacing w:after="40" w:before="40" w:lineRule="auto"/>
                  <w:rPr>
                    <w:rFonts w:ascii="Calibri" w:cs="Calibri" w:eastAsia="Calibri" w:hAnsi="Calibri"/>
                    <w:color w:val="000000"/>
                    <w:sz w:val="22"/>
                    <w:szCs w:val="22"/>
                  </w:rPr>
                </w:pPr>
                <w:r w:rsidDel="00000000" w:rsidR="00000000" w:rsidRPr="00000000">
                  <w:rPr>
                    <w:rtl w:val="0"/>
                  </w:rPr>
                </w:r>
              </w:p>
            </w:sdtContent>
          </w:sdt>
        </w:tc>
        <w:tc>
          <w:tcPr/>
          <w:sdt>
            <w:sdtPr>
              <w:tag w:val="goog_rdk_12"/>
            </w:sdtPr>
            <w:sdtContent>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of Registrant/Organization</w:t>
                </w:r>
              </w:p>
            </w:sdtContent>
          </w:sdt>
          <w:sdt>
            <w:sdtPr>
              <w:tag w:val="goog_rdk_13"/>
            </w:sdtPr>
            <w:sdtContent>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address</w:t>
                </w:r>
              </w:p>
            </w:sdtContent>
          </w:sdt>
          <w:sdt>
            <w:sdtPr>
              <w:tag w:val="goog_rdk_14"/>
            </w:sdtPr>
            <w:sdtContent>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Admin/tech contacts</w:t>
                </w:r>
              </w:p>
            </w:sdtContent>
          </w:sdt>
          <w:sdt>
            <w:sdtPr>
              <w:tag w:val="goog_rdk_15"/>
            </w:sdtPr>
            <w:sdtContent>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Postal address</w:t>
                </w:r>
              </w:p>
            </w:sdtContent>
          </w:sdt>
          <w:sdt>
            <w:sdtPr>
              <w:tag w:val="goog_rdk_16"/>
            </w:sdtPr>
            <w:sdtContent>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 number</w:t>
                </w:r>
              </w:p>
            </w:sdtContent>
          </w:sdt>
          <w:sdt>
            <w:sdtPr>
              <w:tag w:val="goog_rdk_17"/>
            </w:sdtPr>
            <w:sdtContent>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Creation date</w:t>
                </w:r>
              </w:p>
            </w:sdtContent>
          </w:sdt>
          <w:sdt>
            <w:sdtPr>
              <w:tag w:val="goog_rdk_18"/>
            </w:sdtPr>
            <w:sdtContent>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Expiration date</w:t>
                </w:r>
              </w:p>
            </w:sdtContent>
          </w:sdt>
          <w:sdt>
            <w:sdtPr>
              <w:tag w:val="goog_rdk_19"/>
            </w:sdtPr>
            <w:sdtContent>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Renewal status</w:t>
                </w:r>
              </w:p>
            </w:sdtContent>
          </w:sdt>
          <w:sdt>
            <w:sdtPr>
              <w:tag w:val="goog_rdk_20"/>
            </w:sdtPr>
            <w:sdtContent>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servers were last updated</w:t>
                </w:r>
              </w:p>
            </w:sdtContent>
          </w:sdt>
        </w:tc>
      </w:tr>
      <w:tr>
        <w:trPr>
          <w:trHeight w:val="300" w:hRule="atLeast"/>
        </w:trPr>
        <w:tc>
          <w:tcPr/>
          <w:sdt>
            <w:sdtPr>
              <w:tag w:val="goog_rdk_21"/>
            </w:sdtPr>
            <w:sdtContent>
              <w:p w:rsidR="00000000" w:rsidDel="00000000" w:rsidP="00000000" w:rsidRDefault="00000000" w:rsidRPr="00000000" w14:paraId="0000001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Lawful basis of entity disclosing non-public registration data to the requestor</w:t>
                </w:r>
              </w:p>
            </w:sdtContent>
          </w:sdt>
        </w:tc>
        <w:tc>
          <w:tcPr/>
          <w:sdt>
            <w:sdtPr>
              <w:tag w:val="goog_rdk_22"/>
            </w:sdtPr>
            <w:sdtContent>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Disclosure of non-public registration data may be justified under Art. 6 (1) (f) GDPR (legitimate interest), (a) consent, (b) performance of contract, (e) public interest/official authority</w:t>
                </w:r>
              </w:p>
            </w:sdtContent>
          </w:sdt>
        </w:tc>
      </w:tr>
      <w:tr>
        <w:trPr>
          <w:trHeight w:val="300" w:hRule="atLeast"/>
        </w:trPr>
        <w:tc>
          <w:tcPr/>
          <w:sdt>
            <w:sdtPr>
              <w:tag w:val="goog_rdk_23"/>
            </w:sdtPr>
            <w:sdtContent>
              <w:p w:rsidR="00000000" w:rsidDel="00000000" w:rsidP="00000000" w:rsidRDefault="00000000" w:rsidRPr="00000000" w14:paraId="0000001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Supporting info to determine lawful basis for the requestor</w:t>
                </w:r>
                <w:r w:rsidDel="00000000" w:rsidR="00000000" w:rsidRPr="00000000">
                  <w:rPr>
                    <w:rtl w:val="0"/>
                  </w:rPr>
                </w:r>
              </w:p>
            </w:sdtContent>
          </w:sdt>
        </w:tc>
        <w:tc>
          <w:tcPr/>
          <w:sdt>
            <w:sdtPr>
              <w:tag w:val="goog_rdk_24"/>
            </w:sdtPr>
            <w:sdtContent>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Supporting documentation of transaction or consent from domain controller or the registrant.</w:t>
                </w:r>
              </w:p>
            </w:sdtContent>
          </w:sdt>
        </w:tc>
      </w:tr>
      <w:tr>
        <w:trPr>
          <w:trHeight w:val="300" w:hRule="atLeast"/>
        </w:trPr>
        <w:tc>
          <w:tcPr/>
          <w:sdt>
            <w:sdtPr>
              <w:tag w:val="goog_rdk_25"/>
            </w:sdtPr>
            <w:sdtContent>
              <w:p w:rsidR="00000000" w:rsidDel="00000000" w:rsidP="00000000" w:rsidRDefault="00000000" w:rsidRPr="00000000" w14:paraId="0000001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Requestor</w:t>
                </w:r>
              </w:p>
            </w:sdtContent>
          </w:sdt>
        </w:tc>
        <w:tc>
          <w:tcPr/>
          <w:sdt>
            <w:sdtPr>
              <w:tag w:val="goog_rdk_26"/>
            </w:sdtPr>
            <w:sdtContent>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requestor: </w:t>
                </w:r>
              </w:p>
            </w:sdtContent>
          </w:sdt>
          <w:sdt>
            <w:sdtPr>
              <w:tag w:val="goog_rdk_27"/>
            </w:sdtPr>
            <w:sdtContent>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process data in compliance with data protection laws such as GDPR, including secure transmission;</w:t>
                </w:r>
              </w:p>
            </w:sdtContent>
          </w:sdt>
          <w:sdt>
            <w:sdtPr>
              <w:tag w:val="goog_rdk_28"/>
            </w:sdtPr>
            <w:sdtContent>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only request current data (no data about the domain name registration’s history);</w:t>
                </w:r>
              </w:p>
            </w:sdtContent>
          </w:sdt>
          <w:sdt>
            <w:sdtPr>
              <w:tag w:val="goog_rdk_29"/>
            </w:sdtPr>
            <w:sdtContent>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direct requests at the entity that is determined through this policy process to be responsible for the disclosure of the requested data;</w:t>
                </w:r>
              </w:p>
            </w:sdtContent>
          </w:sdt>
          <w:sdt>
            <w:sdtPr>
              <w:tag w:val="goog_rdk_30"/>
            </w:sdtPr>
            <w:sdtContent>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provide representations about use of requested data which will be subject to auditing.</w:t>
                </w:r>
              </w:p>
            </w:sdtContent>
          </w:sdt>
        </w:tc>
      </w:tr>
      <w:tr>
        <w:trPr>
          <w:trHeight w:val="300" w:hRule="atLeast"/>
        </w:trPr>
        <w:tc>
          <w:tcPr/>
          <w:sdt>
            <w:sdtPr>
              <w:tag w:val="goog_rdk_31"/>
            </w:sdtPr>
            <w:sdtContent>
              <w:p w:rsidR="00000000" w:rsidDel="00000000" w:rsidP="00000000" w:rsidRDefault="00000000" w:rsidRPr="00000000" w14:paraId="000000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Entity Disclosing the Nonpublic Registration Data</w:t>
                </w:r>
              </w:p>
            </w:sdtContent>
          </w:sdt>
        </w:tc>
        <w:tc>
          <w:tcPr/>
          <w:sdt>
            <w:sdtPr>
              <w:tag w:val="goog_rdk_32"/>
            </w:sdtPr>
            <w:sdtContent>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entity disclosing the data:</w:t>
                </w:r>
              </w:p>
            </w:sdtContent>
          </w:sdt>
          <w:sdt>
            <w:sdtPr>
              <w:tag w:val="goog_rdk_33"/>
            </w:sdtPr>
            <w:sdtContent>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supply only the data requested by the requestor;</w:t>
                </w:r>
              </w:p>
            </w:sdtContent>
          </w:sdt>
          <w:sdt>
            <w:sdtPr>
              <w:tag w:val="goog_rdk_34"/>
            </w:sdtPr>
            <w:sdtContent>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return current data in response to a request;</w:t>
                </w:r>
              </w:p>
            </w:sdtContent>
          </w:sdt>
          <w:sdt>
            <w:sdtPr>
              <w:tag w:val="goog_rdk_35"/>
            </w:sdtPr>
            <w:sdtContent>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 take measures to limit requests that are not legitimate and of an abusive nature; </w:t>
                </w:r>
              </w:p>
            </w:sdtContent>
          </w:sdt>
          <w:sdt>
            <w:sdtPr>
              <w:tag w:val="goog_rdk_36"/>
            </w:sdtPr>
            <w:sdtContent>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allow for requests for multiple domain names to be investigated.</w:t>
                </w:r>
              </w:p>
            </w:sdtContent>
          </w:sdt>
          <w:sdt>
            <w:sdtPr>
              <w:tag w:val="goog_rdk_37"/>
            </w:sdtPr>
            <w:sdtContent>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sz w:val="22"/>
                    <w:szCs w:val="22"/>
                    <w:rtl w:val="0"/>
                  </w:rPr>
                  <w:t xml:space="preserve">Must monitor the system and take appropriate action, such as revoking or limiting access, to protect against abuse or misuse of the system.</w:t>
                </w:r>
                <w:r w:rsidDel="00000000" w:rsidR="00000000" w:rsidRPr="00000000">
                  <w:rPr>
                    <w:rtl w:val="0"/>
                  </w:rPr>
                </w:r>
              </w:p>
            </w:sdtContent>
          </w:sdt>
        </w:tc>
      </w:tr>
      <w:tr>
        <w:trPr>
          <w:trHeight w:val="300" w:hRule="atLeast"/>
        </w:trPr>
        <w:tc>
          <w:tcPr/>
          <w:sdt>
            <w:sdtPr>
              <w:tag w:val="goog_rdk_38"/>
            </w:sdtPr>
            <w:sdtContent>
              <w:p w:rsidR="00000000" w:rsidDel="00000000" w:rsidP="00000000" w:rsidRDefault="00000000" w:rsidRPr="00000000" w14:paraId="0000002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data subject</w:t>
                </w:r>
              </w:p>
            </w:sdtContent>
          </w:sdt>
        </w:tc>
        <w:tc>
          <w:tcPr/>
          <w:sdt>
            <w:sdtPr>
              <w:tag w:val="goog_rdk_39"/>
            </w:sdtPr>
            <w:sdtContent>
              <w:p w:rsidR="00000000" w:rsidDel="00000000" w:rsidP="00000000" w:rsidRDefault="00000000" w:rsidRPr="00000000" w14:paraId="00000028">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br w:type="textWrapping"/>
                  <w:t xml:space="preserve">The Registered Name Holder (data subject) must have the right: </w:t>
                </w:r>
              </w:p>
            </w:sdtContent>
          </w:sdt>
          <w:sdt>
            <w:sdtPr>
              <w:tag w:val="goog_rdk_40"/>
            </w:sdtPr>
            <w:sdtContent>
              <w:p w:rsidR="00000000" w:rsidDel="00000000" w:rsidP="00000000" w:rsidRDefault="00000000" w:rsidRPr="00000000" w14:paraId="00000029">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obtain, on </w:t>
                </w:r>
                <w:r w:rsidDel="00000000" w:rsidR="00000000" w:rsidRPr="00000000">
                  <w:rPr>
                    <w:rFonts w:ascii="Calibri" w:cs="Calibri" w:eastAsia="Calibri" w:hAnsi="Calibri"/>
                    <w:color w:val="000000"/>
                    <w:sz w:val="22"/>
                    <w:szCs w:val="22"/>
                    <w:highlight w:val="yellow"/>
                    <w:rtl w:val="0"/>
                  </w:rPr>
                  <w:t xml:space="preserve">reasonable</w:t>
                </w:r>
                <w:r w:rsidDel="00000000" w:rsidR="00000000" w:rsidRPr="00000000">
                  <w:rPr>
                    <w:rFonts w:ascii="Calibri" w:cs="Calibri" w:eastAsia="Calibri" w:hAnsi="Calibri"/>
                    <w:color w:val="000000"/>
                    <w:sz w:val="22"/>
                    <w:szCs w:val="22"/>
                    <w:rtl w:val="0"/>
                  </w:rPr>
                  <w:t xml:space="preserve"> request, confirmation of the processing of personal data relating to them and the communication in an intelligible form of the data processed;</w:t>
                </w:r>
              </w:p>
            </w:sdtContent>
          </w:sdt>
          <w:sdt>
            <w:sdtPr>
              <w:tag w:val="goog_rdk_41"/>
            </w:sdtPr>
            <w:sdtContent>
              <w:p w:rsidR="00000000" w:rsidDel="00000000" w:rsidP="00000000" w:rsidRDefault="00000000" w:rsidRPr="00000000" w14:paraId="0000002A">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obtain, on </w:t>
                </w:r>
                <w:r w:rsidDel="00000000" w:rsidR="00000000" w:rsidRPr="00000000">
                  <w:rPr>
                    <w:rFonts w:ascii="Calibri" w:cs="Calibri" w:eastAsia="Calibri" w:hAnsi="Calibri"/>
                    <w:color w:val="000000"/>
                    <w:sz w:val="22"/>
                    <w:szCs w:val="22"/>
                    <w:highlight w:val="yellow"/>
                    <w:rtl w:val="0"/>
                  </w:rPr>
                  <w:t xml:space="preserve">reasonable</w:t>
                </w:r>
                <w:r w:rsidDel="00000000" w:rsidR="00000000" w:rsidRPr="00000000">
                  <w:rPr>
                    <w:rFonts w:ascii="Calibri" w:cs="Calibri" w:eastAsia="Calibri" w:hAnsi="Calibri"/>
                    <w:color w:val="000000"/>
                    <w:sz w:val="22"/>
                    <w:szCs w:val="22"/>
                    <w:rtl w:val="0"/>
                  </w:rPr>
                  <w:t xml:space="preserve"> request, rectification or erasure, as the case may be, of inaccurate data or data that is being, or has been, processed contrary to the provisions of this Protocol, </w:t>
                </w:r>
                <w:r w:rsidDel="00000000" w:rsidR="00000000" w:rsidRPr="00000000">
                  <w:rPr>
                    <w:rFonts w:ascii="Calibri" w:cs="Calibri" w:eastAsia="Calibri" w:hAnsi="Calibri"/>
                    <w:color w:val="000000"/>
                    <w:sz w:val="22"/>
                    <w:szCs w:val="22"/>
                    <w:highlight w:val="yellow"/>
                    <w:rtl w:val="0"/>
                  </w:rPr>
                  <w:t xml:space="preserve">but in the case of erasure, except where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yellow"/>
                    <w:rtl w:val="0"/>
                  </w:rPr>
                  <w:t xml:space="preserve">that processing is allowed, necessary, or required under applicable law for:</w:t>
                </w:r>
                <w:r w:rsidDel="00000000" w:rsidR="00000000" w:rsidRPr="00000000">
                  <w:rPr>
                    <w:rtl w:val="0"/>
                  </w:rPr>
                </w:r>
              </w:p>
            </w:sdtContent>
          </w:sdt>
          <w:sdt>
            <w:sdtPr>
              <w:tag w:val="goog_rdk_42"/>
            </w:sdtPr>
            <w:sdtContent>
              <w:p w:rsidR="00000000" w:rsidDel="00000000" w:rsidP="00000000" w:rsidRDefault="00000000" w:rsidRPr="00000000" w14:paraId="0000002B">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exercising the right of freedom of expression and information;</w:t>
                </w:r>
                <w:r w:rsidDel="00000000" w:rsidR="00000000" w:rsidRPr="00000000">
                  <w:rPr>
                    <w:rtl w:val="0"/>
                  </w:rPr>
                </w:r>
              </w:p>
            </w:sdtContent>
          </w:sdt>
          <w:sdt>
            <w:sdtPr>
              <w:tag w:val="goog_rdk_43"/>
            </w:sdtPr>
            <w:sdtContent>
              <w:p w:rsidR="00000000" w:rsidDel="00000000" w:rsidP="00000000" w:rsidRDefault="00000000" w:rsidRPr="00000000" w14:paraId="0000002C">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compliance with a legal obligation(s) for the performance of a task carried out in the public interest;</w:t>
                </w:r>
                <w:r w:rsidDel="00000000" w:rsidR="00000000" w:rsidRPr="00000000">
                  <w:rPr>
                    <w:rtl w:val="0"/>
                  </w:rPr>
                </w:r>
              </w:p>
            </w:sdtContent>
          </w:sdt>
          <w:sdt>
            <w:sdtPr>
              <w:tag w:val="goog_rdk_44"/>
            </w:sdtPr>
            <w:sdtContent>
              <w:p w:rsidR="00000000" w:rsidDel="00000000" w:rsidP="00000000" w:rsidRDefault="00000000" w:rsidRPr="00000000" w14:paraId="0000002D">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the exercise of official authority vested in the controller;</w:t>
                </w:r>
                <w:r w:rsidDel="00000000" w:rsidR="00000000" w:rsidRPr="00000000">
                  <w:rPr>
                    <w:rtl w:val="0"/>
                  </w:rPr>
                </w:r>
              </w:p>
            </w:sdtContent>
          </w:sdt>
          <w:sdt>
            <w:sdtPr>
              <w:tag w:val="goog_rdk_45"/>
            </w:sdtPr>
            <w:sdtContent>
              <w:p w:rsidR="00000000" w:rsidDel="00000000" w:rsidP="00000000" w:rsidRDefault="00000000" w:rsidRPr="00000000" w14:paraId="0000002E">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reasons of public interest in the area of public health;</w:t>
                </w:r>
                <w:r w:rsidDel="00000000" w:rsidR="00000000" w:rsidRPr="00000000">
                  <w:rPr>
                    <w:rtl w:val="0"/>
                  </w:rPr>
                </w:r>
              </w:p>
            </w:sdtContent>
          </w:sdt>
          <w:sdt>
            <w:sdtPr>
              <w:tag w:val="goog_rdk_46"/>
            </w:sdtPr>
            <w:sdtContent>
              <w:p w:rsidR="00000000" w:rsidDel="00000000" w:rsidP="00000000" w:rsidRDefault="00000000" w:rsidRPr="00000000" w14:paraId="0000002F">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archiving purposes in the public interest, scientific or historical research purposes or statistical purposes; or</w:t>
                </w:r>
                <w:r w:rsidDel="00000000" w:rsidR="00000000" w:rsidRPr="00000000">
                  <w:rPr>
                    <w:rtl w:val="0"/>
                  </w:rPr>
                </w:r>
              </w:p>
            </w:sdtContent>
          </w:sdt>
          <w:sdt>
            <w:sdtPr>
              <w:tag w:val="goog_rdk_47"/>
            </w:sdtPr>
            <w:sdtContent>
              <w:p w:rsidR="00000000" w:rsidDel="00000000" w:rsidP="00000000" w:rsidRDefault="00000000" w:rsidRPr="00000000" w14:paraId="00000030">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the establishment, exercise or defence of legal claims.</w:t>
                </w:r>
                <w:r w:rsidDel="00000000" w:rsidR="00000000" w:rsidRPr="00000000">
                  <w:rPr>
                    <w:rtl w:val="0"/>
                  </w:rPr>
                </w:r>
              </w:p>
            </w:sdtContent>
          </w:sdt>
          <w:sdt>
            <w:sdtPr>
              <w:tag w:val="goog_rdk_48"/>
            </w:sdtPr>
            <w:sdtContent>
              <w:p w:rsidR="00000000" w:rsidDel="00000000" w:rsidP="00000000" w:rsidRDefault="00000000" w:rsidRPr="00000000" w14:paraId="00000031">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sdtContent>
          </w:sdt>
          <w:sdt>
            <w:sdtPr>
              <w:tag w:val="goog_rdk_49"/>
            </w:sdtPr>
            <w:sdtContent>
              <w:p w:rsidR="00000000" w:rsidDel="00000000" w:rsidP="00000000" w:rsidRDefault="00000000" w:rsidRPr="00000000" w14:paraId="00000032">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not to be subject to a decision significantly affecting them based solely on an automated processing of data unless this is:</w:t>
                </w:r>
              </w:p>
            </w:sdtContent>
          </w:sdt>
          <w:sdt>
            <w:sdtPr>
              <w:tag w:val="goog_rdk_50"/>
            </w:sdtPr>
            <w:sdtContent>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authorized by law providing appropriate safeguards, including at least the right to obtain human intervention;</w:t>
                </w:r>
              </w:p>
            </w:sdtContent>
          </w:sdt>
          <w:sdt>
            <w:sdtPr>
              <w:tag w:val="goog_rdk_51"/>
            </w:sdtPr>
            <w:sdtContent>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necessary for entering into, or performance of, a contract between the data subject and a data controller;</w:t>
                </w:r>
                <w:r w:rsidDel="00000000" w:rsidR="00000000" w:rsidRPr="00000000">
                  <w:rPr>
                    <w:rtl w:val="0"/>
                  </w:rPr>
                </w:r>
              </w:p>
            </w:sdtContent>
          </w:sdt>
          <w:sdt>
            <w:sdtPr>
              <w:tag w:val="goog_rdk_52"/>
            </w:sdtPr>
            <w:sdtContent>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authorized by applicable law to which the controller is subject and which also lays down suitable measures to safeguard the data subject's rights and freedoms and legitimate interests; or </w:t>
                </w:r>
                <w:r w:rsidDel="00000000" w:rsidR="00000000" w:rsidRPr="00000000">
                  <w:rPr>
                    <w:rtl w:val="0"/>
                  </w:rPr>
                </w:r>
              </w:p>
            </w:sdtContent>
          </w:sdt>
          <w:sdt>
            <w:sdtPr>
              <w:tag w:val="goog_rdk_53"/>
            </w:sdtPr>
            <w:sdtContent>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based on the data subject's explicit consent.</w:t>
                </w:r>
                <w:r w:rsidDel="00000000" w:rsidR="00000000" w:rsidRPr="00000000">
                  <w:rPr>
                    <w:rtl w:val="0"/>
                  </w:rPr>
                </w:r>
              </w:p>
            </w:sdtContent>
          </w:sdt>
          <w:sdt>
            <w:sdtPr>
              <w:tag w:val="goog_rdk_54"/>
            </w:sdtPr>
            <w:sdtContent>
              <w:p w:rsidR="00000000" w:rsidDel="00000000" w:rsidP="00000000" w:rsidRDefault="00000000" w:rsidRPr="00000000" w14:paraId="00000037">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yellow"/>
                    <w:rtl w:val="0"/>
                  </w:rPr>
                  <w:t xml:space="preserve"> </w:t>
                </w:r>
                <w:r w:rsidDel="00000000" w:rsidR="00000000" w:rsidRPr="00000000">
                  <w:rPr>
                    <w:rtl w:val="0"/>
                  </w:rPr>
                </w:r>
              </w:p>
            </w:sdtContent>
          </w:sdt>
          <w:sdt>
            <w:sdtPr>
              <w:tag w:val="goog_rdk_55"/>
            </w:sdtPr>
            <w:sdtContent>
              <w:p w:rsidR="00000000" w:rsidDel="00000000" w:rsidP="00000000" w:rsidRDefault="00000000" w:rsidRPr="00000000" w14:paraId="00000038">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yellow"/>
                    <w:rtl w:val="0"/>
                  </w:rPr>
                  <w:t xml:space="preserve">Note that whether decisions referred to herein can be made shall always take into account whether applicable law allows for explicit consent or processing necessary for reasons of substantial public interest.</w:t>
                </w:r>
                <w:r w:rsidDel="00000000" w:rsidR="00000000" w:rsidRPr="00000000">
                  <w:rPr>
                    <w:rtl w:val="0"/>
                  </w:rPr>
                </w:r>
              </w:p>
            </w:sdtContent>
          </w:sdt>
          <w:sdt>
            <w:sdtPr>
              <w:tag w:val="goog_rdk_56"/>
            </w:sdtPr>
            <w:sdtContent>
              <w:p w:rsidR="00000000" w:rsidDel="00000000" w:rsidP="00000000" w:rsidRDefault="00000000" w:rsidRPr="00000000" w14:paraId="00000039">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sdtContent>
          </w:sdt>
          <w:sdt>
            <w:sdtPr>
              <w:tag w:val="goog_rdk_57"/>
            </w:sdtPr>
            <w:sdtContent>
              <w:p w:rsidR="00000000" w:rsidDel="00000000" w:rsidP="00000000" w:rsidRDefault="00000000" w:rsidRPr="00000000" w14:paraId="0000003A">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lodge a complaint with the supervisory authority, or authorities, when they consider that their data protection rights have been violated</w:t>
                </w:r>
                <w:r w:rsidDel="00000000" w:rsidR="00000000" w:rsidRPr="00000000">
                  <w:rPr>
                    <w:rFonts w:ascii="Tahoma" w:cs="Tahoma" w:eastAsia="Tahoma" w:hAnsi="Tahoma"/>
                    <w:color w:val="000000"/>
                    <w:sz w:val="22"/>
                    <w:szCs w:val="22"/>
                    <w:rtl w:val="0"/>
                  </w:rPr>
                  <w:t xml:space="preserve"> </w:t>
                </w:r>
                <w:r w:rsidDel="00000000" w:rsidR="00000000" w:rsidRPr="00000000">
                  <w:rPr>
                    <w:rtl w:val="0"/>
                  </w:rPr>
                </w:r>
              </w:p>
            </w:sdtContent>
          </w:sdt>
          <w:sdt>
            <w:sdtPr>
              <w:tag w:val="goog_rdk_58"/>
            </w:sdtPr>
            <w:sdtContent>
              <w:p w:rsidR="00000000" w:rsidDel="00000000" w:rsidP="00000000" w:rsidRDefault="00000000" w:rsidRPr="00000000" w14:paraId="0000003B">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an effective remedy before an independent and impartial tribunal when they consider that their data protection rights have been violated.</w:t>
                </w:r>
                <w:r w:rsidDel="00000000" w:rsidR="00000000" w:rsidRPr="00000000">
                  <w:rPr>
                    <w:rFonts w:ascii="Tahoma" w:cs="Tahoma" w:eastAsia="Tahoma" w:hAnsi="Tahoma"/>
                    <w:color w:val="000000"/>
                    <w:sz w:val="22"/>
                    <w:szCs w:val="22"/>
                    <w:rtl w:val="0"/>
                  </w:rPr>
                  <w:t xml:space="preserve"> </w:t>
                </w:r>
                <w:r w:rsidDel="00000000" w:rsidR="00000000" w:rsidRPr="00000000">
                  <w:rPr>
                    <w:rtl w:val="0"/>
                  </w:rPr>
                </w:r>
              </w:p>
            </w:sdtContent>
          </w:sdt>
          <w:sdt>
            <w:sdtPr>
              <w:tag w:val="goog_rdk_59"/>
            </w:sdtPr>
            <w:sdtContent>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dtContent>
          </w:sdt>
          <w:sdt>
            <w:sdtPr>
              <w:tag w:val="goog_rdk_60"/>
            </w:sdtPr>
            <w:sdtContent>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Note that the right to object will be limited in instances where applicable law allows for (1) the controller to demonstrate compelling legitimate grounds for the processing that override the interests, rights and freedoms of the data subject or (2) for the establishment, exercise or defence of legal claims or (3) processing where it is necessary for the performance of a task carried out for reasons of public interest.</w:t>
                </w:r>
                <w:r w:rsidDel="00000000" w:rsidR="00000000" w:rsidRPr="00000000">
                  <w:rPr>
                    <w:rtl w:val="0"/>
                  </w:rPr>
                </w:r>
              </w:p>
            </w:sdtContent>
          </w:sdt>
          <w:sdt>
            <w:sdtPr>
              <w:tag w:val="goog_rdk_61"/>
            </w:sdtPr>
            <w:sdtContent>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sdtContent>
          </w:sdt>
        </w:tc>
      </w:tr>
      <w:tr>
        <w:trPr>
          <w:trHeight w:val="300" w:hRule="atLeast"/>
        </w:trPr>
        <w:tc>
          <w:tcPr/>
          <w:sdt>
            <w:sdtPr>
              <w:tag w:val="goog_rdk_62"/>
            </w:sdtPr>
            <w:sdtContent>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access/disclosure system</w:t>
                </w:r>
              </w:p>
            </w:sdtContent>
          </w:sdt>
        </w:tc>
        <w:tc>
          <w:tcPr/>
          <w:sdt>
            <w:sdtPr>
              <w:tag w:val="goog_rdk_63"/>
            </w:sdtPr>
            <w:sdtContent>
              <w:p w:rsidR="00000000" w:rsidDel="00000000" w:rsidP="00000000" w:rsidRDefault="00000000" w:rsidRPr="00000000" w14:paraId="0000004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Requests must only refer to current registration data (historical registration data will not be made available via this mechanism).</w:t>
                </w:r>
              </w:p>
            </w:sdtContent>
          </w:sdt>
          <w:sdt>
            <w:sdtPr>
              <w:tag w:val="goog_rdk_64"/>
            </w:sdtPr>
            <w:sdtContent>
              <w:p w:rsidR="00000000" w:rsidDel="00000000" w:rsidP="00000000" w:rsidRDefault="00000000" w:rsidRPr="00000000" w14:paraId="0000004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Contracted parties are only responsible for disclosing nonpublic registration data for the domain names under their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sdtContent>
          </w:sdt>
          <w:sdt>
            <w:sdtPr>
              <w:tag w:val="goog_rdk_65"/>
            </w:sdtPr>
            <w:sdtContent>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sdtContent>
          </w:sdt>
        </w:tc>
      </w:tr>
      <w:tr>
        <w:trPr>
          <w:trHeight w:val="300" w:hRule="atLeast"/>
        </w:trPr>
        <w:tc>
          <w:tcPr/>
          <w:sdt>
            <w:sdtPr>
              <w:tag w:val="goog_rdk_66"/>
            </w:sdtPr>
            <w:sdtContent>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Accreditation of user group(s) required (Y/N) – if Y, define policy principles</w:t>
                </w:r>
              </w:p>
            </w:sdtContent>
          </w:sdt>
        </w:tc>
        <w:tc>
          <w:tcPr/>
          <w:sdt>
            <w:sdtPr>
              <w:tag w:val="goog_rdk_67"/>
            </w:sdtPr>
            <w:sdtContent>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w:t>
                </w:r>
              </w:p>
            </w:sdtContent>
          </w:sdt>
        </w:tc>
      </w:tr>
      <w:tr>
        <w:trPr>
          <w:trHeight w:val="300" w:hRule="atLeast"/>
        </w:trPr>
        <w:tc>
          <w:tcPr/>
          <w:sdt>
            <w:sdtPr>
              <w:tag w:val="goog_rdk_68"/>
            </w:sdtPr>
            <w:sdtContent>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Authentication – policy principles</w:t>
                </w:r>
              </w:p>
            </w:sdtContent>
          </w:sdt>
        </w:tc>
        <w:tc>
          <w:tcPr/>
          <w:sdt>
            <w:sdtPr>
              <w:tag w:val="goog_rdk_69"/>
            </w:sdtPr>
            <w:sdtContent>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tc>
      </w:tr>
      <w:tr>
        <w:trPr>
          <w:trHeight w:val="300" w:hRule="atLeast"/>
        </w:trPr>
        <w:tc>
          <w:tcPr/>
          <w:sdt>
            <w:sdtPr>
              <w:tag w:val="goog_rdk_70"/>
            </w:sdtPr>
            <w:sdtContent>
              <w:p w:rsidR="00000000" w:rsidDel="00000000" w:rsidP="00000000" w:rsidRDefault="00000000" w:rsidRPr="00000000" w14:paraId="0000004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information is required to be provided for a request under this lawful basis?</w:t>
                </w:r>
              </w:p>
            </w:sdtContent>
          </w:sdt>
        </w:tc>
        <w:tc>
          <w:tcPr/>
          <w:sdt>
            <w:sdtPr>
              <w:tag w:val="goog_rdk_71"/>
            </w:sdtPr>
            <w:sdtContent>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Proof of identity and supporting documentation of transaction or consent from domain controller.</w:t>
                </w:r>
              </w:p>
            </w:sdtContent>
          </w:sdt>
        </w:tc>
      </w:tr>
      <w:tr>
        <w:trPr>
          <w:trHeight w:val="300" w:hRule="atLeast"/>
        </w:trPr>
        <w:tc>
          <w:tcPr/>
          <w:sdt>
            <w:sdtPr>
              <w:tag w:val="goog_rdk_72"/>
            </w:sdtPr>
            <w:sdtContent>
              <w:p w:rsidR="00000000" w:rsidDel="00000000" w:rsidP="00000000" w:rsidRDefault="00000000" w:rsidRPr="00000000" w14:paraId="0000004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timing of substantive response</w:t>
                </w:r>
              </w:p>
            </w:sdtContent>
          </w:sdt>
        </w:tc>
        <w:tc>
          <w:tcPr/>
          <w:sdt>
            <w:sdtPr>
              <w:tag w:val="goog_rdk_73"/>
            </w:sdtPr>
            <w:sdtContent>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calendar day</w:t>
                </w:r>
              </w:p>
            </w:sdtContent>
          </w:sdt>
        </w:tc>
      </w:tr>
      <w:tr>
        <w:trPr>
          <w:trHeight w:val="300" w:hRule="atLeast"/>
        </w:trPr>
        <w:tc>
          <w:tcPr/>
          <w:sdt>
            <w:sdtPr>
              <w:tag w:val="goog_rdk_74"/>
            </w:sdtPr>
            <w:sdtContent>
              <w:p w:rsidR="00000000" w:rsidDel="00000000" w:rsidP="00000000" w:rsidRDefault="00000000" w:rsidRPr="00000000" w14:paraId="0000004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automation of substantive response possible / desirable?</w:t>
                </w:r>
              </w:p>
            </w:sdtContent>
          </w:sdt>
        </w:tc>
        <w:tc>
          <w:tcPr/>
          <w:sdt>
            <w:sdtPr>
              <w:tag w:val="goog_rdk_75"/>
            </w:sdtPr>
            <w:sdtContent>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Automation is possible but not desirable.</w:t>
                </w:r>
              </w:p>
            </w:sdtContent>
          </w:sdt>
        </w:tc>
      </w:tr>
      <w:tr>
        <w:trPr>
          <w:trHeight w:val="300" w:hRule="atLeast"/>
        </w:trPr>
        <w:tc>
          <w:tcPr/>
          <w:sdt>
            <w:sdtPr>
              <w:tag w:val="goog_rdk_76"/>
            </w:sdtPr>
            <w:sdtContent>
              <w:p w:rsidR="00000000" w:rsidDel="00000000" w:rsidP="00000000" w:rsidRDefault="00000000" w:rsidRPr="00000000" w14:paraId="0000004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timing of substantive response</w:t>
                </w:r>
              </w:p>
            </w:sdtContent>
          </w:sdt>
        </w:tc>
        <w:tc>
          <w:tcPr/>
          <w:sdt>
            <w:sdtPr>
              <w:tag w:val="goog_rdk_77"/>
            </w:sdtPr>
            <w:sdtContent>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calendar day</w:t>
                </w:r>
              </w:p>
            </w:sdtContent>
          </w:sdt>
        </w:tc>
      </w:tr>
      <w:tr>
        <w:trPr>
          <w:trHeight w:val="300" w:hRule="atLeast"/>
        </w:trPr>
        <w:tc>
          <w:tcPr/>
          <w:sdt>
            <w:sdtPr>
              <w:tag w:val="goog_rdk_78"/>
            </w:sdtPr>
            <w:sdtContent>
              <w:p w:rsidR="00000000" w:rsidDel="00000000" w:rsidP="00000000" w:rsidRDefault="00000000" w:rsidRPr="00000000" w14:paraId="0000004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long can the requestor retain the data disclosed and what are the requirements for destruction following the end of the retention period?</w:t>
                </w:r>
              </w:p>
            </w:sdtContent>
          </w:sdt>
        </w:tc>
        <w:tc>
          <w:tcPr/>
          <w:sdt>
            <w:sdtPr>
              <w:tag w:val="goog_rdk_79"/>
            </w:sdtPr>
            <w:sdtContent>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Article 5 (e) of the GDPR states personal data shall be kept for no longer than is necessary for the purposes for which it is being processed.  </w:t>
                </w:r>
              </w:p>
            </w:sdtContent>
          </w:sdt>
        </w:tc>
      </w:tr>
      <w:tr>
        <w:trPr>
          <w:trHeight w:val="300" w:hRule="atLeast"/>
        </w:trPr>
        <w:tc>
          <w:tcPr/>
          <w:sdt>
            <w:sdtPr>
              <w:tag w:val="goog_rdk_80"/>
            </w:sdtPr>
            <w:sdtContent>
              <w:p w:rsidR="00000000" w:rsidDel="00000000" w:rsidP="00000000" w:rsidRDefault="00000000" w:rsidRPr="00000000" w14:paraId="0000005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w:t>
                </w:r>
              </w:p>
            </w:sdtContent>
          </w:sdt>
        </w:tc>
        <w:tc>
          <w:tcPr/>
          <w:sdt>
            <w:sdtPr>
              <w:tag w:val="goog_rdk_81"/>
            </w:sdtPr>
            <w:sdtContent>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tc>
      </w:tr>
    </w:tbl>
    <w:sdt>
      <w:sdtPr>
        <w:tag w:val="goog_rdk_82"/>
      </w:sdtPr>
      <w:sdtContent>
        <w:p w:rsidR="00000000" w:rsidDel="00000000" w:rsidP="00000000" w:rsidRDefault="00000000" w:rsidRPr="00000000" w14:paraId="00000053">
          <w:pPr>
            <w:rPr/>
          </w:pPr>
          <w:r w:rsidDel="00000000" w:rsidR="00000000" w:rsidRPr="00000000">
            <w:rPr>
              <w:rtl w:val="0"/>
            </w:rPr>
          </w:r>
        </w:p>
      </w:sdtContent>
    </w:sdt>
    <w:sectPr>
      <w:type w:val="continuous"/>
      <w:pgSz w:h="15840" w:w="12240"/>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Times New Roman"/>
  <w:font w:name="Tahoma">
    <w:embedRegular w:fontKey="{00000000-0000-0000-0000-000000000000}" r:id="rId1" w:subsetted="0"/>
    <w:embedBold w:fontKey="{00000000-0000-0000-0000-000000000000}" r:id="rId2" w:subsetted="0"/>
  </w:font>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sdt>
      <w:sdtPr>
        <w:tag w:val="goog_rdk_83"/>
      </w:sdtPr>
      <w:sdtContent>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For each request, the requestor will need to confirm which data elements are necessary. </w:t>
          </w:r>
        </w:p>
      </w:sdtContent>
    </w:sdt>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080" w:hanging="360"/>
      </w:pPr>
      <w:rPr>
        <w:rFonts w:ascii="Noto Sans Symbols" w:cs="Noto Sans Symbols" w:eastAsia="Noto Sans Symbols" w:hAnsi="Noto Sans Symbols"/>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b w:val="0"/>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360" w:hanging="360"/>
      </w:pPr>
      <w:rPr>
        <w:rFonts w:ascii="Calibri" w:cs="Calibri" w:eastAsia="Calibri" w:hAnsi="Calibri"/>
        <w:b w:val="0"/>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E1AF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GridTable5Dark-Accent2">
    <w:name w:val="Grid Table 5 Dark Accent 2"/>
    <w:basedOn w:val="TableNormal"/>
    <w:uiPriority w:val="50"/>
    <w:rsid w:val="00EE1AF7"/>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paragraph" w:styleId="ListParagraph">
    <w:name w:val="List Paragraph"/>
    <w:basedOn w:val="Normal"/>
    <w:uiPriority w:val="34"/>
    <w:qFormat w:val="1"/>
    <w:rsid w:val="00EE1AF7"/>
    <w:pPr>
      <w:ind w:left="720"/>
      <w:contextualSpacing w:val="1"/>
    </w:pPr>
  </w:style>
  <w:style w:type="paragraph" w:styleId="FootnoteText">
    <w:name w:val="footnote text"/>
    <w:basedOn w:val="Normal"/>
    <w:link w:val="FootnoteTextChar"/>
    <w:uiPriority w:val="99"/>
    <w:semiHidden w:val="1"/>
    <w:unhideWhenUsed w:val="1"/>
    <w:rsid w:val="00EE1AF7"/>
    <w:pPr>
      <w:jc w:val="both"/>
    </w:pPr>
    <w:rPr>
      <w:rFonts w:asciiTheme="minorHAnsi" w:cstheme="minorBidi" w:eastAsiaTheme="minorHAnsi" w:hAnsiTheme="minorHAnsi"/>
      <w:sz w:val="20"/>
      <w:szCs w:val="20"/>
      <w:lang w:val="de-DE"/>
    </w:rPr>
  </w:style>
  <w:style w:type="character" w:styleId="FootnoteTextChar" w:customStyle="1">
    <w:name w:val="Footnote Text Char"/>
    <w:basedOn w:val="DefaultParagraphFont"/>
    <w:link w:val="FootnoteText"/>
    <w:uiPriority w:val="99"/>
    <w:semiHidden w:val="1"/>
    <w:rsid w:val="00EE1AF7"/>
    <w:rPr>
      <w:sz w:val="20"/>
      <w:szCs w:val="20"/>
      <w:lang w:val="de-DE"/>
    </w:rPr>
  </w:style>
  <w:style w:type="character" w:styleId="FootnoteReference">
    <w:name w:val="footnote reference"/>
    <w:basedOn w:val="DefaultParagraphFont"/>
    <w:uiPriority w:val="99"/>
    <w:semiHidden w:val="1"/>
    <w:unhideWhenUsed w:val="1"/>
    <w:rsid w:val="00EE1AF7"/>
    <w:rPr>
      <w:vertAlign w:val="superscript"/>
    </w:rPr>
  </w:style>
  <w:style w:type="paragraph" w:styleId="BalloonText">
    <w:name w:val="Balloon Text"/>
    <w:basedOn w:val="Normal"/>
    <w:link w:val="BalloonTextChar"/>
    <w:uiPriority w:val="99"/>
    <w:semiHidden w:val="1"/>
    <w:unhideWhenUsed w:val="1"/>
    <w:rsid w:val="00794B12"/>
    <w:rPr>
      <w:sz w:val="18"/>
      <w:szCs w:val="18"/>
    </w:rPr>
  </w:style>
  <w:style w:type="character" w:styleId="BalloonTextChar" w:customStyle="1">
    <w:name w:val="Balloon Text Char"/>
    <w:basedOn w:val="DefaultParagraphFont"/>
    <w:link w:val="BalloonText"/>
    <w:uiPriority w:val="99"/>
    <w:semiHidden w:val="1"/>
    <w:rsid w:val="00794B12"/>
    <w:rPr>
      <w:rFonts w:ascii="Times New Roman" w:cs="Times New Roman" w:eastAsia="Times New Roman" w:hAnsi="Times New Roman"/>
      <w:sz w:val="18"/>
      <w:szCs w:val="18"/>
    </w:rPr>
  </w:style>
  <w:style w:type="character" w:styleId="CommentReference">
    <w:name w:val="annotation reference"/>
    <w:basedOn w:val="DefaultParagraphFont"/>
    <w:uiPriority w:val="99"/>
    <w:semiHidden w:val="1"/>
    <w:unhideWhenUsed w:val="1"/>
    <w:rsid w:val="00794B12"/>
    <w:rPr>
      <w:sz w:val="16"/>
      <w:szCs w:val="16"/>
    </w:rPr>
  </w:style>
  <w:style w:type="paragraph" w:styleId="CommentText">
    <w:name w:val="annotation text"/>
    <w:basedOn w:val="Normal"/>
    <w:link w:val="CommentTextChar"/>
    <w:uiPriority w:val="99"/>
    <w:semiHidden w:val="1"/>
    <w:unhideWhenUsed w:val="1"/>
    <w:rsid w:val="00794B12"/>
    <w:rPr>
      <w:sz w:val="20"/>
      <w:szCs w:val="20"/>
    </w:rPr>
  </w:style>
  <w:style w:type="character" w:styleId="CommentTextChar" w:customStyle="1">
    <w:name w:val="Comment Text Char"/>
    <w:basedOn w:val="DefaultParagraphFont"/>
    <w:link w:val="CommentText"/>
    <w:uiPriority w:val="99"/>
    <w:semiHidden w:val="1"/>
    <w:rsid w:val="00794B12"/>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794B12"/>
    <w:rPr>
      <w:b w:val="1"/>
      <w:bCs w:val="1"/>
    </w:rPr>
  </w:style>
  <w:style w:type="character" w:styleId="CommentSubjectChar" w:customStyle="1">
    <w:name w:val="Comment Subject Char"/>
    <w:basedOn w:val="CommentTextChar"/>
    <w:link w:val="CommentSubject"/>
    <w:uiPriority w:val="99"/>
    <w:semiHidden w:val="1"/>
    <w:rsid w:val="00794B12"/>
    <w:rPr>
      <w:rFonts w:ascii="Times New Roman" w:cs="Times New Roman" w:eastAsia="Times New Roman" w:hAnsi="Times New Roman"/>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tcPr>
      <w:shd w:color="auto" w:fill="fbe5d5"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ed7d31"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ed7d31"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ed7d31"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ed7d31" w:val="clear"/>
      </w:tcPr>
    </w:tblStylePr>
    <w:tblStylePr w:type="band1Vert">
      <w:tblPr/>
      <w:tcPr>
        <w:shd w:color="auto" w:fill="f7cbac" w:val="clear"/>
      </w:tcPr>
    </w:tblStylePr>
    <w:tblStylePr w:type="band1Horz">
      <w:tblPr/>
      <w:tcPr>
        <w:shd w:color="auto" w:fill="f7cbac" w:val="clear"/>
      </w:tcPr>
    </w:tblStylePr>
  </w:style>
  <w:style w:type="table" w:styleId="a0" w:customStyle="1">
    <w:basedOn w:val="TableNormal"/>
    <w:tblPr>
      <w:tblStyleRowBandSize w:val="1"/>
      <w:tblStyleColBandSize w:val="1"/>
      <w:tblCellMar>
        <w:left w:w="115.0" w:type="dxa"/>
        <w:right w:w="115.0" w:type="dxa"/>
      </w:tblCellMar>
    </w:tblPr>
    <w:tcPr>
      <w:shd w:color="auto" w:fill="fbe5d5" w:val="clear"/>
    </w:tcPr>
    <w:tblStylePr w:type="firstRow">
      <w:rPr>
        <w:b w:val="1"/>
        <w:bCs w:val="1"/>
        <w:color w:val="ffffff" w:themeColor="background1"/>
      </w:rPr>
      <w:tblPr/>
      <w:tcPr>
        <w:tcBorders>
          <w:top w:color="ffffff" w:space="0" w:sz="4" w:val="single"/>
          <w:left w:color="ffffff" w:space="0" w:sz="4" w:val="single"/>
          <w:right w:color="ffffff" w:space="0" w:sz="4" w:val="single"/>
          <w:insideH w:space="0" w:sz="0" w:val="nil"/>
          <w:insideV w:space="0" w:sz="0" w:val="nil"/>
        </w:tcBorders>
        <w:shd w:color="auto" w:fill="ed7d31" w:val="clear"/>
      </w:tcPr>
    </w:tblStylePr>
    <w:tblStylePr w:type="lastRow">
      <w:rPr>
        <w:b w:val="1"/>
        <w:bCs w:val="1"/>
        <w:color w:val="ffffff" w:themeColor="background1"/>
      </w:rPr>
      <w:tblPr/>
      <w:tcPr>
        <w:tcBorders>
          <w:left w:color="ffffff" w:space="0" w:sz="4" w:val="single"/>
          <w:bottom w:color="ffffff" w:space="0" w:sz="4" w:val="single"/>
          <w:right w:color="ffffff" w:space="0" w:sz="4" w:val="single"/>
          <w:insideH w:space="0" w:sz="0" w:val="nil"/>
          <w:insideV w:space="0" w:sz="0" w:val="nil"/>
        </w:tcBorders>
        <w:shd w:color="auto" w:fill="ed7d31" w:val="clear"/>
      </w:tcPr>
    </w:tblStylePr>
    <w:tblStylePr w:type="firstCol">
      <w:rPr>
        <w:b w:val="1"/>
        <w:bCs w:val="1"/>
        <w:color w:val="ffffff" w:themeColor="background1"/>
      </w:rPr>
      <w:tblPr/>
      <w:tcPr>
        <w:tcBorders>
          <w:top w:color="ffffff" w:space="0" w:sz="4" w:val="single"/>
          <w:left w:color="ffffff" w:space="0" w:sz="4" w:val="single"/>
          <w:bottom w:color="ffffff" w:space="0" w:sz="4" w:val="single"/>
          <w:insideV w:space="0" w:sz="0" w:val="nil"/>
        </w:tcBorders>
        <w:shd w:color="auto" w:fill="ed7d31" w:val="clear"/>
      </w:tcPr>
    </w:tblStylePr>
    <w:tblStylePr w:type="lastCol">
      <w:rPr>
        <w:b w:val="1"/>
        <w:bCs w:val="1"/>
        <w:color w:val="ffffff" w:themeColor="background1"/>
      </w:rPr>
      <w:tblPr/>
      <w:tcPr>
        <w:tcBorders>
          <w:top w:color="ffffff" w:space="0" w:sz="4" w:val="single"/>
          <w:bottom w:color="ffffff" w:space="0" w:sz="4" w:val="single"/>
          <w:right w:color="ffffff" w:space="0" w:sz="4" w:val="single"/>
          <w:insideV w:space="0" w:sz="0" w:val="nil"/>
        </w:tcBorders>
        <w:shd w:color="auto" w:fill="ed7d31" w:val="clear"/>
      </w:tcPr>
    </w:tblStylePr>
    <w:tblStylePr w:type="band1Vert">
      <w:tblPr/>
      <w:tcPr>
        <w:shd w:color="auto" w:fill="f7cbac" w:val="clear"/>
      </w:tcPr>
    </w:tblStylePr>
    <w:tblStylePr w:type="band1Horz">
      <w:tblPr/>
      <w:tcPr>
        <w:shd w:color="auto" w:fill="f7cbac" w:val="clear"/>
      </w:tcPr>
    </w:tblStylePr>
  </w:style>
  <w:style w:type="paragraph" w:styleId="NormalWeb">
    <w:name w:val="Normal (Web)"/>
    <w:basedOn w:val="Normal"/>
    <w:uiPriority w:val="99"/>
    <w:unhideWhenUsed w:val="1"/>
    <w:rsid w:val="005575F8"/>
    <w:pPr>
      <w:spacing w:after="100" w:afterAutospacing="1" w:before="100" w:beforeAutospacing="1"/>
    </w:pPr>
  </w:style>
  <w:style w:type="paragraph" w:styleId="Revision">
    <w:name w:val="Revision"/>
    <w:hidden w:val="1"/>
    <w:uiPriority w:val="99"/>
    <w:semiHidden w:val="1"/>
    <w:rsid w:val="008F228F"/>
  </w:style>
  <w:style w:type="character" w:styleId="Hyperlink">
    <w:name w:val="Hyperlink"/>
    <w:basedOn w:val="DefaultParagraphFont"/>
    <w:uiPriority w:val="99"/>
    <w:semiHidden w:val="1"/>
    <w:unhideWhenUsed w:val="1"/>
    <w:rsid w:val="00D90582"/>
    <w:rPr>
      <w:color w:val="0000ff"/>
      <w:u w:val="single"/>
    </w:rPr>
  </w:style>
  <w:style w:type="character" w:styleId="apple-converted-space" w:customStyle="1">
    <w:name w:val="apple-converted-space"/>
    <w:basedOn w:val="DefaultParagraphFont"/>
    <w:rsid w:val="00EB726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be5d5" w:val="clear"/>
    </w:tcPr>
    <w:tblStylePr w:type="band1Horz">
      <w:tcPr>
        <w:shd w:fill="f7cbac" w:val="clear"/>
      </w:tcPr>
    </w:tblStylePr>
    <w:tblStylePr w:type="band1Vert">
      <w:tcPr>
        <w:shd w:fill="f7cbac"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ed7d31"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ed7d31"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ed7d31"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ed7d31" w:val="clear"/>
      </w:tcPr>
    </w:tblStylePr>
  </w:style>
  <w:style w:type="table" w:styleId="Table2">
    <w:basedOn w:val="TableNormal"/>
    <w:tblPr>
      <w:tblStyleRowBandSize w:val="1"/>
      <w:tblStyleColBandSize w:val="1"/>
      <w:tblCellMar>
        <w:top w:w="0.0" w:type="dxa"/>
        <w:left w:w="115.0" w:type="dxa"/>
        <w:bottom w:w="0.0" w:type="dxa"/>
        <w:right w:w="115.0" w:type="dxa"/>
      </w:tblCellMar>
    </w:tblPr>
    <w:tcPr>
      <w:shd w:fill="fbe5d5" w:val="clear"/>
    </w:tcPr>
    <w:tblStylePr w:type="band1Horz">
      <w:tcPr>
        <w:shd w:fill="f7cbac" w:val="clear"/>
      </w:tcPr>
    </w:tblStylePr>
    <w:tblStylePr w:type="band1Vert">
      <w:tcPr>
        <w:shd w:fill="f7cbac"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ed7d31"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ed7d31"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ed7d31"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ed7d31"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pv0wJyAwOq8I4M9gOb01o7jagA==">AMUW2mV3z0jV4rmdqQA60KdvM67v4wxylrXVOx1xtjGuLpWxWwu86nRVOmOQntZUAxpsE2mYnP2fS+3wpAKez6ur0blpWNAztMN/dDoe1SGhF25LMkEf8bIN17vHu7Xncmk1MHXwa8/g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2019-07-03T20:30:00Z</dcterms:created>
</cp:coreProperties>
</file>