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sdt>
      <w:sdtPr>
        <w:tag w:val="goog_rdk_0"/>
      </w:sdtPr>
      <w:sdtContent>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dtContent>
    </w:sdt>
    <w:tbl>
      <w:tblPr>
        <w:tblStyle w:val="Table1"/>
        <w:tblW w:w="9180.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9180"/>
        <w:tblGridChange w:id="0">
          <w:tblGrid>
            <w:gridCol w:w="9180"/>
          </w:tblGrid>
        </w:tblGridChange>
      </w:tblGrid>
      <w:tr>
        <w:trPr>
          <w:trHeight w:val="440" w:hRule="atLeast"/>
        </w:trPr>
        <w:tc>
          <w:tcPr/>
          <w:sdt>
            <w:sdtPr>
              <w:tag w:val="goog_rdk_1"/>
            </w:sdtPr>
            <w:sdtContent>
              <w:p w:rsidR="00000000" w:rsidDel="00000000" w:rsidP="00000000" w:rsidRDefault="00000000" w:rsidRPr="00000000" w14:paraId="00000002">
                <w:pPr>
                  <w:spacing w:after="40" w:before="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BC-&amp;: </w:t>
                </w:r>
                <w:r w:rsidDel="00000000" w:rsidR="00000000" w:rsidRPr="00000000">
                  <w:rPr>
                    <w:rFonts w:ascii="Calibri" w:cs="Calibri" w:eastAsia="Calibri" w:hAnsi="Calibri"/>
                    <w:color w:val="000000"/>
                    <w:sz w:val="22"/>
                    <w:szCs w:val="22"/>
                    <w:rtl w:val="0"/>
                  </w:rPr>
                  <w:t xml:space="preserve">Overarching Purpose:  Resolution of Technical or Operational Issue with a Domain Name</w:t>
                </w:r>
              </w:p>
            </w:sdtContent>
          </w:sdt>
        </w:tc>
      </w:tr>
    </w:tbl>
    <w:sdt>
      <w:sdtPr>
        <w:tag w:val="goog_rdk_2"/>
      </w:sdtPr>
      <w:sdtContent>
        <w:p w:rsidR="00000000" w:rsidDel="00000000" w:rsidP="00000000" w:rsidRDefault="00000000" w:rsidRPr="00000000" w14:paraId="00000003">
          <w:pPr>
            <w:spacing w:after="40" w:before="40" w:lineRule="auto"/>
            <w:rPr>
              <w:b w:val="1"/>
              <w:color w:val="ffffff"/>
            </w:rPr>
            <w:sectPr>
              <w:pgSz w:h="15840" w:w="12240"/>
              <w:pgMar w:bottom="1440" w:top="1440" w:left="1440" w:right="1440" w:header="720" w:footer="720"/>
              <w:pgNumType w:start="1"/>
              <w:cols w:equalWidth="0"/>
            </w:sectPr>
          </w:pPr>
          <w:r w:rsidDel="00000000" w:rsidR="00000000" w:rsidRPr="00000000">
            <w:rPr>
              <w:rtl w:val="0"/>
            </w:rPr>
          </w:r>
        </w:p>
      </w:sdtContent>
    </w:sdt>
    <w:sdt>
      <w:sdtPr>
        <w:tag w:val="goog_rdk_3"/>
      </w:sdtPr>
      <w:sdtContent>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ffff"/>
            </w:rPr>
          </w:pPr>
          <w:r w:rsidDel="00000000" w:rsidR="00000000" w:rsidRPr="00000000">
            <w:rPr>
              <w:rtl w:val="0"/>
            </w:rPr>
          </w:r>
        </w:p>
      </w:sdtContent>
    </w:sdt>
    <w:tbl>
      <w:tblPr>
        <w:tblStyle w:val="Table2"/>
        <w:tblW w:w="9180.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060"/>
        <w:gridCol w:w="6120"/>
        <w:tblGridChange w:id="0">
          <w:tblGrid>
            <w:gridCol w:w="3060"/>
            <w:gridCol w:w="6120"/>
          </w:tblGrid>
        </w:tblGridChange>
      </w:tblGrid>
      <w:tr>
        <w:trPr>
          <w:trHeight w:val="440" w:hRule="atLeast"/>
        </w:trPr>
        <w:tc>
          <w:tcPr>
            <w:gridSpan w:val="2"/>
          </w:tcPr>
          <w:sdt>
            <w:sdtPr>
              <w:tag w:val="goog_rdk_4"/>
            </w:sdtPr>
            <w:sdtContent>
              <w:p w:rsidR="00000000" w:rsidDel="00000000" w:rsidP="00000000" w:rsidRDefault="00000000" w:rsidRPr="00000000" w14:paraId="00000005">
                <w:pPr>
                  <w:spacing w:after="40" w:before="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Use Case: Contacting the Registrant to resolve a Technical or Operational Issue with a Domain Name</w:t>
                </w:r>
              </w:p>
            </w:sdtContent>
          </w:sdt>
        </w:tc>
      </w:tr>
      <w:tr>
        <w:trPr>
          <w:trHeight w:val="300" w:hRule="atLeast"/>
        </w:trPr>
        <w:tc>
          <w:tcPr/>
          <w:sdt>
            <w:sdtPr>
              <w:tag w:val="goog_rdk_6"/>
            </w:sdtPr>
            <w:sdtContent>
              <w:p w:rsidR="00000000" w:rsidDel="00000000" w:rsidP="00000000" w:rsidRDefault="00000000" w:rsidRPr="00000000" w14:paraId="0000000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User Groups (Requestors) / User characteristics </w:t>
                </w:r>
              </w:p>
            </w:sdtContent>
          </w:sdt>
        </w:tc>
        <w:tc>
          <w:tcPr/>
          <w:sdt>
            <w:sdtPr>
              <w:tag w:val="goog_rdk_7"/>
            </w:sdtPr>
            <w:sdtContent>
              <w:p w:rsidR="00000000" w:rsidDel="00000000" w:rsidP="00000000" w:rsidRDefault="00000000" w:rsidRPr="00000000" w14:paraId="00000008">
                <w:pPr>
                  <w:spacing w:after="40" w:before="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Internet end-user, domain name registrant, cybersecurity authorities, law enforcement agencies</w:t>
                </w:r>
              </w:p>
            </w:sdtContent>
          </w:sdt>
        </w:tc>
      </w:tr>
      <w:tr>
        <w:trPr>
          <w:trHeight w:val="300" w:hRule="atLeast"/>
        </w:trPr>
        <w:tc>
          <w:tcPr/>
          <w:sdt>
            <w:sdtPr>
              <w:tag w:val="goog_rdk_8"/>
            </w:sdtPr>
            <w:sdtContent>
              <w:p w:rsidR="00000000" w:rsidDel="00000000" w:rsidP="00000000" w:rsidRDefault="00000000" w:rsidRPr="00000000" w14:paraId="0000000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Why is non-public registration data necessary?</w:t>
                </w:r>
              </w:p>
            </w:sdtContent>
          </w:sdt>
        </w:tc>
        <w:tc>
          <w:tcPr/>
          <w:sdt>
            <w:sdtPr>
              <w:tag w:val="goog_rdk_9"/>
            </w:sdtPr>
            <w:sdtContent>
              <w:p w:rsidR="00000000" w:rsidDel="00000000" w:rsidP="00000000" w:rsidRDefault="00000000" w:rsidRPr="00000000" w14:paraId="0000000A">
                <w:pPr>
                  <w:spacing w:after="40" w:before="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identify a person, role or entity that can help resolve a technical issue with a domain name.</w:t>
                </w:r>
              </w:p>
            </w:sdtContent>
          </w:sdt>
        </w:tc>
      </w:tr>
      <w:tr>
        <w:trPr>
          <w:trHeight w:val="300" w:hRule="atLeast"/>
        </w:trPr>
        <w:tc>
          <w:tcPr/>
          <w:sdt>
            <w:sdtPr>
              <w:tag w:val="goog_rdk_10"/>
            </w:sdtPr>
            <w:sdtContent>
              <w:p w:rsidR="00000000" w:rsidDel="00000000" w:rsidP="00000000" w:rsidRDefault="00000000" w:rsidRPr="00000000" w14:paraId="0000000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elements that may typically be disclosed</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0"/>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sdtContent>
          </w:sdt>
          <w:sdt>
            <w:sdtPr>
              <w:tag w:val="goog_rdk_11"/>
            </w:sdtPr>
            <w:sdtContent>
              <w:p w:rsidR="00000000" w:rsidDel="00000000" w:rsidP="00000000" w:rsidRDefault="00000000" w:rsidRPr="00000000" w14:paraId="0000000C">
                <w:pPr>
                  <w:spacing w:after="40" w:before="40" w:lineRule="auto"/>
                  <w:rPr>
                    <w:rFonts w:ascii="Calibri" w:cs="Calibri" w:eastAsia="Calibri" w:hAnsi="Calibri"/>
                    <w:color w:val="000000"/>
                    <w:sz w:val="22"/>
                    <w:szCs w:val="22"/>
                  </w:rPr>
                </w:pPr>
                <w:r w:rsidDel="00000000" w:rsidR="00000000" w:rsidRPr="00000000">
                  <w:rPr>
                    <w:rtl w:val="0"/>
                  </w:rPr>
                </w:r>
              </w:p>
            </w:sdtContent>
          </w:sdt>
        </w:tc>
        <w:tc>
          <w:tcPr/>
          <w:sdt>
            <w:sdtPr>
              <w:tag w:val="goog_rdk_12"/>
            </w:sdtPr>
            <w:sdtContent>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elements that allow communication in real or near-real time are the most useful in the context of this use case. These include an email address of the registrant or the technical contact, or their telephone numbers. </w:t>
                </w:r>
              </w:p>
            </w:sdtContent>
          </w:sdt>
        </w:tc>
      </w:tr>
      <w:tr>
        <w:trPr>
          <w:trHeight w:val="300" w:hRule="atLeast"/>
        </w:trPr>
        <w:tc>
          <w:tcPr/>
          <w:sdt>
            <w:sdtPr>
              <w:tag w:val="goog_rdk_13"/>
            </w:sdtPr>
            <w:sdtContent>
              <w:p w:rsidR="00000000" w:rsidDel="00000000" w:rsidP="00000000" w:rsidRDefault="00000000" w:rsidRPr="00000000" w14:paraId="0000000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Lawful basis of entity disclosing non-public registration data to the requestor</w:t>
                </w:r>
              </w:p>
            </w:sdtContent>
          </w:sdt>
        </w:tc>
        <w:tc>
          <w:tcPr/>
          <w:sdt>
            <w:sdtPr>
              <w:tag w:val="goog_rdk_14"/>
            </w:sdtPr>
            <w:sdtContent>
              <w:p w:rsidR="00000000" w:rsidDel="00000000" w:rsidP="00000000" w:rsidRDefault="00000000" w:rsidRPr="00000000" w14:paraId="0000000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Disclosure of non-public registration data may be justified under Art. 6 (1) (f) GDPR (legitimate interest), (b) performance of contract), (e) public interest, or (a) consent</w:t>
                </w:r>
              </w:p>
            </w:sdtContent>
          </w:sdt>
          <w:sdt>
            <w:sdtPr>
              <w:tag w:val="goog_rdk_15"/>
            </w:sdtPr>
            <w:sdtContent>
              <w:p w:rsidR="00000000" w:rsidDel="00000000" w:rsidP="00000000" w:rsidRDefault="00000000" w:rsidRPr="00000000" w14:paraId="00000010">
                <w:pPr>
                  <w:rPr>
                    <w:rFonts w:ascii="Calibri" w:cs="Calibri" w:eastAsia="Calibri" w:hAnsi="Calibri"/>
                    <w:sz w:val="22"/>
                    <w:szCs w:val="22"/>
                  </w:rPr>
                </w:pPr>
                <w:r w:rsidDel="00000000" w:rsidR="00000000" w:rsidRPr="00000000">
                  <w:rPr>
                    <w:rtl w:val="0"/>
                  </w:rPr>
                </w:r>
              </w:p>
            </w:sdtContent>
          </w:sdt>
        </w:tc>
      </w:tr>
      <w:tr>
        <w:trPr>
          <w:trHeight w:val="300" w:hRule="atLeast"/>
        </w:trPr>
        <w:tc>
          <w:tcPr/>
          <w:sdt>
            <w:sdtPr>
              <w:tag w:val="goog_rdk_16"/>
            </w:sdtPr>
            <w:sdtContent>
              <w:p w:rsidR="00000000" w:rsidDel="00000000" w:rsidP="00000000" w:rsidRDefault="00000000" w:rsidRPr="00000000" w14:paraId="0000001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Supporting info to determine lawful basis for the requestor</w:t>
                </w:r>
                <w:r w:rsidDel="00000000" w:rsidR="00000000" w:rsidRPr="00000000">
                  <w:rPr>
                    <w:rtl w:val="0"/>
                  </w:rPr>
                </w:r>
              </w:p>
            </w:sdtContent>
          </w:sdt>
        </w:tc>
        <w:tc>
          <w:tcPr/>
          <w:sdt>
            <w:sdtPr>
              <w:tag w:val="goog_rdk_17"/>
            </w:sdtPr>
            <w:sdtContent>
              <w:p w:rsidR="00000000" w:rsidDel="00000000" w:rsidP="00000000" w:rsidRDefault="00000000" w:rsidRPr="00000000" w14:paraId="0000001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Data or documents showing technical or operational issue justifying the legitimate interest for data.</w:t>
                </w:r>
              </w:p>
            </w:sdtContent>
          </w:sdt>
        </w:tc>
      </w:tr>
      <w:tr>
        <w:trPr>
          <w:trHeight w:val="300" w:hRule="atLeast"/>
        </w:trPr>
        <w:tc>
          <w:tcPr/>
          <w:sdt>
            <w:sdtPr>
              <w:tag w:val="goog_rdk_18"/>
            </w:sdtPr>
            <w:sdtContent>
              <w:p w:rsidR="00000000" w:rsidDel="00000000" w:rsidP="00000000" w:rsidRDefault="00000000" w:rsidRPr="00000000" w14:paraId="0000001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Safeguards (requirements) Applicable to the Requestor</w:t>
                </w:r>
              </w:p>
            </w:sdtContent>
          </w:sdt>
        </w:tc>
        <w:tc>
          <w:tcPr/>
          <w:sdt>
            <w:sdtPr>
              <w:tag w:val="goog_rdk_19"/>
            </w:sdtPr>
            <w:sdtContent>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requestor: </w:t>
                </w:r>
              </w:p>
            </w:sdtContent>
          </w:sdt>
          <w:sdt>
            <w:sdtPr>
              <w:tag w:val="goog_rdk_20"/>
            </w:sdtPr>
            <w:sdtContent>
              <w:p w:rsidR="00000000" w:rsidDel="00000000" w:rsidP="00000000" w:rsidRDefault="00000000" w:rsidRPr="00000000" w14:paraId="0000001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process data in compliance with data protection laws such as GDPR, including secure transmission;</w:t>
                </w:r>
              </w:p>
            </w:sdtContent>
          </w:sdt>
          <w:sdt>
            <w:sdtPr>
              <w:tag w:val="goog_rdk_21"/>
            </w:sdtPr>
            <w:sdtContent>
              <w:p w:rsidR="00000000" w:rsidDel="00000000" w:rsidP="00000000" w:rsidRDefault="00000000" w:rsidRPr="00000000" w14:paraId="0000001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only request current data (no data about the domain name registration’s history);</w:t>
                </w:r>
              </w:p>
            </w:sdtContent>
          </w:sdt>
          <w:sdt>
            <w:sdtPr>
              <w:tag w:val="goog_rdk_22"/>
            </w:sdtPr>
            <w:sdtContent>
              <w:p w:rsidR="00000000" w:rsidDel="00000000" w:rsidP="00000000" w:rsidRDefault="00000000" w:rsidRPr="00000000" w14:paraId="0000001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direct requests at the entity that is determined through this policy process to be responsible for the disclosure of the requested data;</w:t>
                </w:r>
              </w:p>
            </w:sdtContent>
          </w:sdt>
          <w:sdt>
            <w:sdtPr>
              <w:tag w:val="goog_rdk_23"/>
            </w:sdtPr>
            <w:sdtContent>
              <w:p w:rsidR="00000000" w:rsidDel="00000000" w:rsidP="00000000" w:rsidRDefault="00000000" w:rsidRPr="00000000" w14:paraId="0000001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provide representations about use of requested data which may be subject to auditing.</w:t>
                </w:r>
              </w:p>
            </w:sdtContent>
          </w:sdt>
          <w:sdt>
            <w:sdtPr>
              <w:tag w:val="goog_rdk_24"/>
            </w:sdtPr>
            <w:sdtContent>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dtContent>
          </w:sdt>
        </w:tc>
      </w:tr>
      <w:tr>
        <w:trPr>
          <w:trHeight w:val="300" w:hRule="atLeast"/>
        </w:trPr>
        <w:tc>
          <w:tcPr/>
          <w:sdt>
            <w:sdtPr>
              <w:tag w:val="goog_rdk_25"/>
            </w:sdtPr>
            <w:sdtContent>
              <w:p w:rsidR="00000000" w:rsidDel="00000000" w:rsidP="00000000" w:rsidRDefault="00000000" w:rsidRPr="00000000" w14:paraId="0000001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Safeguards (requirements) applicable to the Entity Disclosing the Nonpublic Registration Data</w:t>
                </w:r>
              </w:p>
            </w:sdtContent>
          </w:sdt>
        </w:tc>
        <w:tc>
          <w:tcPr/>
          <w:sdt>
            <w:sdtPr>
              <w:tag w:val="goog_rdk_26"/>
            </w:sdtPr>
            <w:sdtContent>
              <w:p w:rsidR="00000000" w:rsidDel="00000000" w:rsidP="00000000" w:rsidRDefault="00000000" w:rsidRPr="00000000" w14:paraId="0000001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entity disclosing the data:</w:t>
                </w:r>
              </w:p>
            </w:sdtContent>
          </w:sdt>
          <w:sdt>
            <w:sdtPr>
              <w:tag w:val="goog_rdk_27"/>
            </w:sdtPr>
            <w:sdtContent>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supply only the data requested by the requestor;</w:t>
                </w:r>
              </w:p>
            </w:sdtContent>
          </w:sdt>
          <w:sdt>
            <w:sdtPr>
              <w:tag w:val="goog_rdk_28"/>
            </w:sdtPr>
            <w:sdtContent>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return current data in response to a request;</w:t>
                </w:r>
              </w:p>
            </w:sdtContent>
          </w:sdt>
          <w:sdt>
            <w:sdtPr>
              <w:tag w:val="goog_rdk_29"/>
            </w:sdtPr>
            <w:sdtContent>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May take measures to limit the number of requests if it is clear that the requests are not legitimate and of an abusive nature;</w:t>
                </w:r>
              </w:p>
            </w:sdtContent>
          </w:sdt>
          <w:sdt>
            <w:sdtPr>
              <w:tag w:val="goog_rdk_30"/>
            </w:sdtPr>
            <w:sdtContent>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monitor the system and take appropriate action, such as revoking or limiting access, to protect against abuse or misuse of the system.</w:t>
                </w:r>
              </w:p>
            </w:sdtContent>
          </w:sdt>
        </w:tc>
      </w:tr>
      <w:tr>
        <w:trPr>
          <w:trHeight w:val="300" w:hRule="atLeast"/>
        </w:trPr>
        <w:tc>
          <w:tcPr/>
          <w:sdt>
            <w:sdtPr>
              <w:tag w:val="goog_rdk_31"/>
            </w:sdtPr>
            <w:sdtContent>
              <w:p w:rsidR="00000000" w:rsidDel="00000000" w:rsidP="00000000" w:rsidRDefault="00000000" w:rsidRPr="00000000" w14:paraId="0000002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Safeguards (requirements) applicable to the data subject</w:t>
                </w:r>
              </w:p>
            </w:sdtContent>
          </w:sdt>
        </w:tc>
        <w:tc>
          <w:tcPr/>
          <w:sdt>
            <w:sdtPr>
              <w:tag w:val="goog_rdk_32"/>
            </w:sdtPr>
            <w:sdtContent>
              <w:p w:rsidR="00000000" w:rsidDel="00000000" w:rsidP="00000000" w:rsidRDefault="00000000" w:rsidRPr="00000000" w14:paraId="00000021">
                <w:pPr>
                  <w:ind w:left="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Registered Name Holder (data subject) must have the right: </w:t>
                </w:r>
              </w:p>
            </w:sdtContent>
          </w:sdt>
          <w:sdt>
            <w:sdtPr>
              <w:tag w:val="goog_rdk_33"/>
            </w:sdtPr>
            <w:sdtContent>
              <w:p w:rsidR="00000000" w:rsidDel="00000000" w:rsidP="00000000" w:rsidRDefault="00000000" w:rsidRPr="00000000" w14:paraId="00000022">
                <w:pPr>
                  <w:ind w:left="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to obtain, on </w:t>
                </w:r>
                <w:r w:rsidDel="00000000" w:rsidR="00000000" w:rsidRPr="00000000">
                  <w:rPr>
                    <w:rFonts w:ascii="Calibri" w:cs="Calibri" w:eastAsia="Calibri" w:hAnsi="Calibri"/>
                    <w:color w:val="000000"/>
                    <w:sz w:val="22"/>
                    <w:szCs w:val="22"/>
                    <w:highlight w:val="yellow"/>
                    <w:rtl w:val="0"/>
                  </w:rPr>
                  <w:t xml:space="preserve">reasonable</w:t>
                </w:r>
                <w:r w:rsidDel="00000000" w:rsidR="00000000" w:rsidRPr="00000000">
                  <w:rPr>
                    <w:rFonts w:ascii="Calibri" w:cs="Calibri" w:eastAsia="Calibri" w:hAnsi="Calibri"/>
                    <w:color w:val="000000"/>
                    <w:sz w:val="22"/>
                    <w:szCs w:val="22"/>
                    <w:rtl w:val="0"/>
                  </w:rPr>
                  <w:t xml:space="preserve"> request, confirmation of the processing of personal data relating to them and the communication in an intelligible form of the data processed;</w:t>
                </w:r>
              </w:p>
            </w:sdtContent>
          </w:sdt>
          <w:sdt>
            <w:sdtPr>
              <w:tag w:val="goog_rdk_34"/>
            </w:sdtPr>
            <w:sdtContent>
              <w:p w:rsidR="00000000" w:rsidDel="00000000" w:rsidP="00000000" w:rsidRDefault="00000000" w:rsidRPr="00000000" w14:paraId="00000023">
                <w:pPr>
                  <w:ind w:left="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to obtain, on </w:t>
                </w:r>
                <w:r w:rsidDel="00000000" w:rsidR="00000000" w:rsidRPr="00000000">
                  <w:rPr>
                    <w:rFonts w:ascii="Calibri" w:cs="Calibri" w:eastAsia="Calibri" w:hAnsi="Calibri"/>
                    <w:color w:val="000000"/>
                    <w:sz w:val="22"/>
                    <w:szCs w:val="22"/>
                    <w:highlight w:val="yellow"/>
                    <w:rtl w:val="0"/>
                  </w:rPr>
                  <w:t xml:space="preserve">reasonable</w:t>
                </w:r>
                <w:r w:rsidDel="00000000" w:rsidR="00000000" w:rsidRPr="00000000">
                  <w:rPr>
                    <w:rFonts w:ascii="Calibri" w:cs="Calibri" w:eastAsia="Calibri" w:hAnsi="Calibri"/>
                    <w:color w:val="000000"/>
                    <w:sz w:val="22"/>
                    <w:szCs w:val="22"/>
                    <w:rtl w:val="0"/>
                  </w:rPr>
                  <w:t xml:space="preserve"> request, rectification or erasure, as the case may be, of inaccurate data or data that is being, or has been, processed contrary to the provisions of this Protocol, </w:t>
                </w:r>
                <w:r w:rsidDel="00000000" w:rsidR="00000000" w:rsidRPr="00000000">
                  <w:rPr>
                    <w:rFonts w:ascii="Calibri" w:cs="Calibri" w:eastAsia="Calibri" w:hAnsi="Calibri"/>
                    <w:color w:val="000000"/>
                    <w:sz w:val="22"/>
                    <w:szCs w:val="22"/>
                    <w:highlight w:val="yellow"/>
                    <w:rtl w:val="0"/>
                  </w:rPr>
                  <w:t xml:space="preserve">but in the case of erasure, except where</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color w:val="000000"/>
                    <w:sz w:val="22"/>
                    <w:szCs w:val="22"/>
                    <w:highlight w:val="yellow"/>
                    <w:rtl w:val="0"/>
                  </w:rPr>
                  <w:t xml:space="preserve">that processing is allowed, necessary, or required under applicable law for:</w:t>
                </w:r>
                <w:r w:rsidDel="00000000" w:rsidR="00000000" w:rsidRPr="00000000">
                  <w:rPr>
                    <w:rtl w:val="0"/>
                  </w:rPr>
                </w:r>
              </w:p>
            </w:sdtContent>
          </w:sdt>
          <w:sdt>
            <w:sdtPr>
              <w:tag w:val="goog_rdk_35"/>
            </w:sdtPr>
            <w:sdtContent>
              <w:p w:rsidR="00000000" w:rsidDel="00000000" w:rsidP="00000000" w:rsidRDefault="00000000" w:rsidRPr="00000000" w14:paraId="00000024">
                <w:pPr>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w:t>
                </w:r>
                <w:r w:rsidDel="00000000" w:rsidR="00000000" w:rsidRPr="00000000">
                  <w:rPr>
                    <w:color w:val="000000"/>
                    <w:sz w:val="14"/>
                    <w:szCs w:val="14"/>
                    <w:rtl w:val="0"/>
                  </w:rPr>
                  <w:t xml:space="preserve">       </w:t>
                </w:r>
                <w:r w:rsidDel="00000000" w:rsidR="00000000" w:rsidRPr="00000000">
                  <w:rPr>
                    <w:rFonts w:ascii="Calibri" w:cs="Calibri" w:eastAsia="Calibri" w:hAnsi="Calibri"/>
                    <w:color w:val="000000"/>
                    <w:sz w:val="22"/>
                    <w:szCs w:val="22"/>
                    <w:highlight w:val="yellow"/>
                    <w:rtl w:val="0"/>
                  </w:rPr>
                  <w:t xml:space="preserve">exercising the right of freedom of expression and information;</w:t>
                </w:r>
                <w:r w:rsidDel="00000000" w:rsidR="00000000" w:rsidRPr="00000000">
                  <w:rPr>
                    <w:rtl w:val="0"/>
                  </w:rPr>
                </w:r>
              </w:p>
            </w:sdtContent>
          </w:sdt>
          <w:sdt>
            <w:sdtPr>
              <w:tag w:val="goog_rdk_36"/>
            </w:sdtPr>
            <w:sdtContent>
              <w:p w:rsidR="00000000" w:rsidDel="00000000" w:rsidP="00000000" w:rsidRDefault="00000000" w:rsidRPr="00000000" w14:paraId="00000025">
                <w:pPr>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w:t>
                </w:r>
                <w:r w:rsidDel="00000000" w:rsidR="00000000" w:rsidRPr="00000000">
                  <w:rPr>
                    <w:color w:val="000000"/>
                    <w:sz w:val="14"/>
                    <w:szCs w:val="14"/>
                    <w:rtl w:val="0"/>
                  </w:rPr>
                  <w:t xml:space="preserve">       </w:t>
                </w:r>
                <w:r w:rsidDel="00000000" w:rsidR="00000000" w:rsidRPr="00000000">
                  <w:rPr>
                    <w:rFonts w:ascii="Calibri" w:cs="Calibri" w:eastAsia="Calibri" w:hAnsi="Calibri"/>
                    <w:color w:val="000000"/>
                    <w:sz w:val="22"/>
                    <w:szCs w:val="22"/>
                    <w:highlight w:val="yellow"/>
                    <w:rtl w:val="0"/>
                  </w:rPr>
                  <w:t xml:space="preserve">compliance with a legal obligation(s) for the performance of a task carried out in the public interest;</w:t>
                </w:r>
                <w:r w:rsidDel="00000000" w:rsidR="00000000" w:rsidRPr="00000000">
                  <w:rPr>
                    <w:rtl w:val="0"/>
                  </w:rPr>
                </w:r>
              </w:p>
            </w:sdtContent>
          </w:sdt>
          <w:sdt>
            <w:sdtPr>
              <w:tag w:val="goog_rdk_37"/>
            </w:sdtPr>
            <w:sdtContent>
              <w:p w:rsidR="00000000" w:rsidDel="00000000" w:rsidP="00000000" w:rsidRDefault="00000000" w:rsidRPr="00000000" w14:paraId="00000026">
                <w:pPr>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w:t>
                </w:r>
                <w:r w:rsidDel="00000000" w:rsidR="00000000" w:rsidRPr="00000000">
                  <w:rPr>
                    <w:color w:val="000000"/>
                    <w:sz w:val="14"/>
                    <w:szCs w:val="14"/>
                    <w:rtl w:val="0"/>
                  </w:rPr>
                  <w:t xml:space="preserve">       </w:t>
                </w:r>
                <w:r w:rsidDel="00000000" w:rsidR="00000000" w:rsidRPr="00000000">
                  <w:rPr>
                    <w:rFonts w:ascii="Calibri" w:cs="Calibri" w:eastAsia="Calibri" w:hAnsi="Calibri"/>
                    <w:color w:val="000000"/>
                    <w:sz w:val="22"/>
                    <w:szCs w:val="22"/>
                    <w:highlight w:val="yellow"/>
                    <w:rtl w:val="0"/>
                  </w:rPr>
                  <w:t xml:space="preserve">the exercise of official authority vested in the controller;</w:t>
                </w:r>
                <w:r w:rsidDel="00000000" w:rsidR="00000000" w:rsidRPr="00000000">
                  <w:rPr>
                    <w:rtl w:val="0"/>
                  </w:rPr>
                </w:r>
              </w:p>
            </w:sdtContent>
          </w:sdt>
          <w:sdt>
            <w:sdtPr>
              <w:tag w:val="goog_rdk_38"/>
            </w:sdtPr>
            <w:sdtContent>
              <w:p w:rsidR="00000000" w:rsidDel="00000000" w:rsidP="00000000" w:rsidRDefault="00000000" w:rsidRPr="00000000" w14:paraId="00000027">
                <w:pPr>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w:t>
                </w:r>
                <w:r w:rsidDel="00000000" w:rsidR="00000000" w:rsidRPr="00000000">
                  <w:rPr>
                    <w:color w:val="000000"/>
                    <w:sz w:val="14"/>
                    <w:szCs w:val="14"/>
                    <w:rtl w:val="0"/>
                  </w:rPr>
                  <w:t xml:space="preserve">       </w:t>
                </w:r>
                <w:r w:rsidDel="00000000" w:rsidR="00000000" w:rsidRPr="00000000">
                  <w:rPr>
                    <w:rFonts w:ascii="Calibri" w:cs="Calibri" w:eastAsia="Calibri" w:hAnsi="Calibri"/>
                    <w:color w:val="000000"/>
                    <w:sz w:val="22"/>
                    <w:szCs w:val="22"/>
                    <w:highlight w:val="yellow"/>
                    <w:rtl w:val="0"/>
                  </w:rPr>
                  <w:t xml:space="preserve">reasons of public interest in the area of public health;</w:t>
                </w:r>
                <w:r w:rsidDel="00000000" w:rsidR="00000000" w:rsidRPr="00000000">
                  <w:rPr>
                    <w:rtl w:val="0"/>
                  </w:rPr>
                </w:r>
              </w:p>
            </w:sdtContent>
          </w:sdt>
          <w:sdt>
            <w:sdtPr>
              <w:tag w:val="goog_rdk_39"/>
            </w:sdtPr>
            <w:sdtContent>
              <w:p w:rsidR="00000000" w:rsidDel="00000000" w:rsidP="00000000" w:rsidRDefault="00000000" w:rsidRPr="00000000" w14:paraId="00000028">
                <w:pPr>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w:t>
                </w:r>
                <w:r w:rsidDel="00000000" w:rsidR="00000000" w:rsidRPr="00000000">
                  <w:rPr>
                    <w:color w:val="000000"/>
                    <w:sz w:val="14"/>
                    <w:szCs w:val="14"/>
                    <w:rtl w:val="0"/>
                  </w:rPr>
                  <w:t xml:space="preserve">       </w:t>
                </w:r>
                <w:r w:rsidDel="00000000" w:rsidR="00000000" w:rsidRPr="00000000">
                  <w:rPr>
                    <w:rFonts w:ascii="Calibri" w:cs="Calibri" w:eastAsia="Calibri" w:hAnsi="Calibri"/>
                    <w:color w:val="000000"/>
                    <w:sz w:val="22"/>
                    <w:szCs w:val="22"/>
                    <w:highlight w:val="yellow"/>
                    <w:rtl w:val="0"/>
                  </w:rPr>
                  <w:t xml:space="preserve">archiving purposes in the public interest, scientific or historical research purposes or statistical purposes; or</w:t>
                </w:r>
                <w:r w:rsidDel="00000000" w:rsidR="00000000" w:rsidRPr="00000000">
                  <w:rPr>
                    <w:rtl w:val="0"/>
                  </w:rPr>
                </w:r>
              </w:p>
            </w:sdtContent>
          </w:sdt>
          <w:sdt>
            <w:sdtPr>
              <w:tag w:val="goog_rdk_40"/>
            </w:sdtPr>
            <w:sdtContent>
              <w:p w:rsidR="00000000" w:rsidDel="00000000" w:rsidP="00000000" w:rsidRDefault="00000000" w:rsidRPr="00000000" w14:paraId="00000029">
                <w:pPr>
                  <w:ind w:left="1440" w:hanging="360"/>
                  <w:rPr>
                    <w:rFonts w:ascii="Calibri" w:cs="Calibri" w:eastAsia="Calibri" w:hAnsi="Calibri"/>
                    <w:color w:val="000000"/>
                    <w:sz w:val="22"/>
                    <w:szCs w:val="22"/>
                    <w:highlight w:val="yellow"/>
                  </w:rPr>
                </w:pPr>
                <w:r w:rsidDel="00000000" w:rsidR="00000000" w:rsidRPr="00000000">
                  <w:rPr>
                    <w:rFonts w:ascii="Calibri" w:cs="Calibri" w:eastAsia="Calibri" w:hAnsi="Calibri"/>
                    <w:color w:val="000000"/>
                    <w:sz w:val="22"/>
                    <w:szCs w:val="22"/>
                    <w:rtl w:val="0"/>
                  </w:rPr>
                  <w:t xml:space="preserve">6.</w:t>
                </w:r>
                <w:r w:rsidDel="00000000" w:rsidR="00000000" w:rsidRPr="00000000">
                  <w:rPr>
                    <w:color w:val="000000"/>
                    <w:sz w:val="14"/>
                    <w:szCs w:val="14"/>
                    <w:rtl w:val="0"/>
                  </w:rPr>
                  <w:t xml:space="preserve">       </w:t>
                </w:r>
                <w:r w:rsidDel="00000000" w:rsidR="00000000" w:rsidRPr="00000000">
                  <w:rPr>
                    <w:rFonts w:ascii="Calibri" w:cs="Calibri" w:eastAsia="Calibri" w:hAnsi="Calibri"/>
                    <w:color w:val="000000"/>
                    <w:sz w:val="22"/>
                    <w:szCs w:val="22"/>
                    <w:highlight w:val="yellow"/>
                    <w:rtl w:val="0"/>
                  </w:rPr>
                  <w:t xml:space="preserve">the establishment, exercise or defence of legal claims.</w:t>
                </w:r>
              </w:p>
            </w:sdtContent>
          </w:sdt>
          <w:sdt>
            <w:sdtPr>
              <w:tag w:val="goog_rdk_41"/>
            </w:sdtPr>
            <w:sdtContent>
              <w:p w:rsidR="00000000" w:rsidDel="00000000" w:rsidP="00000000" w:rsidRDefault="00000000" w:rsidRPr="00000000" w14:paraId="0000002A">
                <w:pPr>
                  <w:ind w:left="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not to be subject to a decision significantly affecting them based solely on an automated processing of data unless this is:</w:t>
                </w:r>
              </w:p>
            </w:sdtContent>
          </w:sdt>
          <w:sdt>
            <w:sdtPr>
              <w:tag w:val="goog_rdk_42"/>
            </w:sdtPr>
            <w:sdtContent>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8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authorized by law providing appropriate safeguards, including at least the right to obtain human intervention;</w:t>
                </w:r>
              </w:p>
            </w:sdtContent>
          </w:sdt>
          <w:sdt>
            <w:sdtPr>
              <w:tag w:val="goog_rdk_43"/>
            </w:sdtPr>
            <w:sdtContent>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8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necessary for entering into, or performance of, a contract between the data subject and a data controller;</w:t>
                </w:r>
                <w:r w:rsidDel="00000000" w:rsidR="00000000" w:rsidRPr="00000000">
                  <w:rPr>
                    <w:rtl w:val="0"/>
                  </w:rPr>
                </w:r>
              </w:p>
            </w:sdtContent>
          </w:sdt>
          <w:sdt>
            <w:sdtPr>
              <w:tag w:val="goog_rdk_44"/>
            </w:sdtPr>
            <w:sdtContent>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8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authorized by applicable law to which the controller is subject and which also lays down suitable measures to safeguard the data subject's rights and freedoms and legitimate interests; or </w:t>
                </w:r>
                <w:r w:rsidDel="00000000" w:rsidR="00000000" w:rsidRPr="00000000">
                  <w:rPr>
                    <w:rtl w:val="0"/>
                  </w:rPr>
                </w:r>
              </w:p>
            </w:sdtContent>
          </w:sdt>
          <w:sdt>
            <w:sdtPr>
              <w:tag w:val="goog_rdk_45"/>
            </w:sdtPr>
            <w:sdtContent>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8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based on the data subject's explicit consent.</w:t>
                </w:r>
                <w:r w:rsidDel="00000000" w:rsidR="00000000" w:rsidRPr="00000000">
                  <w:rPr>
                    <w:rtl w:val="0"/>
                  </w:rPr>
                </w:r>
              </w:p>
            </w:sdtContent>
          </w:sdt>
          <w:sdt>
            <w:sdtPr>
              <w:tag w:val="goog_rdk_46"/>
            </w:sdtPr>
            <w:sdtContent>
              <w:p w:rsidR="00000000" w:rsidDel="00000000" w:rsidP="00000000" w:rsidRDefault="00000000" w:rsidRPr="00000000" w14:paraId="0000002F">
                <w:pPr>
                  <w:ind w:left="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highlight w:val="yellow"/>
                    <w:rtl w:val="0"/>
                  </w:rPr>
                  <w:t xml:space="preserve"> </w:t>
                </w:r>
                <w:r w:rsidDel="00000000" w:rsidR="00000000" w:rsidRPr="00000000">
                  <w:rPr>
                    <w:rtl w:val="0"/>
                  </w:rPr>
                </w:r>
              </w:p>
            </w:sdtContent>
          </w:sdt>
          <w:sdt>
            <w:sdtPr>
              <w:tag w:val="goog_rdk_47"/>
            </w:sdtPr>
            <w:sdtContent>
              <w:p w:rsidR="00000000" w:rsidDel="00000000" w:rsidP="00000000" w:rsidRDefault="00000000" w:rsidRPr="00000000" w14:paraId="00000030">
                <w:pPr>
                  <w:ind w:left="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highlight w:val="yellow"/>
                    <w:rtl w:val="0"/>
                  </w:rPr>
                  <w:t xml:space="preserve">Note that whether decisions referred to herein can be made shall always take into account whether applicable law allows for explicit consent or processing necessary for reasons of substantial public interest.</w:t>
                </w:r>
                <w:r w:rsidDel="00000000" w:rsidR="00000000" w:rsidRPr="00000000">
                  <w:rPr>
                    <w:rtl w:val="0"/>
                  </w:rPr>
                </w:r>
              </w:p>
            </w:sdtContent>
          </w:sdt>
          <w:sdt>
            <w:sdtPr>
              <w:tag w:val="goog_rdk_48"/>
            </w:sdtPr>
            <w:sdtContent>
              <w:p w:rsidR="00000000" w:rsidDel="00000000" w:rsidP="00000000" w:rsidRDefault="00000000" w:rsidRPr="00000000" w14:paraId="00000031">
                <w:pPr>
                  <w:ind w:left="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sdtContent>
          </w:sdt>
          <w:sdt>
            <w:sdtPr>
              <w:tag w:val="goog_rdk_49"/>
            </w:sdtPr>
            <w:sdtContent>
              <w:p w:rsidR="00000000" w:rsidDel="00000000" w:rsidP="00000000" w:rsidRDefault="00000000" w:rsidRPr="00000000" w14:paraId="00000032">
                <w:pPr>
                  <w:ind w:left="720"/>
                  <w:rPr>
                    <w:rFonts w:ascii="Calibri" w:cs="Calibri" w:eastAsia="Calibri" w:hAnsi="Calibri"/>
                    <w:color w:val="000000"/>
                    <w:sz w:val="22"/>
                    <w:szCs w:val="22"/>
                  </w:rPr>
                </w:pPr>
                <w:bookmarkStart w:colFirst="0" w:colLast="0" w:name="_heading=h.30j0zll" w:id="0"/>
                <w:bookmarkEnd w:id="0"/>
                <w:r w:rsidDel="00000000" w:rsidR="00000000" w:rsidRPr="00000000">
                  <w:rPr>
                    <w:rFonts w:ascii="Calibri" w:cs="Calibri" w:eastAsia="Calibri" w:hAnsi="Calibri"/>
                    <w:color w:val="000000"/>
                    <w:sz w:val="22"/>
                    <w:szCs w:val="22"/>
                    <w:rtl w:val="0"/>
                  </w:rPr>
                  <w:t xml:space="preserve">•             to lodge a complaint with the supervisory authority, or authorities, when they consider that their data protection rights have been violated</w:t>
                </w:r>
              </w:p>
            </w:sdtContent>
          </w:sdt>
          <w:sdt>
            <w:sdtPr>
              <w:tag w:val="goog_rdk_50"/>
            </w:sdtPr>
            <w:sdtContent>
              <w:p w:rsidR="00000000" w:rsidDel="00000000" w:rsidP="00000000" w:rsidRDefault="00000000" w:rsidRPr="00000000" w14:paraId="00000033">
                <w:pPr>
                  <w:ind w:left="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to an effective remedy before an independent and impartial tribunal when they consider that their data protection rights have been violated.</w:t>
                </w:r>
              </w:p>
            </w:sdtContent>
          </w:sdt>
          <w:sdt>
            <w:sdtPr>
              <w:tag w:val="goog_rdk_51"/>
            </w:sdtPr>
            <w:sdtContent>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sdtContent>
          </w:sdt>
          <w:sdt>
            <w:sdtPr>
              <w:tag w:val="goog_rdk_52"/>
            </w:sdtPr>
            <w:sdtContent>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Note that the right to object will be limited in instances where applicable law allows for (1) the controller to demonstrate compelling legitimate grounds for the processing that override the interests, rights and freedoms of the data subject or (2) for the establishment, exercise or defence of legal claims or (3) processing where it is necessary for the performance of a task carried out for reasons of public interest.</w:t>
                </w:r>
                <w:r w:rsidDel="00000000" w:rsidR="00000000" w:rsidRPr="00000000">
                  <w:rPr>
                    <w:rtl w:val="0"/>
                  </w:rPr>
                </w:r>
              </w:p>
            </w:sdtContent>
          </w:sdt>
          <w:sdt>
            <w:sdtPr>
              <w:tag w:val="goog_rdk_53"/>
            </w:sdtPr>
            <w:sdtContent>
              <w:p w:rsidR="00000000" w:rsidDel="00000000" w:rsidP="00000000" w:rsidRDefault="00000000" w:rsidRPr="00000000" w14:paraId="00000036">
                <w:pPr>
                  <w:ind w:left="1440" w:hanging="360"/>
                  <w:rPr>
                    <w:rFonts w:ascii="Calibri" w:cs="Calibri" w:eastAsia="Calibri" w:hAnsi="Calibri"/>
                    <w:color w:val="000000"/>
                    <w:sz w:val="22"/>
                    <w:szCs w:val="22"/>
                  </w:rPr>
                </w:pPr>
                <w:r w:rsidDel="00000000" w:rsidR="00000000" w:rsidRPr="00000000">
                  <w:rPr>
                    <w:rtl w:val="0"/>
                  </w:rPr>
                </w:r>
              </w:p>
            </w:sdtContent>
          </w:sdt>
          <w:sdt>
            <w:sdtPr>
              <w:tag w:val="goog_rdk_54"/>
            </w:sdtPr>
            <w:sdtContent>
              <w:p w:rsidR="00000000" w:rsidDel="00000000" w:rsidP="00000000" w:rsidRDefault="00000000" w:rsidRPr="00000000" w14:paraId="00000037">
                <w:pPr>
                  <w:ind w:left="360"/>
                  <w:rPr>
                    <w:rFonts w:ascii="Calibri" w:cs="Calibri" w:eastAsia="Calibri" w:hAnsi="Calibri"/>
                  </w:rPr>
                </w:pPr>
                <w:r w:rsidDel="00000000" w:rsidR="00000000" w:rsidRPr="00000000">
                  <w:rPr>
                    <w:rtl w:val="0"/>
                  </w:rPr>
                </w:r>
              </w:p>
            </w:sdtContent>
          </w:sdt>
        </w:tc>
      </w:tr>
      <w:tr>
        <w:trPr>
          <w:trHeight w:val="300" w:hRule="atLeast"/>
        </w:trPr>
        <w:tc>
          <w:tcPr/>
          <w:sdt>
            <w:sdtPr>
              <w:tag w:val="goog_rdk_55"/>
            </w:sdtPr>
            <w:sdtContent>
              <w:p w:rsidR="00000000" w:rsidDel="00000000" w:rsidP="00000000" w:rsidRDefault="00000000" w:rsidRPr="00000000" w14:paraId="0000003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Safeguards (requirements) applicable to the access/disclosure system</w:t>
                </w:r>
              </w:p>
            </w:sdtContent>
          </w:sdt>
        </w:tc>
        <w:tc>
          <w:tcPr/>
          <w:sdt>
            <w:sdtPr>
              <w:tag w:val="goog_rdk_56"/>
            </w:sdtPr>
            <w:sdtContent>
              <w:p w:rsidR="00000000" w:rsidDel="00000000" w:rsidP="00000000" w:rsidRDefault="00000000" w:rsidRPr="00000000" w14:paraId="0000003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Requests must only refer to current registration data (historical registration data will not be made available via this mechanism).</w:t>
                </w:r>
              </w:p>
            </w:sdtContent>
          </w:sdt>
          <w:sdt>
            <w:sdtPr>
              <w:tag w:val="goog_rdk_57"/>
            </w:sdtPr>
            <w:sdtContent>
              <w:p w:rsidR="00000000" w:rsidDel="00000000" w:rsidP="00000000" w:rsidRDefault="00000000" w:rsidRPr="00000000" w14:paraId="0000003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Contracted parties are only responsible for disclosing nonpublic registration data for the domain names under their management.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sdtContent>
          </w:sdt>
          <w:sdt>
            <w:sdtPr>
              <w:tag w:val="goog_rdk_58"/>
            </w:sdtPr>
            <w:sdtContent>
              <w:p w:rsidR="00000000" w:rsidDel="00000000" w:rsidP="00000000" w:rsidRDefault="00000000" w:rsidRPr="00000000" w14:paraId="0000003B">
                <w:pPr>
                  <w:rPr>
                    <w:rFonts w:ascii="Calibri" w:cs="Calibri" w:eastAsia="Calibri" w:hAnsi="Calibri"/>
                    <w:sz w:val="22"/>
                    <w:szCs w:val="22"/>
                  </w:rPr>
                </w:pPr>
                <w:r w:rsidDel="00000000" w:rsidR="00000000" w:rsidRPr="00000000">
                  <w:rPr>
                    <w:rtl w:val="0"/>
                  </w:rPr>
                </w:r>
              </w:p>
            </w:sdtContent>
          </w:sdt>
        </w:tc>
      </w:tr>
      <w:tr>
        <w:trPr>
          <w:trHeight w:val="300" w:hRule="atLeast"/>
        </w:trPr>
        <w:tc>
          <w:tcPr/>
          <w:sdt>
            <w:sdtPr>
              <w:tag w:val="goog_rdk_59"/>
            </w:sdtPr>
            <w:sdtContent>
              <w:p w:rsidR="00000000" w:rsidDel="00000000" w:rsidP="00000000" w:rsidRDefault="00000000" w:rsidRPr="00000000" w14:paraId="0000003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Accreditation of user group(s) required (Y/N) – if Y, define policy principles</w:t>
                </w:r>
              </w:p>
            </w:sdtContent>
          </w:sdt>
        </w:tc>
        <w:tc>
          <w:tcPr/>
          <w:sdt>
            <w:sdtPr>
              <w:tag w:val="goog_rdk_60"/>
            </w:sdtPr>
            <w:sdtContent>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Individuals or entities seeking accreditation as a member of this user group must also:</w:t>
                </w:r>
              </w:p>
            </w:sdtContent>
          </w:sdt>
          <w:sdt>
            <w:sdtPr>
              <w:tag w:val="goog_rdk_61"/>
            </w:sdtPr>
            <w:sdtContent>
              <w:p w:rsidR="00000000" w:rsidDel="00000000" w:rsidP="00000000" w:rsidRDefault="00000000" w:rsidRPr="00000000" w14:paraId="0000003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Agree to only use the data for the legitimate and lawful purpose described above;</w:t>
                </w:r>
              </w:p>
            </w:sdtContent>
          </w:sdt>
          <w:sdt>
            <w:sdtPr>
              <w:tag w:val="goog_rdk_62"/>
            </w:sdtPr>
            <w:sdtContent>
              <w:p w:rsidR="00000000" w:rsidDel="00000000" w:rsidP="00000000" w:rsidRDefault="00000000" w:rsidRPr="00000000" w14:paraId="0000003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Agree to: </w:t>
                </w:r>
              </w:p>
            </w:sdtContent>
          </w:sdt>
          <w:sdt>
            <w:sdtPr>
              <w:tag w:val="goog_rdk_63"/>
            </w:sdtPr>
            <w:sdtContent>
              <w:p w:rsidR="00000000" w:rsidDel="00000000" w:rsidP="00000000" w:rsidRDefault="00000000" w:rsidRPr="00000000" w14:paraId="00000040">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terms of service, in which the lawful use of data described;</w:t>
                </w:r>
              </w:p>
            </w:sdtContent>
          </w:sdt>
          <w:sdt>
            <w:sdtPr>
              <w:tag w:val="goog_rdk_64"/>
            </w:sdtPr>
            <w:sdtContent>
              <w:p w:rsidR="00000000" w:rsidDel="00000000" w:rsidP="00000000" w:rsidRDefault="00000000" w:rsidRPr="00000000" w14:paraId="00000041">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prevent abuse of data received; </w:t>
                </w:r>
              </w:p>
            </w:sdtContent>
          </w:sdt>
          <w:sdt>
            <w:sdtPr>
              <w:tag w:val="goog_rdk_65"/>
            </w:sdtPr>
            <w:sdtContent>
              <w:p w:rsidR="00000000" w:rsidDel="00000000" w:rsidP="00000000" w:rsidRDefault="00000000" w:rsidRPr="00000000" w14:paraId="00000042">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subject to de-accreditation if they are found to abuse use of data.</w:t>
                </w:r>
              </w:p>
            </w:sdtContent>
          </w:sdt>
        </w:tc>
      </w:tr>
      <w:tr>
        <w:trPr>
          <w:trHeight w:val="300" w:hRule="atLeast"/>
        </w:trPr>
        <w:tc>
          <w:tcPr/>
          <w:sdt>
            <w:sdtPr>
              <w:tag w:val="goog_rdk_66"/>
            </w:sdtPr>
            <w:sdtContent>
              <w:p w:rsidR="00000000" w:rsidDel="00000000" w:rsidP="00000000" w:rsidRDefault="00000000" w:rsidRPr="00000000" w14:paraId="0000004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Authentication – policy principles</w:t>
                </w:r>
              </w:p>
            </w:sdtContent>
          </w:sdt>
        </w:tc>
        <w:tc>
          <w:tcPr/>
          <w:sdt>
            <w:sdtPr>
              <w:tag w:val="goog_rdk_67"/>
            </w:sdtPr>
            <w:sdtContent>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dtContent>
          </w:sdt>
        </w:tc>
      </w:tr>
      <w:tr>
        <w:trPr>
          <w:trHeight w:val="300" w:hRule="atLeast"/>
        </w:trPr>
        <w:tc>
          <w:tcPr/>
          <w:sdt>
            <w:sdtPr>
              <w:tag w:val="goog_rdk_68"/>
            </w:sdtPr>
            <w:sdtContent>
              <w:p w:rsidR="00000000" w:rsidDel="00000000" w:rsidP="00000000" w:rsidRDefault="00000000" w:rsidRPr="00000000" w14:paraId="0000004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information is required to be provided for a request under this lawful basis?</w:t>
                </w:r>
              </w:p>
            </w:sdtContent>
          </w:sdt>
        </w:tc>
        <w:tc>
          <w:tcPr/>
          <w:sdt>
            <w:sdtPr>
              <w:tag w:val="goog_rdk_69"/>
            </w:sdtPr>
            <w:sdtContent>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Identification and data or documents showing technical or operational issue justifying the legitimate interest for data.</w:t>
                </w:r>
              </w:p>
            </w:sdtContent>
          </w:sdt>
        </w:tc>
      </w:tr>
      <w:tr>
        <w:trPr>
          <w:trHeight w:val="300" w:hRule="atLeast"/>
        </w:trPr>
        <w:tc>
          <w:tcPr/>
          <w:sdt>
            <w:sdtPr>
              <w:tag w:val="goog_rdk_70"/>
            </w:sdtPr>
            <w:sdtContent>
              <w:p w:rsidR="00000000" w:rsidDel="00000000" w:rsidP="00000000" w:rsidRDefault="00000000" w:rsidRPr="00000000" w14:paraId="0000004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Expected timing of substantive response</w:t>
                </w:r>
              </w:p>
            </w:sdtContent>
          </w:sdt>
        </w:tc>
        <w:tc>
          <w:tcPr/>
          <w:sdt>
            <w:sdtPr>
              <w:tag w:val="goog_rdk_71"/>
            </w:sdtPr>
            <w:sdtContent>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calendar day</w:t>
                </w:r>
              </w:p>
            </w:sdtContent>
          </w:sdt>
        </w:tc>
      </w:tr>
      <w:tr>
        <w:trPr>
          <w:trHeight w:val="300" w:hRule="atLeast"/>
        </w:trPr>
        <w:tc>
          <w:tcPr/>
          <w:sdt>
            <w:sdtPr>
              <w:tag w:val="goog_rdk_72"/>
            </w:sdtPr>
            <w:sdtContent>
              <w:p w:rsidR="00000000" w:rsidDel="00000000" w:rsidP="00000000" w:rsidRDefault="00000000" w:rsidRPr="00000000" w14:paraId="0000004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automation of substantive response possible / desirable?</w:t>
                </w:r>
              </w:p>
            </w:sdtContent>
          </w:sdt>
        </w:tc>
        <w:tc>
          <w:tcPr/>
          <w:sdt>
            <w:sdtPr>
              <w:tag w:val="goog_rdk_73"/>
            </w:sdtPr>
            <w:sdtContent>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Automation is both possible and desirable.</w:t>
                </w:r>
              </w:p>
            </w:sdtContent>
          </w:sdt>
        </w:tc>
      </w:tr>
      <w:tr>
        <w:trPr>
          <w:trHeight w:val="300" w:hRule="atLeast"/>
        </w:trPr>
        <w:tc>
          <w:tcPr/>
          <w:sdt>
            <w:sdtPr>
              <w:tag w:val="goog_rdk_74"/>
            </w:sdtPr>
            <w:sdtContent>
              <w:p w:rsidR="00000000" w:rsidDel="00000000" w:rsidP="00000000" w:rsidRDefault="00000000" w:rsidRPr="00000000" w14:paraId="0000004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Expected timing of substantive response</w:t>
                </w:r>
              </w:p>
            </w:sdtContent>
          </w:sdt>
        </w:tc>
        <w:tc>
          <w:tcPr/>
          <w:sdt>
            <w:sdtPr>
              <w:tag w:val="goog_rdk_75"/>
            </w:sdtPr>
            <w:sdtContent>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See above</w:t>
                </w:r>
              </w:p>
            </w:sdtContent>
          </w:sdt>
        </w:tc>
      </w:tr>
      <w:tr>
        <w:trPr>
          <w:trHeight w:val="300" w:hRule="atLeast"/>
        </w:trPr>
        <w:tc>
          <w:tcPr/>
          <w:sdt>
            <w:sdtPr>
              <w:tag w:val="goog_rdk_76"/>
            </w:sdtPr>
            <w:sdtContent>
              <w:p w:rsidR="00000000" w:rsidDel="00000000" w:rsidP="00000000" w:rsidRDefault="00000000" w:rsidRPr="00000000" w14:paraId="0000004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long can the requestor retain the data disclosed and what are the requirements for destruction following the end of the retention period?</w:t>
                </w:r>
              </w:p>
            </w:sdtContent>
          </w:sdt>
        </w:tc>
        <w:tc>
          <w:tcPr/>
          <w:sdt>
            <w:sdtPr>
              <w:tag w:val="goog_rdk_77"/>
            </w:sdtPr>
            <w:sdtContent>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Article 5 (e) of the GDPR states personal data shall be kept for no longer than is necessary for the purposes for which it is being processed.  </w:t>
                </w:r>
              </w:p>
            </w:sdtContent>
          </w:sdt>
        </w:tc>
      </w:tr>
      <w:tr>
        <w:trPr>
          <w:trHeight w:val="300" w:hRule="atLeast"/>
        </w:trPr>
        <w:tc>
          <w:tcPr/>
          <w:sdt>
            <w:sdtPr>
              <w:tag w:val="goog_rdk_78"/>
            </w:sdtPr>
            <w:sdtContent>
              <w:p w:rsidR="00000000" w:rsidDel="00000000" w:rsidP="00000000" w:rsidRDefault="00000000" w:rsidRPr="00000000" w14:paraId="0000004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w:t>
                </w:r>
              </w:p>
            </w:sdtContent>
          </w:sdt>
        </w:tc>
        <w:tc>
          <w:tcPr/>
          <w:sdt>
            <w:sdtPr>
              <w:tag w:val="goog_rdk_79"/>
            </w:sdtPr>
            <w:sdtContent>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dtContent>
          </w:sdt>
        </w:tc>
      </w:tr>
    </w:tbl>
    <w:sdt>
      <w:sdtPr>
        <w:tag w:val="goog_rdk_80"/>
      </w:sdtPr>
      <w:sdtContent>
        <w:p w:rsidR="00000000" w:rsidDel="00000000" w:rsidP="00000000" w:rsidRDefault="00000000" w:rsidRPr="00000000" w14:paraId="00000051">
          <w:pPr>
            <w:rPr/>
          </w:pPr>
          <w:r w:rsidDel="00000000" w:rsidR="00000000" w:rsidRPr="00000000">
            <w:rPr>
              <w:rtl w:val="0"/>
            </w:rPr>
          </w:r>
        </w:p>
      </w:sdtContent>
    </w:sdt>
    <w:sectPr>
      <w:type w:val="continuous"/>
      <w:pgSz w:h="15840" w:w="12240"/>
      <w:pgMar w:bottom="1440" w:top="1440" w:left="1440" w:right="1440" w:header="720" w:footer="72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Courier New"/>
  <w:font w:name="Times New Roman"/>
  <w:font w:name="Noto Sans Symbol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sdt>
      <w:sdtPr>
        <w:tag w:val="goog_rdk_81"/>
      </w:sdtPr>
      <w:sdtContent>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For each request, the requestor will need to confirm which data elements are necessary. </w:t>
          </w:r>
        </w:p>
      </w:sdtContent>
    </w:sdt>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u w:val="none"/>
      </w:rPr>
    </w:lvl>
    <w:lvl w:ilvl="1">
      <w:start w:val="1"/>
      <w:numFmt w:val="bullet"/>
      <w:lvlText w:val="●"/>
      <w:lvlJc w:val="left"/>
      <w:pPr>
        <w:ind w:left="1080" w:hanging="360"/>
      </w:pPr>
      <w:rPr>
        <w:rFonts w:ascii="Noto Sans Symbols" w:cs="Noto Sans Symbols" w:eastAsia="Noto Sans Symbols" w:hAnsi="Noto Sans Symbols"/>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
    <w:lvl w:ilvl="0">
      <w:start w:val="1"/>
      <w:numFmt w:val="bullet"/>
      <w:lvlText w:val="●"/>
      <w:lvlJc w:val="left"/>
      <w:pPr>
        <w:ind w:left="360" w:hanging="360"/>
      </w:pPr>
      <w:rPr>
        <w:rFonts w:ascii="Noto Sans Symbols" w:cs="Noto Sans Symbols" w:eastAsia="Noto Sans Symbols" w:hAnsi="Noto Sans Symbols"/>
        <w:u w:val="none"/>
      </w:rPr>
    </w:lvl>
    <w:lvl w:ilvl="1">
      <w:start w:val="1"/>
      <w:numFmt w:val="bullet"/>
      <w:lvlText w:val="●"/>
      <w:lvlJc w:val="left"/>
      <w:pPr>
        <w:ind w:left="1080" w:hanging="360"/>
      </w:pPr>
      <w:rPr>
        <w:rFonts w:ascii="Noto Sans Symbols" w:cs="Noto Sans Symbols" w:eastAsia="Noto Sans Symbols" w:hAnsi="Noto Sans Symbols"/>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
    <w:lvl w:ilvl="0">
      <w:start w:val="1"/>
      <w:numFmt w:val="bullet"/>
      <w:lvlText w:val="●"/>
      <w:lvlJc w:val="left"/>
      <w:pPr>
        <w:ind w:left="360" w:hanging="360"/>
      </w:pPr>
      <w:rPr>
        <w:rFonts w:ascii="Noto Sans Symbols" w:cs="Noto Sans Symbols" w:eastAsia="Noto Sans Symbols" w:hAnsi="Noto Sans Symbols"/>
        <w:u w:val="none"/>
      </w:rPr>
    </w:lvl>
    <w:lvl w:ilvl="1">
      <w:start w:val="1"/>
      <w:numFmt w:val="bullet"/>
      <w:lvlText w:val="o"/>
      <w:lvlJc w:val="left"/>
      <w:pPr>
        <w:ind w:left="1080" w:hanging="360"/>
      </w:pPr>
      <w:rPr>
        <w:rFonts w:ascii="Courier New" w:cs="Courier New" w:eastAsia="Courier New" w:hAnsi="Courier New"/>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
    <w:lvl w:ilvl="0">
      <w:start w:val="1"/>
      <w:numFmt w:val="lowerLetter"/>
      <w:lvlText w:val="%1)"/>
      <w:lvlJc w:val="left"/>
      <w:pPr>
        <w:ind w:left="360" w:hanging="360"/>
      </w:pPr>
      <w:rPr>
        <w:rFonts w:ascii="Calibri" w:cs="Calibri" w:eastAsia="Calibri" w:hAnsi="Calibri"/>
        <w:b w:val="0"/>
        <w:color w:val="000000"/>
      </w:rPr>
    </w:lvl>
    <w:lvl w:ilvl="1">
      <w:start w:val="1"/>
      <w:numFmt w:val="decimal"/>
      <w:lvlText w:val="%2."/>
      <w:lvlJc w:val="left"/>
      <w:pPr>
        <w:ind w:left="1440" w:hanging="72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EE1AF7"/>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GridTable5Dark-Accent2">
    <w:name w:val="Grid Table 5 Dark Accent 2"/>
    <w:basedOn w:val="TableNormal"/>
    <w:uiPriority w:val="50"/>
    <w:rsid w:val="00EE1AF7"/>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be4d5"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ed7d31"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ed7d31"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ed7d31"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ed7d31" w:themeFill="accent2" w:val="clear"/>
      </w:tcPr>
    </w:tblStylePr>
    <w:tblStylePr w:type="band1Vert">
      <w:tblPr/>
      <w:tcPr>
        <w:shd w:color="auto" w:fill="f7caac" w:themeFill="accent2" w:themeFillTint="000066" w:val="clear"/>
      </w:tcPr>
    </w:tblStylePr>
    <w:tblStylePr w:type="band1Horz">
      <w:tblPr/>
      <w:tcPr>
        <w:shd w:color="auto" w:fill="f7caac" w:themeFill="accent2" w:themeFillTint="000066" w:val="clear"/>
      </w:tcPr>
    </w:tblStylePr>
  </w:style>
  <w:style w:type="paragraph" w:styleId="ListParagraph">
    <w:name w:val="List Paragraph"/>
    <w:basedOn w:val="Normal"/>
    <w:uiPriority w:val="34"/>
    <w:qFormat w:val="1"/>
    <w:rsid w:val="00EE1AF7"/>
    <w:pPr>
      <w:ind w:left="720"/>
      <w:contextualSpacing w:val="1"/>
    </w:pPr>
  </w:style>
  <w:style w:type="paragraph" w:styleId="FootnoteText">
    <w:name w:val="footnote text"/>
    <w:basedOn w:val="Normal"/>
    <w:link w:val="FootnoteTextChar"/>
    <w:uiPriority w:val="99"/>
    <w:semiHidden w:val="1"/>
    <w:unhideWhenUsed w:val="1"/>
    <w:rsid w:val="00EE1AF7"/>
    <w:pPr>
      <w:jc w:val="both"/>
    </w:pPr>
    <w:rPr>
      <w:rFonts w:asciiTheme="minorHAnsi" w:cstheme="minorBidi" w:eastAsiaTheme="minorHAnsi" w:hAnsiTheme="minorHAnsi"/>
      <w:sz w:val="20"/>
      <w:szCs w:val="20"/>
      <w:lang w:val="de-DE"/>
    </w:rPr>
  </w:style>
  <w:style w:type="character" w:styleId="FootnoteTextChar" w:customStyle="1">
    <w:name w:val="Footnote Text Char"/>
    <w:basedOn w:val="DefaultParagraphFont"/>
    <w:link w:val="FootnoteText"/>
    <w:uiPriority w:val="99"/>
    <w:semiHidden w:val="1"/>
    <w:rsid w:val="00EE1AF7"/>
    <w:rPr>
      <w:sz w:val="20"/>
      <w:szCs w:val="20"/>
      <w:lang w:val="de-DE"/>
    </w:rPr>
  </w:style>
  <w:style w:type="character" w:styleId="FootnoteReference">
    <w:name w:val="footnote reference"/>
    <w:basedOn w:val="DefaultParagraphFont"/>
    <w:uiPriority w:val="99"/>
    <w:semiHidden w:val="1"/>
    <w:unhideWhenUsed w:val="1"/>
    <w:rsid w:val="00EE1AF7"/>
    <w:rPr>
      <w:vertAlign w:val="superscript"/>
    </w:rPr>
  </w:style>
  <w:style w:type="paragraph" w:styleId="BalloonText">
    <w:name w:val="Balloon Text"/>
    <w:basedOn w:val="Normal"/>
    <w:link w:val="BalloonTextChar"/>
    <w:uiPriority w:val="99"/>
    <w:semiHidden w:val="1"/>
    <w:unhideWhenUsed w:val="1"/>
    <w:rsid w:val="00794B12"/>
    <w:rPr>
      <w:sz w:val="18"/>
      <w:szCs w:val="18"/>
    </w:rPr>
  </w:style>
  <w:style w:type="character" w:styleId="BalloonTextChar" w:customStyle="1">
    <w:name w:val="Balloon Text Char"/>
    <w:basedOn w:val="DefaultParagraphFont"/>
    <w:link w:val="BalloonText"/>
    <w:uiPriority w:val="99"/>
    <w:semiHidden w:val="1"/>
    <w:rsid w:val="00794B12"/>
    <w:rPr>
      <w:rFonts w:ascii="Times New Roman" w:cs="Times New Roman" w:eastAsia="Times New Roman" w:hAnsi="Times New Roman"/>
      <w:sz w:val="18"/>
      <w:szCs w:val="18"/>
    </w:rPr>
  </w:style>
  <w:style w:type="character" w:styleId="CommentReference">
    <w:name w:val="annotation reference"/>
    <w:basedOn w:val="DefaultParagraphFont"/>
    <w:uiPriority w:val="99"/>
    <w:semiHidden w:val="1"/>
    <w:unhideWhenUsed w:val="1"/>
    <w:rsid w:val="00794B12"/>
    <w:rPr>
      <w:sz w:val="16"/>
      <w:szCs w:val="16"/>
    </w:rPr>
  </w:style>
  <w:style w:type="paragraph" w:styleId="CommentText">
    <w:name w:val="annotation text"/>
    <w:basedOn w:val="Normal"/>
    <w:link w:val="CommentTextChar"/>
    <w:uiPriority w:val="99"/>
    <w:semiHidden w:val="1"/>
    <w:unhideWhenUsed w:val="1"/>
    <w:rsid w:val="00794B12"/>
    <w:rPr>
      <w:sz w:val="20"/>
      <w:szCs w:val="20"/>
    </w:rPr>
  </w:style>
  <w:style w:type="character" w:styleId="CommentTextChar" w:customStyle="1">
    <w:name w:val="Comment Text Char"/>
    <w:basedOn w:val="DefaultParagraphFont"/>
    <w:link w:val="CommentText"/>
    <w:uiPriority w:val="99"/>
    <w:semiHidden w:val="1"/>
    <w:rsid w:val="00794B12"/>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794B12"/>
    <w:rPr>
      <w:b w:val="1"/>
      <w:bCs w:val="1"/>
    </w:rPr>
  </w:style>
  <w:style w:type="character" w:styleId="CommentSubjectChar" w:customStyle="1">
    <w:name w:val="Comment Subject Char"/>
    <w:basedOn w:val="CommentTextChar"/>
    <w:link w:val="CommentSubject"/>
    <w:uiPriority w:val="99"/>
    <w:semiHidden w:val="1"/>
    <w:rsid w:val="00794B12"/>
    <w:rPr>
      <w:rFonts w:ascii="Times New Roman" w:cs="Times New Roman" w:eastAsia="Times New Roman" w:hAnsi="Times New Roman"/>
      <w:b w:val="1"/>
      <w:bCs w:val="1"/>
      <w:sz w:val="20"/>
      <w:szCs w:val="2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tcPr>
      <w:shd w:color="auto" w:fill="fbe5d5" w:val="clear"/>
    </w:tcPr>
    <w:tblStylePr w:type="firstRow">
      <w:rPr>
        <w:b w:val="1"/>
        <w:color w:val="ffffff"/>
      </w:rPr>
      <w:tblPr/>
      <w:tcPr>
        <w:tcBorders>
          <w:top w:color="ffffff" w:space="0" w:sz="4" w:val="single"/>
          <w:left w:color="ffffff" w:space="0" w:sz="4" w:val="single"/>
          <w:right w:color="ffffff" w:space="0" w:sz="4" w:val="single"/>
          <w:insideH w:space="0" w:sz="0" w:val="nil"/>
          <w:insideV w:space="0" w:sz="0" w:val="nil"/>
        </w:tcBorders>
        <w:shd w:color="auto" w:fill="ed7d31" w:val="clear"/>
      </w:tcPr>
    </w:tblStylePr>
    <w:tblStylePr w:type="lastRow">
      <w:rPr>
        <w:b w:val="1"/>
        <w:color w:val="ffffff"/>
      </w:rPr>
      <w:tblPr/>
      <w:tcPr>
        <w:tcBorders>
          <w:left w:color="ffffff" w:space="0" w:sz="4" w:val="single"/>
          <w:bottom w:color="ffffff" w:space="0" w:sz="4" w:val="single"/>
          <w:right w:color="ffffff" w:space="0" w:sz="4" w:val="single"/>
          <w:insideH w:space="0" w:sz="0" w:val="nil"/>
          <w:insideV w:space="0" w:sz="0" w:val="nil"/>
        </w:tcBorders>
        <w:shd w:color="auto" w:fill="ed7d31" w:val="clear"/>
      </w:tcPr>
    </w:tblStylePr>
    <w:tblStylePr w:type="firstCol">
      <w:rPr>
        <w:b w:val="1"/>
        <w:color w:val="ffffff"/>
      </w:rPr>
      <w:tblPr/>
      <w:tcPr>
        <w:tcBorders>
          <w:top w:color="ffffff" w:space="0" w:sz="4" w:val="single"/>
          <w:left w:color="ffffff" w:space="0" w:sz="4" w:val="single"/>
          <w:bottom w:color="ffffff" w:space="0" w:sz="4" w:val="single"/>
          <w:insideV w:space="0" w:sz="0" w:val="nil"/>
        </w:tcBorders>
        <w:shd w:color="auto" w:fill="ed7d31" w:val="clear"/>
      </w:tcPr>
    </w:tblStylePr>
    <w:tblStylePr w:type="lastCol">
      <w:rPr>
        <w:b w:val="1"/>
        <w:color w:val="ffffff"/>
      </w:rPr>
      <w:tblPr/>
      <w:tcPr>
        <w:tcBorders>
          <w:top w:color="ffffff" w:space="0" w:sz="4" w:val="single"/>
          <w:bottom w:color="ffffff" w:space="0" w:sz="4" w:val="single"/>
          <w:right w:color="ffffff" w:space="0" w:sz="4" w:val="single"/>
          <w:insideV w:space="0" w:sz="0" w:val="nil"/>
        </w:tcBorders>
        <w:shd w:color="auto" w:fill="ed7d31" w:val="clear"/>
      </w:tcPr>
    </w:tblStylePr>
    <w:tblStylePr w:type="band1Vert">
      <w:tblPr/>
      <w:tcPr>
        <w:shd w:color="auto" w:fill="f7cbac" w:val="clear"/>
      </w:tcPr>
    </w:tblStylePr>
    <w:tblStylePr w:type="band1Horz">
      <w:tblPr/>
      <w:tcPr>
        <w:shd w:color="auto" w:fill="f7cbac" w:val="clear"/>
      </w:tcPr>
    </w:tblStylePr>
  </w:style>
  <w:style w:type="table" w:styleId="a0" w:customStyle="1">
    <w:basedOn w:val="TableNormal"/>
    <w:tblPr>
      <w:tblStyleRowBandSize w:val="1"/>
      <w:tblStyleColBandSize w:val="1"/>
      <w:tblCellMar>
        <w:left w:w="115.0" w:type="dxa"/>
        <w:right w:w="115.0" w:type="dxa"/>
      </w:tblCellMar>
    </w:tblPr>
    <w:tcPr>
      <w:shd w:color="auto" w:fill="fbe5d5" w:val="clear"/>
    </w:tcPr>
    <w:tblStylePr w:type="firstRow">
      <w:rPr>
        <w:b w:val="1"/>
        <w:bCs w:val="1"/>
        <w:color w:val="ffffff" w:themeColor="background1"/>
      </w:rPr>
      <w:tblPr/>
      <w:tcPr>
        <w:tcBorders>
          <w:top w:color="ffffff" w:space="0" w:sz="4" w:val="single"/>
          <w:left w:color="ffffff" w:space="0" w:sz="4" w:val="single"/>
          <w:right w:color="ffffff" w:space="0" w:sz="4" w:val="single"/>
          <w:insideH w:space="0" w:sz="0" w:val="nil"/>
          <w:insideV w:space="0" w:sz="0" w:val="nil"/>
        </w:tcBorders>
        <w:shd w:color="auto" w:fill="ed7d31" w:val="clear"/>
      </w:tcPr>
    </w:tblStylePr>
    <w:tblStylePr w:type="lastRow">
      <w:rPr>
        <w:b w:val="1"/>
        <w:bCs w:val="1"/>
        <w:color w:val="ffffff" w:themeColor="background1"/>
      </w:rPr>
      <w:tblPr/>
      <w:tcPr>
        <w:tcBorders>
          <w:left w:color="ffffff" w:space="0" w:sz="4" w:val="single"/>
          <w:bottom w:color="ffffff" w:space="0" w:sz="4" w:val="single"/>
          <w:right w:color="ffffff" w:space="0" w:sz="4" w:val="single"/>
          <w:insideH w:space="0" w:sz="0" w:val="nil"/>
          <w:insideV w:space="0" w:sz="0" w:val="nil"/>
        </w:tcBorders>
        <w:shd w:color="auto" w:fill="ed7d31" w:val="clear"/>
      </w:tcPr>
    </w:tblStylePr>
    <w:tblStylePr w:type="firstCol">
      <w:rPr>
        <w:b w:val="1"/>
        <w:bCs w:val="1"/>
        <w:color w:val="ffffff" w:themeColor="background1"/>
      </w:rPr>
      <w:tblPr/>
      <w:tcPr>
        <w:tcBorders>
          <w:top w:color="ffffff" w:space="0" w:sz="4" w:val="single"/>
          <w:left w:color="ffffff" w:space="0" w:sz="4" w:val="single"/>
          <w:bottom w:color="ffffff" w:space="0" w:sz="4" w:val="single"/>
          <w:insideV w:space="0" w:sz="0" w:val="nil"/>
        </w:tcBorders>
        <w:shd w:color="auto" w:fill="ed7d31" w:val="clear"/>
      </w:tcPr>
    </w:tblStylePr>
    <w:tblStylePr w:type="lastCol">
      <w:rPr>
        <w:b w:val="1"/>
        <w:bCs w:val="1"/>
        <w:color w:val="ffffff" w:themeColor="background1"/>
      </w:rPr>
      <w:tblPr/>
      <w:tcPr>
        <w:tcBorders>
          <w:top w:color="ffffff" w:space="0" w:sz="4" w:val="single"/>
          <w:bottom w:color="ffffff" w:space="0" w:sz="4" w:val="single"/>
          <w:right w:color="ffffff" w:space="0" w:sz="4" w:val="single"/>
          <w:insideV w:space="0" w:sz="0" w:val="nil"/>
        </w:tcBorders>
        <w:shd w:color="auto" w:fill="ed7d31" w:val="clear"/>
      </w:tcPr>
    </w:tblStylePr>
    <w:tblStylePr w:type="band1Vert">
      <w:tblPr/>
      <w:tcPr>
        <w:shd w:color="auto" w:fill="f7cbac" w:val="clear"/>
      </w:tcPr>
    </w:tblStylePr>
    <w:tblStylePr w:type="band1Horz">
      <w:tblPr/>
      <w:tcPr>
        <w:shd w:color="auto" w:fill="f7cbac" w:val="clear"/>
      </w:tcPr>
    </w:tblStylePr>
  </w:style>
  <w:style w:type="paragraph" w:styleId="NormalWeb">
    <w:name w:val="Normal (Web)"/>
    <w:basedOn w:val="Normal"/>
    <w:uiPriority w:val="99"/>
    <w:unhideWhenUsed w:val="1"/>
    <w:rsid w:val="005575F8"/>
    <w:pPr>
      <w:spacing w:after="100" w:afterAutospacing="1" w:before="100" w:beforeAutospacing="1"/>
    </w:pPr>
  </w:style>
  <w:style w:type="paragraph" w:styleId="Revision">
    <w:name w:val="Revision"/>
    <w:hidden w:val="1"/>
    <w:uiPriority w:val="99"/>
    <w:semiHidden w:val="1"/>
    <w:rsid w:val="008F228F"/>
  </w:style>
  <w:style w:type="character" w:styleId="Hyperlink">
    <w:name w:val="Hyperlink"/>
    <w:basedOn w:val="DefaultParagraphFont"/>
    <w:uiPriority w:val="99"/>
    <w:semiHidden w:val="1"/>
    <w:unhideWhenUsed w:val="1"/>
    <w:rsid w:val="00D90582"/>
    <w:rPr>
      <w:color w:val="0000ff"/>
      <w:u w:val="single"/>
    </w:rPr>
  </w:style>
  <w:style w:type="character" w:styleId="apple-converted-space" w:customStyle="1">
    <w:name w:val="apple-converted-space"/>
    <w:basedOn w:val="DefaultParagraphFont"/>
    <w:rsid w:val="002E16EE"/>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cPr>
      <w:shd w:fill="fbe5d5" w:val="clear"/>
    </w:tcPr>
    <w:tblStylePr w:type="band1Horz">
      <w:tcPr>
        <w:shd w:fill="f7cbac" w:val="clear"/>
      </w:tcPr>
    </w:tblStylePr>
    <w:tblStylePr w:type="band1Vert">
      <w:tcPr>
        <w:shd w:fill="f7cbac" w:val="clear"/>
      </w:tcPr>
    </w:tblStylePr>
    <w:tblStylePr w:type="firstCol">
      <w:rPr>
        <w:b w:val="1"/>
        <w:color w:val="ffffff"/>
      </w:rPr>
      <w:tcPr>
        <w:tcBorders>
          <w:top w:color="ffffff" w:space="0" w:sz="4" w:val="single"/>
          <w:left w:color="ffffff" w:space="0" w:sz="4" w:val="single"/>
          <w:bottom w:color="ffffff" w:space="0" w:sz="4" w:val="single"/>
          <w:insideV w:color="000000" w:space="0" w:sz="0" w:val="nil"/>
        </w:tcBorders>
        <w:shd w:fill="ed7d31" w:val="clear"/>
      </w:tcPr>
    </w:tblStylePr>
    <w:tblStylePr w:type="firstRow">
      <w:rPr>
        <w:b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ed7d31" w:val="clear"/>
      </w:tcPr>
    </w:tblStylePr>
    <w:tblStylePr w:type="lastCol">
      <w:rPr>
        <w:b w:val="1"/>
        <w:color w:val="ffffff"/>
      </w:rPr>
      <w:tcPr>
        <w:tcBorders>
          <w:top w:color="ffffff" w:space="0" w:sz="4" w:val="single"/>
          <w:bottom w:color="ffffff" w:space="0" w:sz="4" w:val="single"/>
          <w:right w:color="ffffff" w:space="0" w:sz="4" w:val="single"/>
          <w:insideV w:color="000000" w:space="0" w:sz="0" w:val="nil"/>
        </w:tcBorders>
        <w:shd w:fill="ed7d31" w:val="clear"/>
      </w:tcPr>
    </w:tblStylePr>
    <w:tblStylePr w:type="lastRow">
      <w:rPr>
        <w:b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ed7d31" w:val="clear"/>
      </w:tcPr>
    </w:tblStylePr>
  </w:style>
  <w:style w:type="table" w:styleId="Table2">
    <w:basedOn w:val="TableNormal"/>
    <w:tblPr>
      <w:tblStyleRowBandSize w:val="1"/>
      <w:tblStyleColBandSize w:val="1"/>
      <w:tblCellMar>
        <w:top w:w="0.0" w:type="dxa"/>
        <w:left w:w="115.0" w:type="dxa"/>
        <w:bottom w:w="0.0" w:type="dxa"/>
        <w:right w:w="115.0" w:type="dxa"/>
      </w:tblCellMar>
    </w:tblPr>
    <w:tcPr>
      <w:shd w:fill="fbe5d5" w:val="clear"/>
    </w:tcPr>
    <w:tblStylePr w:type="band1Horz">
      <w:tcPr>
        <w:shd w:fill="f7cbac" w:val="clear"/>
      </w:tcPr>
    </w:tblStylePr>
    <w:tblStylePr w:type="band1Vert">
      <w:tcPr>
        <w:shd w:fill="f7cbac" w:val="clear"/>
      </w:tcPr>
    </w:tblStylePr>
    <w:tblStylePr w:type="firstCol">
      <w:rPr>
        <w:b w:val="1"/>
        <w:color w:val="ffffff"/>
      </w:rPr>
      <w:tcPr>
        <w:tcBorders>
          <w:top w:color="ffffff" w:space="0" w:sz="4" w:val="single"/>
          <w:left w:color="ffffff" w:space="0" w:sz="4" w:val="single"/>
          <w:bottom w:color="ffffff" w:space="0" w:sz="4" w:val="single"/>
          <w:insideV w:color="000000" w:space="0" w:sz="0" w:val="nil"/>
        </w:tcBorders>
        <w:shd w:fill="ed7d31" w:val="clear"/>
      </w:tcPr>
    </w:tblStylePr>
    <w:tblStylePr w:type="firstRow">
      <w:rPr>
        <w:b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ed7d31" w:val="clear"/>
      </w:tcPr>
    </w:tblStylePr>
    <w:tblStylePr w:type="lastCol">
      <w:rPr>
        <w:b w:val="1"/>
        <w:color w:val="ffffff"/>
      </w:rPr>
      <w:tcPr>
        <w:tcBorders>
          <w:top w:color="ffffff" w:space="0" w:sz="4" w:val="single"/>
          <w:bottom w:color="ffffff" w:space="0" w:sz="4" w:val="single"/>
          <w:right w:color="ffffff" w:space="0" w:sz="4" w:val="single"/>
          <w:insideV w:color="000000" w:space="0" w:sz="0" w:val="nil"/>
        </w:tcBorders>
        <w:shd w:fill="ed7d31" w:val="clear"/>
      </w:tcPr>
    </w:tblStylePr>
    <w:tblStylePr w:type="lastRow">
      <w:rPr>
        <w:b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ed7d31"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F1sz/6BJ7TYTLr7sg7UigQCKQg==">AMUW2mVy7w52M3c1BtPfCiHoRO4RnHRJ7tvYOS3wdhUudxyd04UmMFQ6TW/FeNfmsH4XK8ZmeL1MOnPOnFuocMGpzfO+ytN+OV4/y5MqpDB0f1FwWnCsoYEeVrOYPrVOz10JXxMCg81t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2019-07-03T22:06:00Z</dcterms:created>
</cp:coreProperties>
</file>