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C1BA0" w14:textId="77777777" w:rsidR="00AE5D2F" w:rsidRPr="00E20883" w:rsidRDefault="00AE5D2F" w:rsidP="00AE5D2F">
      <w:pPr>
        <w:rPr>
          <w:rFonts w:asciiTheme="majorHAnsi" w:hAnsiTheme="majorHAnsi" w:cstheme="majorHAnsi"/>
        </w:rPr>
      </w:pPr>
    </w:p>
    <w:p w14:paraId="0F9C99D4" w14:textId="77777777" w:rsidR="00AE5D2F" w:rsidRPr="00E20883" w:rsidRDefault="00AE5D2F" w:rsidP="00AE5D2F">
      <w:pPr>
        <w:rPr>
          <w:rFonts w:asciiTheme="majorHAnsi" w:hAnsiTheme="majorHAnsi"/>
        </w:rPr>
      </w:pPr>
    </w:p>
    <w:tbl>
      <w:tblPr>
        <w:tblStyle w:val="TableGrid"/>
        <w:tblW w:w="9314" w:type="dxa"/>
        <w:tblLook w:val="04A0" w:firstRow="1" w:lastRow="0" w:firstColumn="1" w:lastColumn="0" w:noHBand="0" w:noVBand="1"/>
      </w:tblPr>
      <w:tblGrid>
        <w:gridCol w:w="3071"/>
        <w:gridCol w:w="3186"/>
        <w:gridCol w:w="3057"/>
      </w:tblGrid>
      <w:tr w:rsidR="00AE5D2F" w:rsidRPr="00E20883" w14:paraId="33044695" w14:textId="5E80EBFA" w:rsidTr="00AE5D2F">
        <w:trPr>
          <w:tblHeader/>
        </w:trPr>
        <w:tc>
          <w:tcPr>
            <w:tcW w:w="3071"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05C61630" w14:textId="77777777" w:rsidR="00AE5D2F" w:rsidRPr="00E20883" w:rsidRDefault="00AE5D2F" w:rsidP="008C1AB5">
            <w:pPr>
              <w:jc w:val="center"/>
              <w:rPr>
                <w:rFonts w:asciiTheme="majorHAnsi" w:hAnsiTheme="majorHAnsi" w:cstheme="majorHAnsi"/>
                <w:b/>
              </w:rPr>
            </w:pPr>
            <w:r w:rsidRPr="00E20883">
              <w:rPr>
                <w:rFonts w:asciiTheme="majorHAnsi" w:hAnsiTheme="majorHAnsi" w:cstheme="majorHAnsi"/>
                <w:b/>
              </w:rPr>
              <w:t>Purpose / Recommendation #</w:t>
            </w:r>
          </w:p>
        </w:tc>
        <w:tc>
          <w:tcPr>
            <w:tcW w:w="3186"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1B4DDD72" w14:textId="77777777" w:rsidR="00AE5D2F" w:rsidRPr="00E20883" w:rsidRDefault="00AE5D2F" w:rsidP="008C1AB5">
            <w:pPr>
              <w:jc w:val="center"/>
              <w:rPr>
                <w:rFonts w:asciiTheme="majorHAnsi" w:hAnsiTheme="majorHAnsi" w:cstheme="majorHAnsi"/>
                <w:b/>
              </w:rPr>
            </w:pPr>
            <w:r w:rsidRPr="00E20883">
              <w:rPr>
                <w:rFonts w:asciiTheme="majorHAnsi" w:hAnsiTheme="majorHAnsi" w:cstheme="majorHAnsi"/>
                <w:b/>
              </w:rPr>
              <w:t>Chair Proposed</w:t>
            </w:r>
            <w:r>
              <w:rPr>
                <w:rFonts w:asciiTheme="majorHAnsi" w:hAnsiTheme="majorHAnsi" w:cstheme="majorHAnsi"/>
                <w:b/>
              </w:rPr>
              <w:t xml:space="preserve"> / Team Reviewed</w:t>
            </w:r>
          </w:p>
          <w:p w14:paraId="15352620" w14:textId="77777777" w:rsidR="00AE5D2F" w:rsidRPr="00E20883" w:rsidRDefault="00AE5D2F" w:rsidP="008C1AB5">
            <w:pPr>
              <w:jc w:val="center"/>
              <w:rPr>
                <w:rFonts w:asciiTheme="majorHAnsi" w:hAnsiTheme="majorHAnsi" w:cstheme="majorHAnsi"/>
                <w:b/>
              </w:rPr>
            </w:pPr>
            <w:r w:rsidRPr="00E20883">
              <w:rPr>
                <w:rFonts w:asciiTheme="majorHAnsi" w:hAnsiTheme="majorHAnsi" w:cstheme="majorHAnsi"/>
                <w:b/>
              </w:rPr>
              <w:t>Designation</w:t>
            </w:r>
          </w:p>
        </w:tc>
        <w:tc>
          <w:tcPr>
            <w:tcW w:w="3057"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7FE8721" w14:textId="77777777" w:rsidR="00F81A4C" w:rsidRDefault="00F81A4C" w:rsidP="008C1AB5">
            <w:pPr>
              <w:jc w:val="center"/>
              <w:rPr>
                <w:rFonts w:asciiTheme="majorHAnsi" w:hAnsiTheme="majorHAnsi" w:cstheme="majorHAnsi"/>
                <w:b/>
              </w:rPr>
            </w:pPr>
            <w:r>
              <w:rPr>
                <w:rFonts w:asciiTheme="majorHAnsi" w:hAnsiTheme="majorHAnsi" w:cstheme="majorHAnsi"/>
                <w:b/>
              </w:rPr>
              <w:t xml:space="preserve">Comments or Those </w:t>
            </w:r>
          </w:p>
          <w:p w14:paraId="12E9C671" w14:textId="106CE1BE" w:rsidR="00AE5D2F" w:rsidRPr="00E20883" w:rsidRDefault="00F81A4C" w:rsidP="008C1AB5">
            <w:pPr>
              <w:jc w:val="center"/>
              <w:rPr>
                <w:rFonts w:asciiTheme="majorHAnsi" w:hAnsiTheme="majorHAnsi" w:cstheme="majorHAnsi"/>
                <w:b/>
              </w:rPr>
            </w:pPr>
            <w:r>
              <w:rPr>
                <w:rFonts w:asciiTheme="majorHAnsi" w:hAnsiTheme="majorHAnsi" w:cstheme="majorHAnsi"/>
                <w:b/>
              </w:rPr>
              <w:t>Not Supporting Purpose / R</w:t>
            </w:r>
            <w:r w:rsidR="00AE5D2F">
              <w:rPr>
                <w:rFonts w:asciiTheme="majorHAnsi" w:hAnsiTheme="majorHAnsi" w:cstheme="majorHAnsi"/>
                <w:b/>
              </w:rPr>
              <w:t>ecommendation</w:t>
            </w:r>
          </w:p>
        </w:tc>
      </w:tr>
      <w:tr w:rsidR="00AE5D2F" w:rsidRPr="00E20883" w14:paraId="56FDCB77" w14:textId="2D6E90C1" w:rsidTr="00AE5D2F">
        <w:tc>
          <w:tcPr>
            <w:tcW w:w="3071" w:type="dxa"/>
            <w:tcBorders>
              <w:top w:val="single" w:sz="18" w:space="0" w:color="000000"/>
              <w:bottom w:val="single" w:sz="4" w:space="0" w:color="auto"/>
            </w:tcBorders>
            <w:shd w:val="clear" w:color="auto" w:fill="auto"/>
          </w:tcPr>
          <w:p w14:paraId="46149B5E" w14:textId="6A92C6B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1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Establish the rights of a Registered Name Holder </w:t>
            </w:r>
          </w:p>
        </w:tc>
        <w:tc>
          <w:tcPr>
            <w:tcW w:w="3186" w:type="dxa"/>
            <w:tcBorders>
              <w:top w:val="single" w:sz="18" w:space="0" w:color="000000"/>
              <w:bottom w:val="single" w:sz="4" w:space="0" w:color="auto"/>
            </w:tcBorders>
            <w:shd w:val="clear" w:color="auto" w:fill="auto"/>
          </w:tcPr>
          <w:p w14:paraId="1F994BCD" w14:textId="77777777" w:rsidR="00AE5D2F" w:rsidRPr="00E20883" w:rsidRDefault="00AE5D2F" w:rsidP="008C1AB5">
            <w:pPr>
              <w:rPr>
                <w:rFonts w:asciiTheme="majorHAnsi" w:hAnsiTheme="majorHAnsi" w:cstheme="majorHAnsi"/>
              </w:rPr>
            </w:pPr>
            <w:r w:rsidRPr="00E20883">
              <w:rPr>
                <w:rFonts w:asciiTheme="majorHAnsi" w:hAnsiTheme="majorHAnsi" w:cstheme="majorHAnsi"/>
              </w:rPr>
              <w:t xml:space="preserve">Full Consensus / Consensus </w:t>
            </w:r>
          </w:p>
        </w:tc>
        <w:tc>
          <w:tcPr>
            <w:tcW w:w="3057" w:type="dxa"/>
            <w:tcBorders>
              <w:top w:val="single" w:sz="18" w:space="0" w:color="000000"/>
              <w:bottom w:val="single" w:sz="4" w:space="0" w:color="auto"/>
            </w:tcBorders>
          </w:tcPr>
          <w:p w14:paraId="05B3FC55" w14:textId="77777777" w:rsidR="00AE5D2F" w:rsidRPr="00E20883" w:rsidRDefault="00AE5D2F" w:rsidP="008C1AB5">
            <w:pPr>
              <w:rPr>
                <w:rFonts w:asciiTheme="majorHAnsi" w:hAnsiTheme="majorHAnsi" w:cstheme="majorHAnsi"/>
              </w:rPr>
            </w:pPr>
          </w:p>
        </w:tc>
      </w:tr>
      <w:tr w:rsidR="00AE5D2F" w:rsidRPr="00E20883" w14:paraId="18586259" w14:textId="64E3EF8A" w:rsidTr="00AE5D2F">
        <w:tc>
          <w:tcPr>
            <w:tcW w:w="3071" w:type="dxa"/>
            <w:shd w:val="clear" w:color="auto" w:fill="auto"/>
          </w:tcPr>
          <w:p w14:paraId="617385D2"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2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Maintaining SSR through enabling of lawful access</w:t>
            </w:r>
          </w:p>
        </w:tc>
        <w:tc>
          <w:tcPr>
            <w:tcW w:w="3186" w:type="dxa"/>
            <w:shd w:val="clear" w:color="auto" w:fill="auto"/>
          </w:tcPr>
          <w:p w14:paraId="27E1B137" w14:textId="006680B0" w:rsidR="00AE5D2F" w:rsidRPr="00E20883" w:rsidRDefault="00AE5D2F" w:rsidP="0088788A">
            <w:pPr>
              <w:rPr>
                <w:rFonts w:asciiTheme="majorHAnsi" w:hAnsiTheme="majorHAnsi" w:cstheme="majorHAnsi"/>
                <w:b/>
              </w:rPr>
            </w:pPr>
            <w:r>
              <w:rPr>
                <w:rFonts w:asciiTheme="majorHAnsi" w:hAnsiTheme="majorHAnsi" w:cstheme="majorHAnsi"/>
              </w:rPr>
              <w:t>Strong Support / Significant Opposition</w:t>
            </w:r>
            <w:r w:rsidR="0088788A">
              <w:rPr>
                <w:rFonts w:asciiTheme="majorHAnsi" w:hAnsiTheme="majorHAnsi" w:cstheme="majorHAnsi"/>
              </w:rPr>
              <w:t xml:space="preserve"> </w:t>
            </w:r>
          </w:p>
        </w:tc>
        <w:tc>
          <w:tcPr>
            <w:tcW w:w="3057" w:type="dxa"/>
          </w:tcPr>
          <w:p w14:paraId="4DCF9EC8" w14:textId="4121811B" w:rsidR="00AE5D2F" w:rsidRDefault="00AE5D2F" w:rsidP="008C1AB5">
            <w:pPr>
              <w:rPr>
                <w:rFonts w:asciiTheme="majorHAnsi" w:hAnsiTheme="majorHAnsi" w:cstheme="majorHAnsi"/>
              </w:rPr>
            </w:pPr>
            <w:r>
              <w:rPr>
                <w:rFonts w:asciiTheme="majorHAnsi" w:hAnsiTheme="majorHAnsi" w:cstheme="majorHAnsi"/>
              </w:rPr>
              <w:t>SSAC</w:t>
            </w:r>
          </w:p>
          <w:p w14:paraId="5BE0E3E8" w14:textId="77777777" w:rsidR="00AE5D2F" w:rsidRDefault="00AE5D2F" w:rsidP="008C1AB5">
            <w:pPr>
              <w:rPr>
                <w:rFonts w:asciiTheme="majorHAnsi" w:hAnsiTheme="majorHAnsi" w:cstheme="majorHAnsi"/>
              </w:rPr>
            </w:pPr>
            <w:r>
              <w:rPr>
                <w:rFonts w:asciiTheme="majorHAnsi" w:hAnsiTheme="majorHAnsi" w:cstheme="majorHAnsi"/>
              </w:rPr>
              <w:t>BC</w:t>
            </w:r>
            <w:r w:rsidR="0088788A">
              <w:rPr>
                <w:rFonts w:asciiTheme="majorHAnsi" w:hAnsiTheme="majorHAnsi" w:cstheme="majorHAnsi"/>
              </w:rPr>
              <w:t xml:space="preserve"> / IPC</w:t>
            </w:r>
          </w:p>
          <w:p w14:paraId="176976D9" w14:textId="1224E075" w:rsidR="008A501E" w:rsidRPr="00E20883" w:rsidRDefault="008A501E" w:rsidP="008C1AB5">
            <w:pPr>
              <w:rPr>
                <w:rFonts w:asciiTheme="majorHAnsi" w:hAnsiTheme="majorHAnsi" w:cstheme="majorHAnsi"/>
              </w:rPr>
            </w:pPr>
            <w:r>
              <w:rPr>
                <w:rFonts w:asciiTheme="majorHAnsi" w:hAnsiTheme="majorHAnsi" w:cstheme="majorHAnsi"/>
              </w:rPr>
              <w:t xml:space="preserve">(Based on three </w:t>
            </w:r>
            <w:r w:rsidR="00B56E81">
              <w:rPr>
                <w:rFonts w:asciiTheme="majorHAnsi" w:hAnsiTheme="majorHAnsi" w:cstheme="majorHAnsi"/>
              </w:rPr>
              <w:t>groups)</w:t>
            </w:r>
          </w:p>
        </w:tc>
      </w:tr>
      <w:tr w:rsidR="00AE5D2F" w:rsidRPr="00E20883" w14:paraId="62EAED02" w14:textId="44012405" w:rsidTr="00AE5D2F">
        <w:tc>
          <w:tcPr>
            <w:tcW w:w="3071" w:type="dxa"/>
            <w:shd w:val="clear" w:color="auto" w:fill="auto"/>
          </w:tcPr>
          <w:p w14:paraId="11C1C23B"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3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Enable communication with RNH</w:t>
            </w:r>
          </w:p>
        </w:tc>
        <w:tc>
          <w:tcPr>
            <w:tcW w:w="3186" w:type="dxa"/>
            <w:shd w:val="clear" w:color="auto" w:fill="auto"/>
          </w:tcPr>
          <w:p w14:paraId="5145195D"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7ACFAEB3" w14:textId="77777777" w:rsidR="00AE5D2F" w:rsidRPr="00E20883" w:rsidRDefault="00AE5D2F" w:rsidP="008C1AB5">
            <w:pPr>
              <w:rPr>
                <w:rFonts w:asciiTheme="majorHAnsi" w:hAnsiTheme="majorHAnsi" w:cstheme="majorHAnsi"/>
              </w:rPr>
            </w:pPr>
          </w:p>
        </w:tc>
      </w:tr>
      <w:tr w:rsidR="00AE5D2F" w:rsidRPr="00E20883" w14:paraId="39CCBBA8" w14:textId="0C6E15E5" w:rsidTr="00AE5D2F">
        <w:tc>
          <w:tcPr>
            <w:tcW w:w="3071" w:type="dxa"/>
            <w:shd w:val="clear" w:color="auto" w:fill="auto"/>
          </w:tcPr>
          <w:p w14:paraId="699358F7"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4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Safeguarding RNH's Registration Data</w:t>
            </w:r>
          </w:p>
        </w:tc>
        <w:tc>
          <w:tcPr>
            <w:tcW w:w="3186" w:type="dxa"/>
            <w:shd w:val="clear" w:color="auto" w:fill="auto"/>
          </w:tcPr>
          <w:p w14:paraId="54C8E381"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764AB83F" w14:textId="77777777" w:rsidR="00AE5D2F" w:rsidRPr="00E20883" w:rsidRDefault="00AE5D2F" w:rsidP="008C1AB5">
            <w:pPr>
              <w:rPr>
                <w:rFonts w:asciiTheme="majorHAnsi" w:hAnsiTheme="majorHAnsi" w:cstheme="majorHAnsi"/>
              </w:rPr>
            </w:pPr>
          </w:p>
        </w:tc>
      </w:tr>
      <w:tr w:rsidR="00AE5D2F" w:rsidRPr="00E20883" w14:paraId="2254E3AE" w14:textId="2B8B42B9" w:rsidTr="00AE5D2F">
        <w:tc>
          <w:tcPr>
            <w:tcW w:w="3071" w:type="dxa"/>
            <w:shd w:val="clear" w:color="auto" w:fill="auto"/>
          </w:tcPr>
          <w:p w14:paraId="7E47F62B"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5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Handling Contractual Compliance</w:t>
            </w:r>
          </w:p>
        </w:tc>
        <w:tc>
          <w:tcPr>
            <w:tcW w:w="3186" w:type="dxa"/>
            <w:shd w:val="clear" w:color="auto" w:fill="auto"/>
          </w:tcPr>
          <w:p w14:paraId="29BBBD2B"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188B742C" w14:textId="77777777" w:rsidR="00AE5D2F" w:rsidRPr="00E20883" w:rsidRDefault="00AE5D2F" w:rsidP="008C1AB5">
            <w:pPr>
              <w:rPr>
                <w:rFonts w:asciiTheme="majorHAnsi" w:hAnsiTheme="majorHAnsi" w:cstheme="majorHAnsi"/>
              </w:rPr>
            </w:pPr>
          </w:p>
        </w:tc>
      </w:tr>
      <w:tr w:rsidR="00AE5D2F" w:rsidRPr="00E20883" w14:paraId="034E047D" w14:textId="38F481F8" w:rsidTr="00AE5D2F">
        <w:tc>
          <w:tcPr>
            <w:tcW w:w="3071" w:type="dxa"/>
            <w:shd w:val="clear" w:color="auto" w:fill="auto"/>
          </w:tcPr>
          <w:p w14:paraId="2DAF4182"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6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Resolution of DRPs</w:t>
            </w:r>
          </w:p>
        </w:tc>
        <w:tc>
          <w:tcPr>
            <w:tcW w:w="3186" w:type="dxa"/>
            <w:shd w:val="clear" w:color="auto" w:fill="auto"/>
          </w:tcPr>
          <w:p w14:paraId="3770F404"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172AD399" w14:textId="77777777" w:rsidR="00AE5D2F" w:rsidRPr="00E20883" w:rsidRDefault="00AE5D2F" w:rsidP="008C1AB5">
            <w:pPr>
              <w:rPr>
                <w:rFonts w:asciiTheme="majorHAnsi" w:hAnsiTheme="majorHAnsi" w:cstheme="majorHAnsi"/>
              </w:rPr>
            </w:pPr>
          </w:p>
        </w:tc>
      </w:tr>
      <w:tr w:rsidR="00AE5D2F" w:rsidRPr="00E20883" w14:paraId="63E4BC2C" w14:textId="61045984" w:rsidTr="00AE5D2F">
        <w:tc>
          <w:tcPr>
            <w:tcW w:w="3071" w:type="dxa"/>
            <w:tcBorders>
              <w:bottom w:val="single" w:sz="4" w:space="0" w:color="auto"/>
            </w:tcBorders>
            <w:shd w:val="clear" w:color="auto" w:fill="auto"/>
          </w:tcPr>
          <w:p w14:paraId="630EEA60"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 xml:space="preserve">Purpose 7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gTLD registration policy eligibility criteria </w:t>
            </w:r>
          </w:p>
        </w:tc>
        <w:tc>
          <w:tcPr>
            <w:tcW w:w="3186" w:type="dxa"/>
            <w:tcBorders>
              <w:bottom w:val="single" w:sz="4" w:space="0" w:color="auto"/>
            </w:tcBorders>
            <w:shd w:val="clear" w:color="auto" w:fill="auto"/>
          </w:tcPr>
          <w:p w14:paraId="4E426335" w14:textId="31266A4E" w:rsidR="00AE5D2F" w:rsidRPr="00E20883" w:rsidRDefault="00F05A19" w:rsidP="008C1AB5">
            <w:pPr>
              <w:rPr>
                <w:rFonts w:asciiTheme="majorHAnsi" w:hAnsiTheme="majorHAnsi" w:cstheme="majorHAnsi"/>
                <w:b/>
              </w:rPr>
            </w:pPr>
            <w:bookmarkStart w:id="0" w:name="_GoBack"/>
            <w:bookmarkEnd w:id="0"/>
            <w:r>
              <w:rPr>
                <w:rFonts w:asciiTheme="majorHAnsi" w:hAnsiTheme="majorHAnsi" w:cstheme="majorHAnsi"/>
                <w:color w:val="FF0000"/>
              </w:rPr>
              <w:t>Consensus</w:t>
            </w:r>
          </w:p>
        </w:tc>
        <w:tc>
          <w:tcPr>
            <w:tcW w:w="3057" w:type="dxa"/>
            <w:tcBorders>
              <w:bottom w:val="single" w:sz="4" w:space="0" w:color="auto"/>
            </w:tcBorders>
          </w:tcPr>
          <w:p w14:paraId="7EEAFAFC" w14:textId="6EED155F" w:rsidR="00AE5D2F" w:rsidRPr="00E20883" w:rsidRDefault="00AE5D2F" w:rsidP="008C1AB5">
            <w:pPr>
              <w:rPr>
                <w:rFonts w:asciiTheme="majorHAnsi" w:hAnsiTheme="majorHAnsi" w:cstheme="majorHAnsi"/>
              </w:rPr>
            </w:pPr>
            <w:r>
              <w:rPr>
                <w:rFonts w:asciiTheme="majorHAnsi" w:hAnsiTheme="majorHAnsi" w:cstheme="majorHAnsi"/>
              </w:rPr>
              <w:t>NCSG</w:t>
            </w:r>
          </w:p>
        </w:tc>
      </w:tr>
      <w:tr w:rsidR="00AE5D2F" w:rsidRPr="00E20883" w14:paraId="1B976418" w14:textId="77777777" w:rsidTr="00AE5D2F">
        <w:tc>
          <w:tcPr>
            <w:tcW w:w="3071" w:type="dxa"/>
            <w:tcBorders>
              <w:bottom w:val="single" w:sz="4" w:space="0" w:color="auto"/>
            </w:tcBorders>
            <w:shd w:val="clear" w:color="auto" w:fill="auto"/>
          </w:tcPr>
          <w:p w14:paraId="70BCD1E3" w14:textId="64461795"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#2 – Additional Purposes</w:t>
            </w:r>
          </w:p>
        </w:tc>
        <w:tc>
          <w:tcPr>
            <w:tcW w:w="3186" w:type="dxa"/>
            <w:tcBorders>
              <w:bottom w:val="single" w:sz="4" w:space="0" w:color="auto"/>
            </w:tcBorders>
            <w:shd w:val="clear" w:color="auto" w:fill="auto"/>
          </w:tcPr>
          <w:p w14:paraId="16CCDDBD" w14:textId="6B2F2179" w:rsidR="00AE5D2F" w:rsidRPr="00E20883" w:rsidRDefault="00AE5D2F" w:rsidP="008C1AB5">
            <w:pPr>
              <w:rPr>
                <w:rFonts w:asciiTheme="majorHAnsi" w:hAnsiTheme="majorHAnsi" w:cstheme="majorHAnsi"/>
              </w:rPr>
            </w:pPr>
            <w:r>
              <w:rPr>
                <w:rFonts w:asciiTheme="majorHAnsi" w:hAnsiTheme="majorHAnsi" w:cstheme="majorHAnsi"/>
              </w:rPr>
              <w:t>Strong Support / Significant Opposition</w:t>
            </w:r>
          </w:p>
        </w:tc>
        <w:tc>
          <w:tcPr>
            <w:tcW w:w="3057" w:type="dxa"/>
            <w:tcBorders>
              <w:bottom w:val="single" w:sz="4" w:space="0" w:color="auto"/>
            </w:tcBorders>
          </w:tcPr>
          <w:p w14:paraId="0ECF1E93" w14:textId="77777777" w:rsidR="00AE5D2F" w:rsidRDefault="00AE5D2F" w:rsidP="008C1AB5">
            <w:pPr>
              <w:rPr>
                <w:rFonts w:asciiTheme="majorHAnsi" w:hAnsiTheme="majorHAnsi" w:cstheme="majorHAnsi"/>
              </w:rPr>
            </w:pPr>
            <w:r>
              <w:rPr>
                <w:rFonts w:asciiTheme="majorHAnsi" w:hAnsiTheme="majorHAnsi" w:cstheme="majorHAnsi"/>
              </w:rPr>
              <w:t>NCSG</w:t>
            </w:r>
          </w:p>
          <w:p w14:paraId="3A4E5E84" w14:textId="77777777" w:rsidR="00AE5D2F" w:rsidRDefault="00AE5D2F" w:rsidP="008C1AB5">
            <w:pPr>
              <w:rPr>
                <w:rFonts w:asciiTheme="majorHAnsi" w:hAnsiTheme="majorHAnsi" w:cstheme="majorHAnsi"/>
              </w:rPr>
            </w:pPr>
            <w:r>
              <w:rPr>
                <w:rFonts w:asciiTheme="majorHAnsi" w:hAnsiTheme="majorHAnsi" w:cstheme="majorHAnsi"/>
              </w:rPr>
              <w:t>RySG</w:t>
            </w:r>
          </w:p>
          <w:p w14:paraId="4C636145" w14:textId="05416905" w:rsidR="00AE5D2F" w:rsidRPr="00E20883" w:rsidRDefault="00AE5D2F" w:rsidP="008C1AB5">
            <w:pPr>
              <w:rPr>
                <w:rFonts w:asciiTheme="majorHAnsi" w:hAnsiTheme="majorHAnsi" w:cstheme="majorHAnsi"/>
              </w:rPr>
            </w:pPr>
            <w:r>
              <w:rPr>
                <w:rFonts w:asciiTheme="majorHAnsi" w:hAnsiTheme="majorHAnsi" w:cstheme="majorHAnsi"/>
              </w:rPr>
              <w:t>RrSG</w:t>
            </w:r>
          </w:p>
        </w:tc>
      </w:tr>
      <w:tr w:rsidR="00AE5D2F" w:rsidRPr="00E20883" w14:paraId="1683060E" w14:textId="17AB942E" w:rsidTr="00AE5D2F">
        <w:tc>
          <w:tcPr>
            <w:tcW w:w="3071" w:type="dxa"/>
            <w:tcBorders>
              <w:bottom w:val="single" w:sz="4" w:space="0" w:color="auto"/>
            </w:tcBorders>
            <w:shd w:val="clear" w:color="auto" w:fill="auto"/>
          </w:tcPr>
          <w:p w14:paraId="5913CE9B"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w:t>
            </w:r>
            <w:r>
              <w:rPr>
                <w:rFonts w:asciiTheme="majorHAnsi" w:hAnsiTheme="majorHAnsi" w:cstheme="majorHAnsi"/>
                <w:color w:val="000000" w:themeColor="text1"/>
              </w:rPr>
              <w:t>3</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Commitment to consider a system for Standardized Access to non-public Registration Data</w:t>
            </w:r>
          </w:p>
        </w:tc>
        <w:tc>
          <w:tcPr>
            <w:tcW w:w="3186" w:type="dxa"/>
            <w:tcBorders>
              <w:bottom w:val="single" w:sz="4" w:space="0" w:color="auto"/>
            </w:tcBorders>
            <w:shd w:val="clear" w:color="auto" w:fill="auto"/>
          </w:tcPr>
          <w:p w14:paraId="67E9FC5A" w14:textId="77777777" w:rsidR="00AE5D2F" w:rsidRPr="00E20883" w:rsidRDefault="00AE5D2F" w:rsidP="008C1AB5">
            <w:pPr>
              <w:rPr>
                <w:rFonts w:asciiTheme="majorHAnsi" w:hAnsiTheme="majorHAnsi" w:cstheme="majorHAnsi"/>
              </w:rPr>
            </w:pPr>
            <w:r w:rsidRPr="00E20883">
              <w:rPr>
                <w:rFonts w:asciiTheme="majorHAnsi" w:hAnsiTheme="majorHAnsi" w:cstheme="majorHAnsi"/>
              </w:rPr>
              <w:t>Full Consensus / Consensus</w:t>
            </w:r>
          </w:p>
        </w:tc>
        <w:tc>
          <w:tcPr>
            <w:tcW w:w="3057" w:type="dxa"/>
            <w:tcBorders>
              <w:bottom w:val="single" w:sz="4" w:space="0" w:color="auto"/>
            </w:tcBorders>
          </w:tcPr>
          <w:p w14:paraId="2C605B4A" w14:textId="77777777" w:rsidR="00AE5D2F" w:rsidRPr="00E20883" w:rsidRDefault="00AE5D2F" w:rsidP="008C1AB5">
            <w:pPr>
              <w:rPr>
                <w:rFonts w:asciiTheme="majorHAnsi" w:hAnsiTheme="majorHAnsi" w:cstheme="majorHAnsi"/>
              </w:rPr>
            </w:pPr>
          </w:p>
        </w:tc>
      </w:tr>
      <w:tr w:rsidR="00AE5D2F" w:rsidRPr="00E20883" w14:paraId="45EE3063" w14:textId="079AF0AA" w:rsidTr="00AE5D2F">
        <w:tc>
          <w:tcPr>
            <w:tcW w:w="3071" w:type="dxa"/>
            <w:shd w:val="clear" w:color="auto" w:fill="auto"/>
          </w:tcPr>
          <w:p w14:paraId="3B8BF624"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w:t>
            </w:r>
            <w:r>
              <w:rPr>
                <w:rFonts w:asciiTheme="majorHAnsi" w:hAnsiTheme="majorHAnsi" w:cstheme="majorHAnsi"/>
                <w:color w:val="000000" w:themeColor="text1"/>
              </w:rPr>
              <w:t>4</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Requirements related to accuracy</w:t>
            </w:r>
          </w:p>
        </w:tc>
        <w:tc>
          <w:tcPr>
            <w:tcW w:w="3186" w:type="dxa"/>
            <w:shd w:val="clear" w:color="auto" w:fill="auto"/>
          </w:tcPr>
          <w:p w14:paraId="036E9F9E" w14:textId="77777777" w:rsidR="00AE5D2F" w:rsidRPr="00E20883" w:rsidRDefault="00AE5D2F" w:rsidP="008C1AB5">
            <w:pPr>
              <w:rPr>
                <w:rFonts w:asciiTheme="majorHAnsi" w:hAnsiTheme="majorHAnsi" w:cstheme="majorHAnsi"/>
              </w:rPr>
            </w:pPr>
            <w:r w:rsidRPr="00E20883">
              <w:rPr>
                <w:rFonts w:asciiTheme="majorHAnsi" w:hAnsiTheme="majorHAnsi" w:cstheme="majorHAnsi"/>
              </w:rPr>
              <w:t>Full Consensus / Consensus</w:t>
            </w:r>
          </w:p>
        </w:tc>
        <w:tc>
          <w:tcPr>
            <w:tcW w:w="3057" w:type="dxa"/>
          </w:tcPr>
          <w:p w14:paraId="5E0F67DF" w14:textId="77777777" w:rsidR="00AE5D2F" w:rsidRPr="00E20883" w:rsidRDefault="00AE5D2F" w:rsidP="008C1AB5">
            <w:pPr>
              <w:rPr>
                <w:rFonts w:asciiTheme="majorHAnsi" w:hAnsiTheme="majorHAnsi" w:cstheme="majorHAnsi"/>
              </w:rPr>
            </w:pPr>
          </w:p>
        </w:tc>
      </w:tr>
      <w:tr w:rsidR="00AE5D2F" w:rsidRPr="00E20883" w14:paraId="5E8464DA" w14:textId="77777777" w:rsidTr="00AE5D2F">
        <w:tc>
          <w:tcPr>
            <w:tcW w:w="3071" w:type="dxa"/>
            <w:shd w:val="clear" w:color="auto" w:fill="auto"/>
          </w:tcPr>
          <w:p w14:paraId="419CBE81" w14:textId="33F56E4B" w:rsidR="00AE5D2F"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#5 – Data Elements to be collected by Registrars</w:t>
            </w:r>
          </w:p>
        </w:tc>
        <w:tc>
          <w:tcPr>
            <w:tcW w:w="3186" w:type="dxa"/>
            <w:shd w:val="clear" w:color="auto" w:fill="auto"/>
          </w:tcPr>
          <w:p w14:paraId="35452AAA" w14:textId="3D5E0448" w:rsidR="00AE5D2F" w:rsidRDefault="00AE5D2F" w:rsidP="008C1AB5">
            <w:pPr>
              <w:rPr>
                <w:rFonts w:asciiTheme="majorHAnsi" w:hAnsiTheme="majorHAnsi" w:cstheme="majorHAnsi"/>
              </w:rPr>
            </w:pPr>
            <w:r>
              <w:rPr>
                <w:rFonts w:asciiTheme="majorHAnsi" w:hAnsiTheme="majorHAnsi" w:cstheme="majorHAnsi"/>
              </w:rPr>
              <w:t xml:space="preserve">Full Consensus / Consensus regarding the data elements to be collected and which data elements are optional for RNHs to provide but note there is no recommendation on whether the registrar is required to offer the Tech Contact. </w:t>
            </w:r>
          </w:p>
        </w:tc>
        <w:tc>
          <w:tcPr>
            <w:tcW w:w="3057" w:type="dxa"/>
          </w:tcPr>
          <w:p w14:paraId="39828065" w14:textId="77777777" w:rsidR="00AE5D2F" w:rsidRDefault="00AE5D2F" w:rsidP="008C1AB5">
            <w:pPr>
              <w:rPr>
                <w:rFonts w:asciiTheme="majorHAnsi" w:hAnsiTheme="majorHAnsi" w:cstheme="majorHAnsi"/>
              </w:rPr>
            </w:pPr>
          </w:p>
        </w:tc>
      </w:tr>
      <w:tr w:rsidR="00AE5D2F" w:rsidRPr="00E20883" w14:paraId="784340D6" w14:textId="1010C61C" w:rsidTr="00AE5D2F">
        <w:tc>
          <w:tcPr>
            <w:tcW w:w="3071" w:type="dxa"/>
            <w:shd w:val="clear" w:color="auto" w:fill="auto"/>
          </w:tcPr>
          <w:p w14:paraId="5DC32473" w14:textId="77777777"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Recommendation #6 </w:t>
            </w:r>
            <w:r w:rsidRPr="001349CE">
              <w:rPr>
                <w:rFonts w:asciiTheme="majorHAnsi" w:hAnsiTheme="majorHAnsi" w:cstheme="majorHAnsi"/>
                <w:color w:val="000000" w:themeColor="text1"/>
              </w:rPr>
              <w:t>–</w:t>
            </w:r>
            <w:r>
              <w:rPr>
                <w:rFonts w:asciiTheme="majorHAnsi" w:hAnsiTheme="majorHAnsi" w:cstheme="majorHAnsi"/>
                <w:color w:val="000000" w:themeColor="text1"/>
              </w:rPr>
              <w:t xml:space="preserve"> Consent to publish additional contact information</w:t>
            </w:r>
          </w:p>
        </w:tc>
        <w:tc>
          <w:tcPr>
            <w:tcW w:w="3186" w:type="dxa"/>
            <w:shd w:val="clear" w:color="auto" w:fill="auto"/>
          </w:tcPr>
          <w:p w14:paraId="225A2B7E" w14:textId="77777777"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6E8CC974" w14:textId="77777777" w:rsidR="00AE5D2F" w:rsidRDefault="00AE5D2F" w:rsidP="008C1AB5">
            <w:pPr>
              <w:rPr>
                <w:rFonts w:asciiTheme="majorHAnsi" w:hAnsiTheme="majorHAnsi" w:cstheme="majorHAnsi"/>
              </w:rPr>
            </w:pPr>
          </w:p>
        </w:tc>
      </w:tr>
      <w:tr w:rsidR="00AE5D2F" w:rsidRPr="00E20883" w14:paraId="0E20A7A1" w14:textId="77777777" w:rsidTr="00AE5D2F">
        <w:tc>
          <w:tcPr>
            <w:tcW w:w="3071" w:type="dxa"/>
            <w:shd w:val="clear" w:color="auto" w:fill="auto"/>
          </w:tcPr>
          <w:p w14:paraId="579C8A66" w14:textId="4FE03927" w:rsidR="00AE5D2F"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#7 – Data elements to be transferred from Registrars to Registries</w:t>
            </w:r>
          </w:p>
        </w:tc>
        <w:tc>
          <w:tcPr>
            <w:tcW w:w="3186" w:type="dxa"/>
            <w:shd w:val="clear" w:color="auto" w:fill="auto"/>
          </w:tcPr>
          <w:p w14:paraId="2B765EF8" w14:textId="7B69193C" w:rsidR="00AE5D2F"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772629DB" w14:textId="77777777" w:rsidR="00AE5D2F" w:rsidRDefault="00AE5D2F" w:rsidP="008C1AB5">
            <w:pPr>
              <w:rPr>
                <w:rFonts w:asciiTheme="majorHAnsi" w:hAnsiTheme="majorHAnsi" w:cstheme="majorHAnsi"/>
              </w:rPr>
            </w:pPr>
          </w:p>
        </w:tc>
      </w:tr>
      <w:tr w:rsidR="00AE5D2F" w:rsidRPr="00E20883" w14:paraId="6B29A2A7" w14:textId="2A196A91" w:rsidTr="00AE5D2F">
        <w:tc>
          <w:tcPr>
            <w:tcW w:w="3071" w:type="dxa"/>
            <w:shd w:val="clear" w:color="auto" w:fill="auto"/>
          </w:tcPr>
          <w:p w14:paraId="471B3732" w14:textId="77777777"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 xml:space="preserve">Recommendation #8 </w:t>
            </w:r>
            <w:r w:rsidRPr="001349CE">
              <w:rPr>
                <w:rFonts w:asciiTheme="majorHAnsi" w:hAnsiTheme="majorHAnsi" w:cstheme="majorHAnsi"/>
                <w:color w:val="000000" w:themeColor="text1"/>
              </w:rPr>
              <w:t>–</w:t>
            </w:r>
            <w:r>
              <w:rPr>
                <w:rFonts w:asciiTheme="majorHAnsi" w:hAnsiTheme="majorHAnsi" w:cstheme="majorHAnsi"/>
                <w:color w:val="000000" w:themeColor="text1"/>
              </w:rPr>
              <w:t xml:space="preserve"> Escrow Providers</w:t>
            </w:r>
          </w:p>
        </w:tc>
        <w:tc>
          <w:tcPr>
            <w:tcW w:w="3186" w:type="dxa"/>
            <w:shd w:val="clear" w:color="auto" w:fill="auto"/>
          </w:tcPr>
          <w:p w14:paraId="7A2150E7" w14:textId="4C45EE00"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2C1A073B" w14:textId="77777777" w:rsidR="00AE5D2F" w:rsidRDefault="00AE5D2F" w:rsidP="008C1AB5">
            <w:pPr>
              <w:rPr>
                <w:rFonts w:asciiTheme="majorHAnsi" w:hAnsiTheme="majorHAnsi" w:cstheme="majorHAnsi"/>
              </w:rPr>
            </w:pPr>
          </w:p>
        </w:tc>
      </w:tr>
      <w:tr w:rsidR="00AE5D2F" w:rsidRPr="00E20883" w14:paraId="00EA193B" w14:textId="77777777" w:rsidTr="008C1AB5">
        <w:tc>
          <w:tcPr>
            <w:tcW w:w="3071" w:type="dxa"/>
            <w:shd w:val="clear" w:color="auto" w:fill="auto"/>
          </w:tcPr>
          <w:p w14:paraId="5E6EE78F" w14:textId="37BC1349" w:rsidR="00AE5D2F"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#9 – Contractual Compliance</w:t>
            </w:r>
          </w:p>
        </w:tc>
        <w:tc>
          <w:tcPr>
            <w:tcW w:w="3186" w:type="dxa"/>
            <w:shd w:val="clear" w:color="auto" w:fill="auto"/>
          </w:tcPr>
          <w:p w14:paraId="5FB6332A" w14:textId="5409CEE0"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6BD5B769" w14:textId="77777777" w:rsidR="00AE5D2F" w:rsidRPr="00E20883" w:rsidRDefault="00AE5D2F" w:rsidP="008C1AB5">
            <w:pPr>
              <w:rPr>
                <w:rFonts w:asciiTheme="majorHAnsi" w:hAnsiTheme="majorHAnsi" w:cstheme="majorHAnsi"/>
              </w:rPr>
            </w:pPr>
          </w:p>
        </w:tc>
      </w:tr>
      <w:tr w:rsidR="00AE5D2F" w:rsidRPr="00E20883" w14:paraId="478C603B" w14:textId="77777777" w:rsidTr="008C1AB5">
        <w:tc>
          <w:tcPr>
            <w:tcW w:w="3071" w:type="dxa"/>
            <w:shd w:val="clear" w:color="auto" w:fill="auto"/>
          </w:tcPr>
          <w:p w14:paraId="44CCCB6E" w14:textId="77777777"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 xml:space="preserve">Recommendation #10 – Data redaction </w:t>
            </w:r>
          </w:p>
        </w:tc>
        <w:tc>
          <w:tcPr>
            <w:tcW w:w="3186" w:type="dxa"/>
            <w:shd w:val="clear" w:color="auto" w:fill="auto"/>
          </w:tcPr>
          <w:p w14:paraId="7FA51133" w14:textId="77777777" w:rsidR="00AE5D2F" w:rsidRPr="00E20883" w:rsidRDefault="00AE5D2F" w:rsidP="008C1AB5">
            <w:pPr>
              <w:rPr>
                <w:rFonts w:asciiTheme="majorHAnsi" w:hAnsiTheme="majorHAnsi" w:cstheme="majorHAnsi"/>
              </w:rPr>
            </w:pPr>
            <w:r w:rsidRPr="00E20883">
              <w:rPr>
                <w:rFonts w:asciiTheme="majorHAnsi" w:hAnsiTheme="majorHAnsi" w:cstheme="majorHAnsi"/>
              </w:rPr>
              <w:t>Full Consensus / Consensus</w:t>
            </w:r>
          </w:p>
        </w:tc>
        <w:tc>
          <w:tcPr>
            <w:tcW w:w="3057" w:type="dxa"/>
          </w:tcPr>
          <w:p w14:paraId="7A91D459" w14:textId="77777777" w:rsidR="00AE5D2F" w:rsidRPr="00E20883" w:rsidRDefault="00AE5D2F" w:rsidP="008C1AB5">
            <w:pPr>
              <w:rPr>
                <w:rFonts w:asciiTheme="majorHAnsi" w:hAnsiTheme="majorHAnsi" w:cstheme="majorHAnsi"/>
              </w:rPr>
            </w:pPr>
          </w:p>
        </w:tc>
      </w:tr>
      <w:tr w:rsidR="00FF2D74" w:rsidRPr="00E20883" w14:paraId="0A392F0F" w14:textId="77777777" w:rsidTr="0048413E">
        <w:trPr>
          <w:trHeight w:val="683"/>
        </w:trPr>
        <w:tc>
          <w:tcPr>
            <w:tcW w:w="3071" w:type="dxa"/>
            <w:shd w:val="clear" w:color="auto" w:fill="auto"/>
          </w:tcPr>
          <w:p w14:paraId="101D0114" w14:textId="385D84B2"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#11 – City Field</w:t>
            </w:r>
          </w:p>
        </w:tc>
        <w:tc>
          <w:tcPr>
            <w:tcW w:w="3186" w:type="dxa"/>
            <w:shd w:val="clear" w:color="auto" w:fill="auto"/>
          </w:tcPr>
          <w:p w14:paraId="43BF0FBE" w14:textId="04E28BF0" w:rsidR="00FF2D74" w:rsidRDefault="0048413E" w:rsidP="008C1AB5">
            <w:pPr>
              <w:rPr>
                <w:rFonts w:asciiTheme="majorHAnsi" w:hAnsiTheme="majorHAnsi" w:cstheme="majorHAnsi"/>
              </w:rPr>
            </w:pPr>
            <w:r w:rsidRPr="0048413E">
              <w:rPr>
                <w:rFonts w:asciiTheme="majorHAnsi" w:hAnsiTheme="majorHAnsi" w:cstheme="majorHAnsi"/>
                <w:color w:val="FF0000"/>
              </w:rPr>
              <w:t>Full Consensus / Consens</w:t>
            </w:r>
            <w:r>
              <w:rPr>
                <w:rFonts w:asciiTheme="majorHAnsi" w:hAnsiTheme="majorHAnsi" w:cstheme="majorHAnsi"/>
                <w:color w:val="FF0000"/>
              </w:rPr>
              <w:t>us</w:t>
            </w:r>
          </w:p>
        </w:tc>
        <w:tc>
          <w:tcPr>
            <w:tcW w:w="3057" w:type="dxa"/>
          </w:tcPr>
          <w:p w14:paraId="13CBBDB3" w14:textId="428FF6DE" w:rsidR="00FF2D74" w:rsidRPr="00E20883" w:rsidRDefault="00F81A4C" w:rsidP="00F81A4C">
            <w:pPr>
              <w:rPr>
                <w:rFonts w:asciiTheme="majorHAnsi" w:hAnsiTheme="majorHAnsi" w:cstheme="majorHAnsi"/>
              </w:rPr>
            </w:pPr>
            <w:r>
              <w:rPr>
                <w:rFonts w:asciiTheme="majorHAnsi" w:hAnsiTheme="majorHAnsi" w:cstheme="majorHAnsi"/>
              </w:rPr>
              <w:t>Based on 19 Feb call</w:t>
            </w:r>
          </w:p>
        </w:tc>
      </w:tr>
      <w:tr w:rsidR="00FF2D74" w:rsidRPr="00E20883" w14:paraId="6D5A6589" w14:textId="77777777" w:rsidTr="00AE5D2F">
        <w:tc>
          <w:tcPr>
            <w:tcW w:w="3071" w:type="dxa"/>
            <w:shd w:val="clear" w:color="auto" w:fill="auto"/>
          </w:tcPr>
          <w:p w14:paraId="0277F2F6" w14:textId="10992EB2"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#12 – Organization Field</w:t>
            </w:r>
          </w:p>
        </w:tc>
        <w:tc>
          <w:tcPr>
            <w:tcW w:w="3186" w:type="dxa"/>
            <w:shd w:val="clear" w:color="auto" w:fill="auto"/>
          </w:tcPr>
          <w:p w14:paraId="4EB08721" w14:textId="77777777" w:rsidR="00FF2D74" w:rsidRDefault="00FF2D74" w:rsidP="008C1AB5">
            <w:pPr>
              <w:rPr>
                <w:rFonts w:asciiTheme="majorHAnsi" w:hAnsiTheme="majorHAnsi" w:cstheme="majorHAnsi"/>
              </w:rPr>
            </w:pPr>
          </w:p>
        </w:tc>
        <w:tc>
          <w:tcPr>
            <w:tcW w:w="3057" w:type="dxa"/>
          </w:tcPr>
          <w:p w14:paraId="653CECEE" w14:textId="3C1CFE54" w:rsidR="00FF2D74" w:rsidRPr="00E20883" w:rsidRDefault="00F81A4C" w:rsidP="008C1AB5">
            <w:pPr>
              <w:rPr>
                <w:rFonts w:asciiTheme="majorHAnsi" w:hAnsiTheme="majorHAnsi" w:cstheme="majorHAnsi"/>
              </w:rPr>
            </w:pPr>
            <w:r>
              <w:rPr>
                <w:rFonts w:asciiTheme="majorHAnsi" w:hAnsiTheme="majorHAnsi" w:cstheme="majorHAnsi"/>
              </w:rPr>
              <w:t>For 20 Feb call</w:t>
            </w:r>
          </w:p>
        </w:tc>
      </w:tr>
      <w:tr w:rsidR="00AE5D2F" w:rsidRPr="00E20883" w14:paraId="0EE48691" w14:textId="77777777" w:rsidTr="00AE5D2F">
        <w:tc>
          <w:tcPr>
            <w:tcW w:w="3071" w:type="dxa"/>
            <w:shd w:val="clear" w:color="auto" w:fill="auto"/>
          </w:tcPr>
          <w:p w14:paraId="6B095788" w14:textId="7A455C6C"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#13 – Email Communication</w:t>
            </w:r>
          </w:p>
        </w:tc>
        <w:tc>
          <w:tcPr>
            <w:tcW w:w="3186" w:type="dxa"/>
            <w:shd w:val="clear" w:color="auto" w:fill="auto"/>
          </w:tcPr>
          <w:p w14:paraId="606FE9E0" w14:textId="3E79610A"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406C1EC0" w14:textId="77777777" w:rsidR="00AE5D2F" w:rsidRPr="00E20883" w:rsidRDefault="00AE5D2F" w:rsidP="008C1AB5">
            <w:pPr>
              <w:rPr>
                <w:rFonts w:asciiTheme="majorHAnsi" w:hAnsiTheme="majorHAnsi" w:cstheme="majorHAnsi"/>
              </w:rPr>
            </w:pPr>
          </w:p>
        </w:tc>
      </w:tr>
      <w:tr w:rsidR="00AE5D2F" w:rsidRPr="00E20883" w14:paraId="6F2478B2" w14:textId="77777777" w:rsidTr="00AE5D2F">
        <w:tc>
          <w:tcPr>
            <w:tcW w:w="3071" w:type="dxa"/>
            <w:shd w:val="clear" w:color="auto" w:fill="auto"/>
          </w:tcPr>
          <w:p w14:paraId="399EF736" w14:textId="6C5A7AA9" w:rsidR="00AE5D2F"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#14 – Privacy/Proxy Registrations</w:t>
            </w:r>
          </w:p>
        </w:tc>
        <w:tc>
          <w:tcPr>
            <w:tcW w:w="3186" w:type="dxa"/>
            <w:shd w:val="clear" w:color="auto" w:fill="auto"/>
          </w:tcPr>
          <w:p w14:paraId="227E9CB9" w14:textId="3986B302" w:rsidR="00AE5D2F"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6E4F3155" w14:textId="77777777" w:rsidR="00AE5D2F" w:rsidRPr="00E20883" w:rsidRDefault="00AE5D2F" w:rsidP="008C1AB5">
            <w:pPr>
              <w:rPr>
                <w:rFonts w:asciiTheme="majorHAnsi" w:hAnsiTheme="majorHAnsi" w:cstheme="majorHAnsi"/>
              </w:rPr>
            </w:pPr>
          </w:p>
        </w:tc>
      </w:tr>
      <w:tr w:rsidR="00AE5D2F" w:rsidRPr="00E20883" w14:paraId="6C0D9266" w14:textId="77777777" w:rsidTr="00AE5D2F">
        <w:tc>
          <w:tcPr>
            <w:tcW w:w="3071" w:type="dxa"/>
            <w:shd w:val="clear" w:color="auto" w:fill="auto"/>
          </w:tcPr>
          <w:p w14:paraId="274E9EEA" w14:textId="18F53433"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#15 – Data Retention</w:t>
            </w:r>
          </w:p>
        </w:tc>
        <w:tc>
          <w:tcPr>
            <w:tcW w:w="3186" w:type="dxa"/>
            <w:shd w:val="clear" w:color="auto" w:fill="auto"/>
          </w:tcPr>
          <w:p w14:paraId="0E334469" w14:textId="4653AAFA"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5FD43BF8" w14:textId="77777777" w:rsidR="00AE5D2F" w:rsidRPr="00E20883" w:rsidRDefault="00AE5D2F" w:rsidP="008C1AB5">
            <w:pPr>
              <w:rPr>
                <w:rFonts w:asciiTheme="majorHAnsi" w:hAnsiTheme="majorHAnsi" w:cstheme="majorHAnsi"/>
              </w:rPr>
            </w:pPr>
          </w:p>
        </w:tc>
      </w:tr>
      <w:tr w:rsidR="00FF2D74" w:rsidRPr="00E20883" w14:paraId="4BA14E78" w14:textId="77777777" w:rsidTr="00AE5D2F">
        <w:tc>
          <w:tcPr>
            <w:tcW w:w="3071" w:type="dxa"/>
            <w:shd w:val="clear" w:color="auto" w:fill="auto"/>
          </w:tcPr>
          <w:p w14:paraId="1BBD4765" w14:textId="3177B5AF"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#16 – Geographic Basis</w:t>
            </w:r>
          </w:p>
        </w:tc>
        <w:tc>
          <w:tcPr>
            <w:tcW w:w="3186" w:type="dxa"/>
            <w:shd w:val="clear" w:color="auto" w:fill="auto"/>
          </w:tcPr>
          <w:p w14:paraId="4768A823" w14:textId="021F2552" w:rsidR="00FF2D74" w:rsidRDefault="0048413E" w:rsidP="008C1AB5">
            <w:pPr>
              <w:rPr>
                <w:rFonts w:asciiTheme="majorHAnsi" w:hAnsiTheme="majorHAnsi" w:cstheme="majorHAnsi"/>
              </w:rPr>
            </w:pPr>
            <w:r w:rsidRPr="0048413E">
              <w:rPr>
                <w:rFonts w:asciiTheme="majorHAnsi" w:hAnsiTheme="majorHAnsi" w:cstheme="majorHAnsi"/>
                <w:color w:val="FF0000"/>
              </w:rPr>
              <w:t>Divergence</w:t>
            </w:r>
          </w:p>
        </w:tc>
        <w:tc>
          <w:tcPr>
            <w:tcW w:w="3057" w:type="dxa"/>
          </w:tcPr>
          <w:p w14:paraId="15071445" w14:textId="77777777" w:rsidR="00FF2D74" w:rsidRPr="00E20883" w:rsidRDefault="00FF2D74" w:rsidP="008C1AB5">
            <w:pPr>
              <w:rPr>
                <w:rFonts w:asciiTheme="majorHAnsi" w:hAnsiTheme="majorHAnsi" w:cstheme="majorHAnsi"/>
              </w:rPr>
            </w:pPr>
          </w:p>
        </w:tc>
      </w:tr>
      <w:tr w:rsidR="00FF2D74" w:rsidRPr="00E20883" w14:paraId="3C0A4C7B" w14:textId="77777777" w:rsidTr="00AE5D2F">
        <w:tc>
          <w:tcPr>
            <w:tcW w:w="3071" w:type="dxa"/>
            <w:shd w:val="clear" w:color="auto" w:fill="auto"/>
          </w:tcPr>
          <w:p w14:paraId="6A3EC0B3" w14:textId="0FFD72EA"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#17 – Natural vs. Legal</w:t>
            </w:r>
          </w:p>
        </w:tc>
        <w:tc>
          <w:tcPr>
            <w:tcW w:w="3186" w:type="dxa"/>
            <w:shd w:val="clear" w:color="auto" w:fill="auto"/>
          </w:tcPr>
          <w:p w14:paraId="047390FC" w14:textId="35290774" w:rsidR="00FF2D74" w:rsidRDefault="00B56E81" w:rsidP="008C1AB5">
            <w:pPr>
              <w:rPr>
                <w:rFonts w:asciiTheme="majorHAnsi" w:hAnsiTheme="majorHAnsi" w:cstheme="majorHAnsi"/>
              </w:rPr>
            </w:pPr>
            <w:r w:rsidRPr="0048413E">
              <w:rPr>
                <w:rFonts w:asciiTheme="majorHAnsi" w:hAnsiTheme="majorHAnsi" w:cstheme="majorHAnsi"/>
                <w:color w:val="FF0000"/>
              </w:rPr>
              <w:t>Consens</w:t>
            </w:r>
            <w:r>
              <w:rPr>
                <w:rFonts w:asciiTheme="majorHAnsi" w:hAnsiTheme="majorHAnsi" w:cstheme="majorHAnsi"/>
                <w:color w:val="FF0000"/>
              </w:rPr>
              <w:t>us</w:t>
            </w:r>
          </w:p>
        </w:tc>
        <w:tc>
          <w:tcPr>
            <w:tcW w:w="3057" w:type="dxa"/>
          </w:tcPr>
          <w:p w14:paraId="608DD3FC" w14:textId="56CBC4F6" w:rsidR="00FF2D74" w:rsidRPr="00E20883" w:rsidRDefault="00FF2D74" w:rsidP="008C1AB5">
            <w:pPr>
              <w:rPr>
                <w:rFonts w:asciiTheme="majorHAnsi" w:hAnsiTheme="majorHAnsi" w:cstheme="majorHAnsi"/>
              </w:rPr>
            </w:pPr>
            <w:r>
              <w:rPr>
                <w:rFonts w:asciiTheme="majorHAnsi" w:hAnsiTheme="majorHAnsi" w:cstheme="majorHAnsi"/>
              </w:rPr>
              <w:t>SSAC</w:t>
            </w:r>
          </w:p>
        </w:tc>
      </w:tr>
      <w:tr w:rsidR="00FF2D74" w:rsidRPr="00E20883" w14:paraId="45CF535C" w14:textId="77777777" w:rsidTr="00B56E81">
        <w:tc>
          <w:tcPr>
            <w:tcW w:w="3071" w:type="dxa"/>
            <w:shd w:val="clear" w:color="auto" w:fill="auto"/>
          </w:tcPr>
          <w:p w14:paraId="48D72F7D" w14:textId="62EEE456"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#18 – Requests for Lawful Disclosure</w:t>
            </w:r>
          </w:p>
        </w:tc>
        <w:tc>
          <w:tcPr>
            <w:tcW w:w="3186" w:type="dxa"/>
            <w:shd w:val="clear" w:color="auto" w:fill="auto"/>
          </w:tcPr>
          <w:p w14:paraId="0245A3FB" w14:textId="020FBF31" w:rsidR="00FF2D74" w:rsidRDefault="00B56E81" w:rsidP="008C1AB5">
            <w:pPr>
              <w:rPr>
                <w:rFonts w:asciiTheme="majorHAnsi" w:hAnsiTheme="majorHAnsi" w:cstheme="majorHAnsi"/>
              </w:rPr>
            </w:pPr>
            <w:r w:rsidRPr="0048413E">
              <w:rPr>
                <w:rFonts w:asciiTheme="majorHAnsi" w:hAnsiTheme="majorHAnsi" w:cstheme="majorHAnsi"/>
                <w:color w:val="FF0000"/>
              </w:rPr>
              <w:t>Consens</w:t>
            </w:r>
            <w:r>
              <w:rPr>
                <w:rFonts w:asciiTheme="majorHAnsi" w:hAnsiTheme="majorHAnsi" w:cstheme="majorHAnsi"/>
                <w:color w:val="FF0000"/>
              </w:rPr>
              <w:t>us</w:t>
            </w:r>
          </w:p>
        </w:tc>
        <w:tc>
          <w:tcPr>
            <w:tcW w:w="3057" w:type="dxa"/>
          </w:tcPr>
          <w:p w14:paraId="5D16B5F3" w14:textId="77777777" w:rsidR="00FF2D74" w:rsidRDefault="0048413E" w:rsidP="008C1AB5">
            <w:pPr>
              <w:rPr>
                <w:rFonts w:asciiTheme="majorHAnsi" w:hAnsiTheme="majorHAnsi" w:cstheme="majorHAnsi"/>
              </w:rPr>
            </w:pPr>
            <w:r>
              <w:rPr>
                <w:rFonts w:asciiTheme="majorHAnsi" w:hAnsiTheme="majorHAnsi" w:cstheme="majorHAnsi"/>
              </w:rPr>
              <w:t>IP / BC</w:t>
            </w:r>
          </w:p>
          <w:p w14:paraId="4B4F05A4" w14:textId="77777777" w:rsidR="0088788A" w:rsidRDefault="0088788A" w:rsidP="008C1AB5">
            <w:pPr>
              <w:rPr>
                <w:rFonts w:asciiTheme="majorHAnsi" w:hAnsiTheme="majorHAnsi" w:cstheme="majorHAnsi"/>
              </w:rPr>
            </w:pPr>
          </w:p>
          <w:p w14:paraId="44B0984B" w14:textId="28DA2942" w:rsidR="0088788A" w:rsidRPr="00E20883" w:rsidRDefault="0088788A" w:rsidP="008C1AB5">
            <w:pPr>
              <w:rPr>
                <w:rFonts w:asciiTheme="majorHAnsi" w:hAnsiTheme="majorHAnsi" w:cstheme="majorHAnsi"/>
              </w:rPr>
            </w:pPr>
            <w:r>
              <w:rPr>
                <w:rFonts w:asciiTheme="majorHAnsi" w:hAnsiTheme="majorHAnsi" w:cstheme="majorHAnsi"/>
              </w:rPr>
              <w:t xml:space="preserve">Question for group: any changes </w:t>
            </w:r>
          </w:p>
        </w:tc>
      </w:tr>
      <w:tr w:rsidR="00AE5D2F" w:rsidRPr="00E20883" w14:paraId="286E4C53" w14:textId="77777777" w:rsidTr="00AE5D2F">
        <w:tc>
          <w:tcPr>
            <w:tcW w:w="3071" w:type="dxa"/>
            <w:shd w:val="clear" w:color="auto" w:fill="auto"/>
          </w:tcPr>
          <w:p w14:paraId="5E71E8F4" w14:textId="04C8C384"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#19 – Controller Agreement</w:t>
            </w:r>
          </w:p>
        </w:tc>
        <w:tc>
          <w:tcPr>
            <w:tcW w:w="3186" w:type="dxa"/>
            <w:shd w:val="clear" w:color="auto" w:fill="auto"/>
          </w:tcPr>
          <w:p w14:paraId="5302CDFA" w14:textId="5395922C"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2DA4DAE5" w14:textId="77777777" w:rsidR="00AE5D2F" w:rsidRPr="00E20883" w:rsidRDefault="00AE5D2F" w:rsidP="008C1AB5">
            <w:pPr>
              <w:rPr>
                <w:rFonts w:asciiTheme="majorHAnsi" w:hAnsiTheme="majorHAnsi" w:cstheme="majorHAnsi"/>
              </w:rPr>
            </w:pPr>
          </w:p>
        </w:tc>
      </w:tr>
      <w:tr w:rsidR="00AE5D2F" w:rsidRPr="00E20883" w14:paraId="2E95647A" w14:textId="77777777" w:rsidTr="00AE5D2F">
        <w:tc>
          <w:tcPr>
            <w:tcW w:w="3071" w:type="dxa"/>
            <w:shd w:val="clear" w:color="auto" w:fill="auto"/>
          </w:tcPr>
          <w:p w14:paraId="665AB988" w14:textId="47B2269D"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#20</w:t>
            </w:r>
          </w:p>
        </w:tc>
        <w:tc>
          <w:tcPr>
            <w:tcW w:w="3186" w:type="dxa"/>
            <w:shd w:val="clear" w:color="auto" w:fill="auto"/>
          </w:tcPr>
          <w:p w14:paraId="418C8407" w14:textId="51332E20"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46B1D06B" w14:textId="77777777" w:rsidR="00AE5D2F" w:rsidRPr="00E20883" w:rsidRDefault="00AE5D2F" w:rsidP="008C1AB5">
            <w:pPr>
              <w:rPr>
                <w:rFonts w:asciiTheme="majorHAnsi" w:hAnsiTheme="majorHAnsi" w:cstheme="majorHAnsi"/>
              </w:rPr>
            </w:pPr>
          </w:p>
        </w:tc>
      </w:tr>
      <w:tr w:rsidR="00AE5D2F" w:rsidRPr="00E20883" w14:paraId="59869ED5" w14:textId="7D943201" w:rsidTr="00AE5D2F">
        <w:tc>
          <w:tcPr>
            <w:tcW w:w="3071" w:type="dxa"/>
            <w:shd w:val="clear" w:color="auto" w:fill="auto"/>
          </w:tcPr>
          <w:p w14:paraId="3751E0DF"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w:t>
            </w:r>
            <w:r>
              <w:rPr>
                <w:rFonts w:asciiTheme="majorHAnsi" w:hAnsiTheme="majorHAnsi" w:cstheme="majorHAnsi"/>
                <w:color w:val="000000" w:themeColor="text1"/>
              </w:rPr>
              <w:t>21</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URS / UDRP</w:t>
            </w:r>
          </w:p>
        </w:tc>
        <w:tc>
          <w:tcPr>
            <w:tcW w:w="3186" w:type="dxa"/>
            <w:shd w:val="clear" w:color="auto" w:fill="auto"/>
          </w:tcPr>
          <w:p w14:paraId="5B2C9CC2"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394F4CD2" w14:textId="77777777" w:rsidR="00AE5D2F" w:rsidRPr="00E20883" w:rsidRDefault="00AE5D2F" w:rsidP="008C1AB5">
            <w:pPr>
              <w:rPr>
                <w:rFonts w:asciiTheme="majorHAnsi" w:hAnsiTheme="majorHAnsi" w:cstheme="majorHAnsi"/>
              </w:rPr>
            </w:pPr>
          </w:p>
        </w:tc>
      </w:tr>
      <w:tr w:rsidR="00AE5D2F" w:rsidRPr="00E20883" w14:paraId="327FBED3" w14:textId="3242E2E4" w:rsidTr="00AE5D2F">
        <w:tc>
          <w:tcPr>
            <w:tcW w:w="3071" w:type="dxa"/>
            <w:shd w:val="clear" w:color="auto" w:fill="auto"/>
          </w:tcPr>
          <w:p w14:paraId="1C8841D9"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w:t>
            </w:r>
            <w:r>
              <w:rPr>
                <w:rFonts w:asciiTheme="majorHAnsi" w:hAnsiTheme="majorHAnsi" w:cstheme="majorHAnsi"/>
                <w:color w:val="000000" w:themeColor="text1"/>
              </w:rPr>
              <w:t>22</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Instructions for RPM PDP WG</w:t>
            </w:r>
          </w:p>
        </w:tc>
        <w:tc>
          <w:tcPr>
            <w:tcW w:w="3186" w:type="dxa"/>
            <w:shd w:val="clear" w:color="auto" w:fill="auto"/>
          </w:tcPr>
          <w:p w14:paraId="3252EDF6"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4B070D0F" w14:textId="77777777" w:rsidR="00AE5D2F" w:rsidRPr="00E20883" w:rsidRDefault="00AE5D2F" w:rsidP="008C1AB5">
            <w:pPr>
              <w:rPr>
                <w:rFonts w:asciiTheme="majorHAnsi" w:hAnsiTheme="majorHAnsi" w:cstheme="majorHAnsi"/>
              </w:rPr>
            </w:pPr>
          </w:p>
        </w:tc>
      </w:tr>
      <w:tr w:rsidR="00AE5D2F" w:rsidRPr="00E20883" w14:paraId="47DC0598" w14:textId="688CD62F" w:rsidTr="00AE5D2F">
        <w:tc>
          <w:tcPr>
            <w:tcW w:w="3071" w:type="dxa"/>
            <w:shd w:val="clear" w:color="auto" w:fill="auto"/>
          </w:tcPr>
          <w:p w14:paraId="69C870ED"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lastRenderedPageBreak/>
              <w:t>Recommendation #</w:t>
            </w:r>
            <w:r>
              <w:rPr>
                <w:rFonts w:asciiTheme="majorHAnsi" w:hAnsiTheme="majorHAnsi" w:cstheme="majorHAnsi"/>
                <w:color w:val="000000" w:themeColor="text1"/>
              </w:rPr>
              <w:t>23</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Data processing agreements with dispute resolution providers </w:t>
            </w:r>
          </w:p>
        </w:tc>
        <w:tc>
          <w:tcPr>
            <w:tcW w:w="3186" w:type="dxa"/>
            <w:shd w:val="clear" w:color="auto" w:fill="auto"/>
          </w:tcPr>
          <w:p w14:paraId="49A130DA"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7E01ABD4" w14:textId="77777777" w:rsidR="00AE5D2F" w:rsidRPr="00E20883" w:rsidRDefault="00AE5D2F" w:rsidP="008C1AB5">
            <w:pPr>
              <w:rPr>
                <w:rFonts w:asciiTheme="majorHAnsi" w:hAnsiTheme="majorHAnsi" w:cstheme="majorHAnsi"/>
              </w:rPr>
            </w:pPr>
          </w:p>
        </w:tc>
      </w:tr>
      <w:tr w:rsidR="00AE5D2F" w:rsidRPr="00E20883" w14:paraId="50344996" w14:textId="2129CD4B" w:rsidTr="00AE5D2F">
        <w:tc>
          <w:tcPr>
            <w:tcW w:w="3071" w:type="dxa"/>
            <w:shd w:val="clear" w:color="auto" w:fill="auto"/>
          </w:tcPr>
          <w:p w14:paraId="5ECF6F5C"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w:t>
            </w:r>
            <w:r>
              <w:rPr>
                <w:rFonts w:asciiTheme="majorHAnsi" w:hAnsiTheme="majorHAnsi" w:cstheme="majorHAnsi"/>
                <w:color w:val="000000" w:themeColor="text1"/>
              </w:rPr>
              <w:t>24</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Transfer Policy</w:t>
            </w:r>
          </w:p>
        </w:tc>
        <w:tc>
          <w:tcPr>
            <w:tcW w:w="3186" w:type="dxa"/>
            <w:shd w:val="clear" w:color="auto" w:fill="auto"/>
          </w:tcPr>
          <w:p w14:paraId="56EFFFC7"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5BB571AA" w14:textId="77777777" w:rsidR="00AE5D2F" w:rsidRPr="00E20883" w:rsidRDefault="00AE5D2F" w:rsidP="008C1AB5">
            <w:pPr>
              <w:rPr>
                <w:rFonts w:asciiTheme="majorHAnsi" w:hAnsiTheme="majorHAnsi" w:cstheme="majorHAnsi"/>
              </w:rPr>
            </w:pPr>
          </w:p>
        </w:tc>
      </w:tr>
      <w:tr w:rsidR="00AE5D2F" w:rsidRPr="00E20883" w14:paraId="21FC2843" w14:textId="5AD6622B" w:rsidTr="00AE5D2F">
        <w:tc>
          <w:tcPr>
            <w:tcW w:w="3071" w:type="dxa"/>
            <w:shd w:val="clear" w:color="auto" w:fill="auto"/>
          </w:tcPr>
          <w:p w14:paraId="00F7E699"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#2</w:t>
            </w:r>
            <w:r>
              <w:rPr>
                <w:rFonts w:asciiTheme="majorHAnsi" w:hAnsiTheme="majorHAnsi" w:cstheme="majorHAnsi"/>
                <w:color w:val="000000" w:themeColor="text1"/>
              </w:rPr>
              <w:t>5</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Input to Transfer Policy review </w:t>
            </w:r>
          </w:p>
        </w:tc>
        <w:tc>
          <w:tcPr>
            <w:tcW w:w="3186" w:type="dxa"/>
            <w:shd w:val="clear" w:color="auto" w:fill="auto"/>
          </w:tcPr>
          <w:p w14:paraId="41562CA9"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6D80FC89" w14:textId="77777777" w:rsidR="00AE5D2F" w:rsidRPr="00E20883" w:rsidRDefault="00AE5D2F" w:rsidP="008C1AB5">
            <w:pPr>
              <w:rPr>
                <w:rFonts w:asciiTheme="majorHAnsi" w:hAnsiTheme="majorHAnsi" w:cstheme="majorHAnsi"/>
              </w:rPr>
            </w:pPr>
          </w:p>
        </w:tc>
      </w:tr>
      <w:tr w:rsidR="00AE5D2F" w:rsidRPr="00E20883" w14:paraId="09FA2069" w14:textId="086509B6" w:rsidTr="00AE5D2F">
        <w:tc>
          <w:tcPr>
            <w:tcW w:w="3071" w:type="dxa"/>
            <w:shd w:val="clear" w:color="auto" w:fill="auto"/>
          </w:tcPr>
          <w:p w14:paraId="61A1619D" w14:textId="77777777" w:rsidR="00AE5D2F" w:rsidRPr="00E20883" w:rsidRDefault="00AE5D2F" w:rsidP="008C1AB5">
            <w:pPr>
              <w:spacing w:before="60"/>
              <w:rPr>
                <w:rFonts w:asciiTheme="majorHAnsi" w:hAnsiTheme="majorHAnsi" w:cstheme="majorHAnsi"/>
                <w:color w:val="000000" w:themeColor="text1"/>
              </w:rPr>
            </w:pPr>
            <w:r w:rsidRPr="00E20883">
              <w:rPr>
                <w:rFonts w:asciiTheme="majorHAnsi" w:hAnsiTheme="majorHAnsi" w:cstheme="majorHAnsi"/>
                <w:color w:val="000000" w:themeColor="text1"/>
              </w:rPr>
              <w:t>Recommendation #2</w:t>
            </w:r>
            <w:r>
              <w:rPr>
                <w:rFonts w:asciiTheme="majorHAnsi" w:hAnsiTheme="majorHAnsi" w:cstheme="majorHAnsi"/>
                <w:color w:val="000000" w:themeColor="text1"/>
              </w:rPr>
              <w:t>6</w:t>
            </w:r>
            <w:r w:rsidRPr="00E20883">
              <w:rPr>
                <w:rFonts w:asciiTheme="majorHAnsi" w:hAnsiTheme="majorHAnsi" w:cstheme="majorHAnsi"/>
                <w:color w:val="000000" w:themeColor="text1"/>
              </w:rPr>
              <w:t xml:space="preserve"> </w:t>
            </w:r>
            <w:r w:rsidRPr="001349CE">
              <w:rPr>
                <w:rFonts w:asciiTheme="majorHAnsi" w:hAnsiTheme="majorHAnsi" w:cstheme="majorHAnsi"/>
                <w:color w:val="000000" w:themeColor="text1"/>
              </w:rPr>
              <w:t>–</w:t>
            </w:r>
            <w:r w:rsidRPr="00E20883">
              <w:rPr>
                <w:rFonts w:asciiTheme="majorHAnsi" w:hAnsiTheme="majorHAnsi" w:cstheme="majorHAnsi"/>
                <w:color w:val="000000" w:themeColor="text1"/>
              </w:rPr>
              <w:t xml:space="preserve"> Data processing agreements with non-Contracted Party entities involved in registration data processing</w:t>
            </w:r>
          </w:p>
        </w:tc>
        <w:tc>
          <w:tcPr>
            <w:tcW w:w="3186" w:type="dxa"/>
            <w:shd w:val="clear" w:color="auto" w:fill="auto"/>
          </w:tcPr>
          <w:p w14:paraId="072AA49F" w14:textId="77777777" w:rsidR="00AE5D2F" w:rsidRPr="00E20883" w:rsidRDefault="00AE5D2F" w:rsidP="008C1AB5">
            <w:pPr>
              <w:rPr>
                <w:rFonts w:asciiTheme="majorHAnsi" w:hAnsiTheme="majorHAnsi" w:cstheme="majorHAnsi"/>
                <w:b/>
              </w:rPr>
            </w:pPr>
            <w:r w:rsidRPr="00E20883">
              <w:rPr>
                <w:rFonts w:asciiTheme="majorHAnsi" w:hAnsiTheme="majorHAnsi" w:cstheme="majorHAnsi"/>
              </w:rPr>
              <w:t>Full Consensus / Consensus</w:t>
            </w:r>
          </w:p>
        </w:tc>
        <w:tc>
          <w:tcPr>
            <w:tcW w:w="3057" w:type="dxa"/>
          </w:tcPr>
          <w:p w14:paraId="27323B00" w14:textId="77777777" w:rsidR="00AE5D2F" w:rsidRPr="00E20883" w:rsidRDefault="00AE5D2F" w:rsidP="008C1AB5">
            <w:pPr>
              <w:rPr>
                <w:rFonts w:asciiTheme="majorHAnsi" w:hAnsiTheme="majorHAnsi" w:cstheme="majorHAnsi"/>
              </w:rPr>
            </w:pPr>
          </w:p>
        </w:tc>
      </w:tr>
      <w:tr w:rsidR="00FF2D74" w:rsidRPr="00E20883" w14:paraId="113B458F" w14:textId="77777777" w:rsidTr="00AE5D2F">
        <w:tc>
          <w:tcPr>
            <w:tcW w:w="3071" w:type="dxa"/>
            <w:shd w:val="clear" w:color="auto" w:fill="auto"/>
          </w:tcPr>
          <w:p w14:paraId="5857191A" w14:textId="189A1223" w:rsidR="00FF2D74" w:rsidRDefault="00FF2D74"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#27 – Impact on other policies</w:t>
            </w:r>
          </w:p>
        </w:tc>
        <w:tc>
          <w:tcPr>
            <w:tcW w:w="3186" w:type="dxa"/>
            <w:shd w:val="clear" w:color="auto" w:fill="auto"/>
          </w:tcPr>
          <w:p w14:paraId="206ADF00" w14:textId="3C042084" w:rsidR="00FF2D74" w:rsidRDefault="00FF2D74"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3EF9D3B3" w14:textId="77777777" w:rsidR="00FF2D74" w:rsidRPr="00E20883" w:rsidRDefault="00FF2D74" w:rsidP="008C1AB5">
            <w:pPr>
              <w:rPr>
                <w:rFonts w:asciiTheme="majorHAnsi" w:hAnsiTheme="majorHAnsi" w:cstheme="majorHAnsi"/>
              </w:rPr>
            </w:pPr>
          </w:p>
        </w:tc>
      </w:tr>
      <w:tr w:rsidR="00AE5D2F" w:rsidRPr="00E20883" w14:paraId="4A9AB4EC" w14:textId="77777777" w:rsidTr="00AE5D2F">
        <w:tc>
          <w:tcPr>
            <w:tcW w:w="3071" w:type="dxa"/>
            <w:shd w:val="clear" w:color="auto" w:fill="auto"/>
          </w:tcPr>
          <w:p w14:paraId="05C9AF64" w14:textId="69FED9F9" w:rsidR="00AE5D2F" w:rsidRPr="00E20883" w:rsidRDefault="00AE5D2F" w:rsidP="008C1AB5">
            <w:pPr>
              <w:spacing w:before="60"/>
              <w:rPr>
                <w:rFonts w:asciiTheme="majorHAnsi" w:hAnsiTheme="majorHAnsi" w:cstheme="majorHAnsi"/>
                <w:color w:val="000000" w:themeColor="text1"/>
              </w:rPr>
            </w:pPr>
            <w:r>
              <w:rPr>
                <w:rFonts w:asciiTheme="majorHAnsi" w:hAnsiTheme="majorHAnsi" w:cstheme="majorHAnsi"/>
                <w:color w:val="000000" w:themeColor="text1"/>
              </w:rPr>
              <w:t>Recommendation #28 – Implementation Transition Period</w:t>
            </w:r>
          </w:p>
        </w:tc>
        <w:tc>
          <w:tcPr>
            <w:tcW w:w="3186" w:type="dxa"/>
            <w:shd w:val="clear" w:color="auto" w:fill="auto"/>
          </w:tcPr>
          <w:p w14:paraId="255A3385" w14:textId="77CF9C73" w:rsidR="00AE5D2F" w:rsidRPr="00E20883" w:rsidRDefault="00AE5D2F" w:rsidP="008C1AB5">
            <w:pPr>
              <w:rPr>
                <w:rFonts w:asciiTheme="majorHAnsi" w:hAnsiTheme="majorHAnsi" w:cstheme="majorHAnsi"/>
              </w:rPr>
            </w:pPr>
            <w:r>
              <w:rPr>
                <w:rFonts w:asciiTheme="majorHAnsi" w:hAnsiTheme="majorHAnsi" w:cstheme="majorHAnsi"/>
              </w:rPr>
              <w:t>Full Consensus / Consensus</w:t>
            </w:r>
          </w:p>
        </w:tc>
        <w:tc>
          <w:tcPr>
            <w:tcW w:w="3057" w:type="dxa"/>
          </w:tcPr>
          <w:p w14:paraId="107744E5" w14:textId="77777777" w:rsidR="00AE5D2F" w:rsidRPr="00E20883" w:rsidRDefault="00AE5D2F" w:rsidP="008C1AB5">
            <w:pPr>
              <w:rPr>
                <w:rFonts w:asciiTheme="majorHAnsi" w:hAnsiTheme="majorHAnsi" w:cstheme="majorHAnsi"/>
              </w:rPr>
            </w:pPr>
          </w:p>
        </w:tc>
      </w:tr>
    </w:tbl>
    <w:p w14:paraId="5BBA1BE8" w14:textId="77777777" w:rsidR="00AE5D2F" w:rsidRDefault="00AE5D2F" w:rsidP="00AE5D2F">
      <w:pPr>
        <w:rPr>
          <w:rFonts w:asciiTheme="majorHAnsi" w:hAnsiTheme="majorHAnsi"/>
        </w:rPr>
      </w:pPr>
    </w:p>
    <w:sectPr w:rsidR="00AE5D2F"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2F"/>
    <w:rsid w:val="000B7A30"/>
    <w:rsid w:val="00246C3B"/>
    <w:rsid w:val="00385D74"/>
    <w:rsid w:val="0048413E"/>
    <w:rsid w:val="005E720C"/>
    <w:rsid w:val="005F102F"/>
    <w:rsid w:val="007F1FED"/>
    <w:rsid w:val="008363A6"/>
    <w:rsid w:val="0088788A"/>
    <w:rsid w:val="008A501E"/>
    <w:rsid w:val="00AE5D2F"/>
    <w:rsid w:val="00B34569"/>
    <w:rsid w:val="00B56E81"/>
    <w:rsid w:val="00BE5129"/>
    <w:rsid w:val="00D23803"/>
    <w:rsid w:val="00E53B3D"/>
    <w:rsid w:val="00EF35AF"/>
    <w:rsid w:val="00F05A19"/>
    <w:rsid w:val="00F10689"/>
    <w:rsid w:val="00F76A69"/>
    <w:rsid w:val="00F81A4C"/>
    <w:rsid w:val="00FB751B"/>
    <w:rsid w:val="00FF2D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CE863C"/>
  <w15:chartTrackingRefBased/>
  <w15:docId w15:val="{448D21C7-58CF-2943-A532-77250F5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5D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D2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5A19"/>
    <w:rPr>
      <w:sz w:val="18"/>
      <w:szCs w:val="18"/>
    </w:rPr>
  </w:style>
  <w:style w:type="paragraph" w:styleId="CommentText">
    <w:name w:val="annotation text"/>
    <w:basedOn w:val="Normal"/>
    <w:link w:val="CommentTextChar"/>
    <w:uiPriority w:val="99"/>
    <w:semiHidden/>
    <w:unhideWhenUsed/>
    <w:rsid w:val="00F05A19"/>
  </w:style>
  <w:style w:type="character" w:customStyle="1" w:styleId="CommentTextChar">
    <w:name w:val="Comment Text Char"/>
    <w:basedOn w:val="DefaultParagraphFont"/>
    <w:link w:val="CommentText"/>
    <w:uiPriority w:val="99"/>
    <w:semiHidden/>
    <w:rsid w:val="00F05A1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05A19"/>
    <w:rPr>
      <w:b/>
      <w:bCs/>
      <w:sz w:val="20"/>
      <w:szCs w:val="20"/>
    </w:rPr>
  </w:style>
  <w:style w:type="character" w:customStyle="1" w:styleId="CommentSubjectChar">
    <w:name w:val="Comment Subject Char"/>
    <w:basedOn w:val="CommentTextChar"/>
    <w:link w:val="CommentSubject"/>
    <w:uiPriority w:val="99"/>
    <w:semiHidden/>
    <w:rsid w:val="00F05A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5A19"/>
    <w:rPr>
      <w:sz w:val="18"/>
      <w:szCs w:val="18"/>
    </w:rPr>
  </w:style>
  <w:style w:type="character" w:customStyle="1" w:styleId="BalloonTextChar">
    <w:name w:val="Balloon Text Char"/>
    <w:basedOn w:val="DefaultParagraphFont"/>
    <w:link w:val="BalloonText"/>
    <w:uiPriority w:val="99"/>
    <w:semiHidden/>
    <w:rsid w:val="00F05A1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2</cp:revision>
  <dcterms:created xsi:type="dcterms:W3CDTF">2019-02-20T00:01:00Z</dcterms:created>
  <dcterms:modified xsi:type="dcterms:W3CDTF">2019-02-20T00:01:00Z</dcterms:modified>
</cp:coreProperties>
</file>