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C856" w14:textId="181B02FB" w:rsidR="005A050E" w:rsidRPr="00B94533" w:rsidRDefault="005A050E">
      <w:pPr>
        <w:rPr>
          <w:rFonts w:ascii="Calibri" w:hAnsi="Calibri" w:cs="Calibri"/>
          <w:sz w:val="22"/>
          <w:szCs w:val="22"/>
        </w:rPr>
      </w:pPr>
      <w:r w:rsidRPr="00B94533">
        <w:rPr>
          <w:rFonts w:ascii="Calibri" w:hAnsi="Calibri" w:cs="Calibri"/>
          <w:sz w:val="22"/>
          <w:szCs w:val="22"/>
        </w:rPr>
        <w:t xml:space="preserve">For the results of the survey, please see: </w:t>
      </w:r>
    </w:p>
    <w:p w14:paraId="51887538" w14:textId="76B1824D" w:rsidR="005A050E" w:rsidRDefault="00AF7974">
      <w:pPr>
        <w:rPr>
          <w:rFonts w:ascii="Calibri" w:hAnsi="Calibri" w:cs="Calibri"/>
          <w:sz w:val="22"/>
          <w:szCs w:val="22"/>
        </w:rPr>
      </w:pPr>
      <w:hyperlink r:id="rId5" w:history="1">
        <w:r w:rsidRPr="002D2669">
          <w:rPr>
            <w:rStyle w:val="Hyperlink"/>
            <w:rFonts w:ascii="Calibri" w:hAnsi="Calibri" w:cs="Calibri"/>
            <w:sz w:val="22"/>
            <w:szCs w:val="22"/>
          </w:rPr>
          <w:t>https://www.surveymonkey.com/results/SM-2H77TQYL7/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2E0BF3C" w14:textId="77777777" w:rsidR="00AF7974" w:rsidRPr="00B94533" w:rsidRDefault="00AF7974">
      <w:pPr>
        <w:rPr>
          <w:rFonts w:ascii="Calibri" w:hAnsi="Calibri" w:cs="Calibri"/>
          <w:sz w:val="22"/>
          <w:szCs w:val="22"/>
        </w:rPr>
      </w:pPr>
    </w:p>
    <w:p w14:paraId="2775B4E2" w14:textId="278B3C54" w:rsidR="005A050E" w:rsidRPr="00B94533" w:rsidRDefault="005A050E">
      <w:pPr>
        <w:rPr>
          <w:rFonts w:ascii="Calibri" w:hAnsi="Calibri" w:cs="Calibri"/>
          <w:sz w:val="22"/>
          <w:szCs w:val="22"/>
        </w:rPr>
      </w:pPr>
      <w:r w:rsidRPr="00B94533">
        <w:rPr>
          <w:rFonts w:ascii="Calibri" w:hAnsi="Calibri" w:cs="Calibri"/>
          <w:sz w:val="22"/>
          <w:szCs w:val="22"/>
        </w:rPr>
        <w:t>Based on the survey results, EPDP Leadership proposes the following order for upcoming calls:</w:t>
      </w:r>
    </w:p>
    <w:p w14:paraId="239619AA" w14:textId="50635C9C" w:rsidR="005A050E" w:rsidRPr="005A050E" w:rsidRDefault="005A050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A050E" w:rsidRPr="005A050E" w14:paraId="74A27A50" w14:textId="77777777" w:rsidTr="005A050E">
        <w:tc>
          <w:tcPr>
            <w:tcW w:w="2335" w:type="dxa"/>
          </w:tcPr>
          <w:p w14:paraId="1F79DD19" w14:textId="79F8C707" w:rsidR="005A050E" w:rsidRPr="005A050E" w:rsidRDefault="005A05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EPDP Team Meeting</w:t>
            </w:r>
          </w:p>
        </w:tc>
        <w:tc>
          <w:tcPr>
            <w:tcW w:w="7015" w:type="dxa"/>
          </w:tcPr>
          <w:p w14:paraId="2123C753" w14:textId="750FC992" w:rsidR="005A050E" w:rsidRPr="005A050E" w:rsidRDefault="005A05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Topics</w:t>
            </w:r>
          </w:p>
        </w:tc>
      </w:tr>
      <w:tr w:rsidR="005A050E" w:rsidRPr="005A050E" w14:paraId="2109767A" w14:textId="77777777" w:rsidTr="005A050E">
        <w:tc>
          <w:tcPr>
            <w:tcW w:w="2335" w:type="dxa"/>
          </w:tcPr>
          <w:p w14:paraId="53ABA791" w14:textId="58401761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25 July 2019</w:t>
            </w:r>
          </w:p>
        </w:tc>
        <w:tc>
          <w:tcPr>
            <w:tcW w:w="7015" w:type="dxa"/>
          </w:tcPr>
          <w:p w14:paraId="299C777B" w14:textId="77777777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 reading</w:t>
            </w: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F2CEDFE" w14:textId="5D589016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Investigation of criminal activity where domain names are used.  Typical specific example: phishing attack</w:t>
            </w:r>
          </w:p>
          <w:p w14:paraId="11A36BB6" w14:textId="77777777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B48559E" w14:textId="72A07B34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When a network is undergoing an attack involving a domain name, and the operator(s) of that network need to contact the domain owner to remediate the security issue (DDOS, Botnet, etc.)</w:t>
            </w:r>
          </w:p>
        </w:tc>
      </w:tr>
      <w:tr w:rsidR="005A050E" w:rsidRPr="005A050E" w14:paraId="7BFCDD35" w14:textId="77777777" w:rsidTr="005A050E">
        <w:tc>
          <w:tcPr>
            <w:tcW w:w="2335" w:type="dxa"/>
          </w:tcPr>
          <w:p w14:paraId="0312E557" w14:textId="2530B688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1 August 2019</w:t>
            </w:r>
          </w:p>
        </w:tc>
        <w:tc>
          <w:tcPr>
            <w:tcW w:w="7015" w:type="dxa"/>
          </w:tcPr>
          <w:p w14:paraId="48408F1B" w14:textId="77777777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 reading</w:t>
            </w: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64DF835" w14:textId="77777777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When a network is undergoing an attack involving a domain name, and the operator(s) of that network need to contact the domain owner to remediate the security issue (DDOS, Botnet, etc.)</w:t>
            </w:r>
          </w:p>
          <w:p w14:paraId="269CD450" w14:textId="77777777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F4E4DE" w14:textId="21D8DA64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Investigation of criminal activity against a victim in the jurisdiction of the investigating LEA requesting data from either a local or non-local data controller.</w:t>
            </w:r>
          </w:p>
        </w:tc>
      </w:tr>
      <w:tr w:rsidR="005A050E" w:rsidRPr="005A050E" w14:paraId="2097A193" w14:textId="77777777" w:rsidTr="005A050E">
        <w:tc>
          <w:tcPr>
            <w:tcW w:w="2335" w:type="dxa"/>
          </w:tcPr>
          <w:p w14:paraId="2EBF32CE" w14:textId="6F002A59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8 August 2019</w:t>
            </w:r>
          </w:p>
        </w:tc>
        <w:tc>
          <w:tcPr>
            <w:tcW w:w="7015" w:type="dxa"/>
          </w:tcPr>
          <w:p w14:paraId="78D27C1D" w14:textId="2AAFD356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 reading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64B4D27" w14:textId="646A0FD1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Investigation of criminal activity against a victim in the jurisdiction of the investigating LEA requesting data from either a local or non-local data controller.</w:t>
            </w:r>
          </w:p>
          <w:p w14:paraId="0EB401A5" w14:textId="77777777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80CDD6D" w14:textId="58ED7EA0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Investigation of criminal activity in the jurisdiction of the investigating LEA requesting data from either a local a non-local data controller.</w:t>
            </w:r>
          </w:p>
        </w:tc>
      </w:tr>
      <w:tr w:rsidR="005A050E" w:rsidRPr="005A050E" w14:paraId="66321541" w14:textId="77777777" w:rsidTr="005A050E">
        <w:tc>
          <w:tcPr>
            <w:tcW w:w="2335" w:type="dxa"/>
          </w:tcPr>
          <w:p w14:paraId="741E4B5B" w14:textId="4CD8BE54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August 2019</w:t>
            </w:r>
          </w:p>
        </w:tc>
        <w:tc>
          <w:tcPr>
            <w:tcW w:w="7015" w:type="dxa"/>
          </w:tcPr>
          <w:p w14:paraId="2DECB0B5" w14:textId="77777777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 reading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51A93A6" w14:textId="77777777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Investigation of criminal activity in the jurisdiction of the investigating LEA requesting data from either a local a non-local data controller.</w:t>
            </w:r>
          </w:p>
          <w:p w14:paraId="7C296055" w14:textId="77777777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3DE2C9" w14:textId="516426FA" w:rsidR="005A050E" w:rsidRPr="005A050E" w:rsidRDefault="00585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Trademark owners requesting data in the establishment, exercise or defense of legal claims for trademark infringement.</w:t>
            </w:r>
          </w:p>
        </w:tc>
      </w:tr>
      <w:tr w:rsidR="005A050E" w:rsidRPr="005A050E" w14:paraId="38C18063" w14:textId="77777777" w:rsidTr="005A050E">
        <w:tc>
          <w:tcPr>
            <w:tcW w:w="2335" w:type="dxa"/>
          </w:tcPr>
          <w:p w14:paraId="2A664F75" w14:textId="1A94F1E7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August 2019</w:t>
            </w:r>
          </w:p>
        </w:tc>
        <w:tc>
          <w:tcPr>
            <w:tcW w:w="7015" w:type="dxa"/>
          </w:tcPr>
          <w:p w14:paraId="03108AD1" w14:textId="77777777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 reading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E9AB00" w14:textId="77777777" w:rsidR="00585714" w:rsidRDefault="00585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Trademark owners requesting data in the establishment, exercise or defense of legal claims for trademark infringemen</w:t>
            </w:r>
            <w:bookmarkStart w:id="0" w:name="_GoBack"/>
            <w:bookmarkEnd w:id="0"/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t.</w:t>
            </w:r>
          </w:p>
          <w:p w14:paraId="6F9BD141" w14:textId="4D4248A4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203041C" w14:textId="048C1E8E" w:rsidR="005A050E" w:rsidRPr="005A050E" w:rsidRDefault="00585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Identify owner of abusive domains and other related domains involved in civil legal claims related to phishing, malware, botnets, and other fraudulent activities</w:t>
            </w:r>
          </w:p>
        </w:tc>
      </w:tr>
      <w:tr w:rsidR="005A050E" w:rsidRPr="005A050E" w14:paraId="51641B91" w14:textId="77777777" w:rsidTr="005A050E">
        <w:tc>
          <w:tcPr>
            <w:tcW w:w="2335" w:type="dxa"/>
          </w:tcPr>
          <w:p w14:paraId="706D5703" w14:textId="1A1315DD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August 2019</w:t>
            </w:r>
          </w:p>
        </w:tc>
        <w:tc>
          <w:tcPr>
            <w:tcW w:w="7015" w:type="dxa"/>
          </w:tcPr>
          <w:p w14:paraId="065C45F5" w14:textId="693A4451" w:rsidR="005A050E" w:rsidRDefault="005A050E" w:rsidP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 reading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B5BC6C4" w14:textId="0AE54A43" w:rsidR="00585714" w:rsidRDefault="00585714" w:rsidP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sz w:val="22"/>
                <w:szCs w:val="22"/>
              </w:rPr>
              <w:t>Identify owner of abusive domains and other related domains involved in civil legal claims related to phishing, malware, botnets, and other fraudulent activities</w:t>
            </w:r>
          </w:p>
          <w:p w14:paraId="22203CDF" w14:textId="77777777" w:rsidR="005A050E" w:rsidRDefault="005A05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reading:</w:t>
            </w:r>
          </w:p>
          <w:p w14:paraId="2DAFEEAD" w14:textId="36697793" w:rsidR="00B94533" w:rsidRPr="00B94533" w:rsidRDefault="00585714" w:rsidP="00B94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5714">
              <w:rPr>
                <w:rFonts w:asciiTheme="minorHAnsi" w:hAnsiTheme="minorHAnsi" w:cstheme="minorHAnsi"/>
                <w:sz w:val="22"/>
                <w:szCs w:val="22"/>
              </w:rPr>
              <w:t>Copyright owners requesting data in the establishment, exercise or defense of legal claims for copyright infringement.</w:t>
            </w:r>
          </w:p>
        </w:tc>
      </w:tr>
    </w:tbl>
    <w:p w14:paraId="0EE49BF3" w14:textId="04D67294" w:rsidR="005A050E" w:rsidRDefault="00B945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By 29 August meeting, </w:t>
      </w:r>
      <w:r>
        <w:rPr>
          <w:rFonts w:asciiTheme="minorHAnsi" w:hAnsiTheme="minorHAnsi" w:cstheme="minorHAnsi"/>
          <w:sz w:val="22"/>
          <w:szCs w:val="22"/>
        </w:rPr>
        <w:t xml:space="preserve">EPDP </w:t>
      </w:r>
      <w:r>
        <w:rPr>
          <w:rFonts w:asciiTheme="minorHAnsi" w:hAnsiTheme="minorHAnsi" w:cstheme="minorHAnsi"/>
          <w:sz w:val="22"/>
          <w:szCs w:val="22"/>
        </w:rPr>
        <w:t xml:space="preserve">Leadership </w:t>
      </w:r>
      <w:r>
        <w:rPr>
          <w:rFonts w:asciiTheme="minorHAnsi" w:hAnsiTheme="minorHAnsi" w:cstheme="minorHAnsi"/>
          <w:sz w:val="22"/>
          <w:szCs w:val="22"/>
        </w:rPr>
        <w:t>to assess remaining use cases and determine whether further review should continue prior to F2F meeting or whether focus</w:t>
      </w:r>
      <w:r>
        <w:rPr>
          <w:rFonts w:asciiTheme="minorHAnsi" w:hAnsiTheme="minorHAnsi" w:cstheme="minorHAnsi"/>
          <w:sz w:val="22"/>
          <w:szCs w:val="22"/>
        </w:rPr>
        <w:t xml:space="preserve"> should shift to preparations for F2F meeting with further review continuing post-F2F meeting. Order of remaining use cases:</w:t>
      </w:r>
    </w:p>
    <w:p w14:paraId="31F637FC" w14:textId="4DCE9C6E" w:rsidR="00B94533" w:rsidRDefault="00B94533">
      <w:pPr>
        <w:rPr>
          <w:rFonts w:asciiTheme="minorHAnsi" w:hAnsiTheme="minorHAnsi" w:cstheme="minorHAnsi"/>
          <w:sz w:val="22"/>
          <w:szCs w:val="22"/>
        </w:rPr>
      </w:pPr>
    </w:p>
    <w:p w14:paraId="70C6407D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Determine “Reputation” of domain name and/or elements associated with domain name registrations.</w:t>
      </w:r>
    </w:p>
    <w:p w14:paraId="059EE753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The establishment, exercise or defense of a legal claim involving a registrant of a domain name</w:t>
      </w:r>
    </w:p>
    <w:p w14:paraId="243FF11E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Initial investigation of criminal activity against a victim and/or secondary victim where domain names are used in the commission of the crime</w:t>
      </w:r>
    </w:p>
    <w:p w14:paraId="07974A64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Search Engines, Messaging Services &amp; Social Media Platforms seeking to confirm the authenticity of businesses advertising or Posting News on its Platform</w:t>
      </w:r>
    </w:p>
    <w:p w14:paraId="2F196A49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Contacting the Registrant to resolve a Technical or Operational Issue with a Domain Name</w:t>
      </w:r>
    </w:p>
    <w:p w14:paraId="430FBC6C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Online buyers identifying and validating the source of goods or services/ Internet users validating the legitimacy of an email or a website to protect themselves.</w:t>
      </w:r>
    </w:p>
    <w:p w14:paraId="411AF1F1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Providers requesting access required to facilitate due process in the UDRP and URS.</w:t>
      </w:r>
    </w:p>
    <w:p w14:paraId="047221C7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Help a certification authority determine and validate the identity of the entity associated with a domain name that will be bound to an SSL/TLS certificate.</w:t>
      </w:r>
    </w:p>
    <w:p w14:paraId="4DB219F7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Consumer protection organizations.</w:t>
      </w:r>
    </w:p>
    <w:p w14:paraId="6C1C263F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 xml:space="preserve">M&amp;A name portfolio due diligence or purchase of domain name from bankrupt entity or </w:t>
      </w:r>
      <w:proofErr w:type="gramStart"/>
      <w:r w:rsidRPr="00B94533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Pr="00B94533">
        <w:rPr>
          <w:rFonts w:asciiTheme="minorHAnsi" w:hAnsiTheme="minorHAnsi" w:cstheme="minorHAnsi"/>
          <w:sz w:val="22"/>
          <w:szCs w:val="22"/>
        </w:rPr>
        <w:t xml:space="preserve"> seller.</w:t>
      </w:r>
    </w:p>
    <w:p w14:paraId="5C7EE182" w14:textId="77777777" w:rsidR="00B94533" w:rsidRPr="00B94533" w:rsidRDefault="00B94533" w:rsidP="00B945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4533">
        <w:rPr>
          <w:rFonts w:asciiTheme="minorHAnsi" w:hAnsiTheme="minorHAnsi" w:cstheme="minorHAnsi"/>
          <w:sz w:val="22"/>
          <w:szCs w:val="22"/>
        </w:rPr>
        <w:t>Maintaining the domain name registration by the Registered Name Holder.</w:t>
      </w:r>
    </w:p>
    <w:p w14:paraId="0A5418A8" w14:textId="77777777" w:rsidR="00B94533" w:rsidRDefault="00B94533"/>
    <w:sectPr w:rsidR="00B94533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1AE"/>
    <w:multiLevelType w:val="hybridMultilevel"/>
    <w:tmpl w:val="7218A61C"/>
    <w:lvl w:ilvl="0" w:tplc="A6323A3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D339D"/>
    <w:multiLevelType w:val="hybridMultilevel"/>
    <w:tmpl w:val="293660F4"/>
    <w:lvl w:ilvl="0" w:tplc="A6323A3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0E"/>
    <w:rsid w:val="000B7A30"/>
    <w:rsid w:val="00246C3B"/>
    <w:rsid w:val="00385D74"/>
    <w:rsid w:val="00585714"/>
    <w:rsid w:val="005A050E"/>
    <w:rsid w:val="005E720C"/>
    <w:rsid w:val="005F102F"/>
    <w:rsid w:val="007F1FED"/>
    <w:rsid w:val="008363A6"/>
    <w:rsid w:val="00AF7974"/>
    <w:rsid w:val="00B34569"/>
    <w:rsid w:val="00B94533"/>
    <w:rsid w:val="00BE5129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A70B"/>
  <w15:chartTrackingRefBased/>
  <w15:docId w15:val="{122478B3-85C8-0148-A400-0E6AE89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esults/SM-2H77TQYL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2019-07-16T15:01:00Z</dcterms:created>
  <dcterms:modified xsi:type="dcterms:W3CDTF">2019-07-16T15:01:00Z</dcterms:modified>
</cp:coreProperties>
</file>