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A1933" w14:textId="744D388A" w:rsidR="00391F2A" w:rsidRPr="00AB1A4F" w:rsidRDefault="00391F2A" w:rsidP="00391F2A">
      <w:pPr>
        <w:rPr>
          <w:rFonts w:asciiTheme="minorHAnsi" w:hAnsiTheme="minorHAnsi" w:cstheme="minorHAnsi"/>
          <w:b/>
          <w:bCs/>
        </w:rPr>
      </w:pPr>
      <w:r>
        <w:rPr>
          <w:rFonts w:asciiTheme="minorHAnsi" w:hAnsiTheme="minorHAnsi" w:cstheme="minorHAnsi"/>
          <w:b/>
          <w:bCs/>
        </w:rPr>
        <w:t>Recommendation 13: Terms of Use</w:t>
      </w:r>
    </w:p>
    <w:p w14:paraId="50557C70" w14:textId="77777777" w:rsidR="00391F2A" w:rsidRPr="00AB1A4F" w:rsidRDefault="00391F2A" w:rsidP="00391F2A">
      <w:pPr>
        <w:rPr>
          <w:rFonts w:asciiTheme="minorHAnsi" w:hAnsiTheme="minorHAnsi" w:cstheme="minorHAnsi"/>
        </w:rPr>
      </w:pPr>
    </w:p>
    <w:p w14:paraId="7A93B664" w14:textId="77777777" w:rsidR="00391F2A" w:rsidRPr="00AB1A4F" w:rsidRDefault="00391F2A" w:rsidP="00391F2A">
      <w:pPr>
        <w:rPr>
          <w:rFonts w:asciiTheme="minorHAnsi" w:hAnsiTheme="minorHAnsi" w:cstheme="minorHAnsi"/>
        </w:rPr>
      </w:pPr>
      <w:r w:rsidRPr="00AB1A4F">
        <w:rPr>
          <w:rFonts w:asciiTheme="minorHAnsi" w:hAnsiTheme="minorHAnsi" w:cstheme="minorHAnsi"/>
        </w:rPr>
        <w:t xml:space="preserve">Based on the staff support team review of the feedback provided by the different groups by the deadline on the discussion table, the following topics / issues are being put forward for discussion during Thursday’s meeting. The input on these topics / issues, as well as non-controversial changes identified or where responses were aligned in the discussion table, will be used to develop a next iteration of the recommendation text for EPDP Team review. Note, known concerns, which have been considered and discussed previously have not been included and will not be discussed again unless new information has been provided. </w:t>
      </w:r>
    </w:p>
    <w:p w14:paraId="0FC91524" w14:textId="77777777" w:rsidR="00391F2A" w:rsidRPr="00AB1A4F" w:rsidRDefault="00391F2A" w:rsidP="00391F2A">
      <w:pPr>
        <w:rPr>
          <w:rFonts w:asciiTheme="minorHAnsi" w:eastAsia="Calibri" w:hAnsiTheme="minorHAnsi" w:cstheme="minorHAnsi"/>
        </w:rPr>
      </w:pPr>
    </w:p>
    <w:p w14:paraId="303CAE77" w14:textId="77777777" w:rsidR="00391F2A" w:rsidRPr="00AB1A4F" w:rsidRDefault="00391F2A" w:rsidP="00391F2A">
      <w:pPr>
        <w:rPr>
          <w:rFonts w:asciiTheme="minorHAnsi" w:eastAsia="Calibri" w:hAnsiTheme="minorHAnsi" w:cstheme="minorHAnsi"/>
        </w:rPr>
      </w:pPr>
      <w:r w:rsidRPr="00B972AF">
        <w:rPr>
          <w:rFonts w:asciiTheme="minorHAnsi" w:eastAsia="Calibri" w:hAnsiTheme="minorHAnsi" w:cstheme="minorHAnsi"/>
          <w:b/>
          <w:bCs/>
        </w:rPr>
        <w:t xml:space="preserve">Assumptions / Takeaways: </w:t>
      </w:r>
    </w:p>
    <w:p w14:paraId="03D289A6" w14:textId="52D320A8" w:rsidR="00680072" w:rsidRPr="00680072" w:rsidRDefault="00680072" w:rsidP="00391F2A">
      <w:pPr>
        <w:pStyle w:val="ListParagraph"/>
        <w:numPr>
          <w:ilvl w:val="0"/>
          <w:numId w:val="3"/>
        </w:numPr>
      </w:pPr>
      <w:r>
        <w:rPr>
          <w:rFonts w:asciiTheme="minorHAnsi" w:hAnsiTheme="minorHAnsi" w:cstheme="minorHAnsi"/>
        </w:rPr>
        <w:t xml:space="preserve">This recommendation should be coordinated with the </w:t>
      </w:r>
      <w:r w:rsidR="0084394E">
        <w:rPr>
          <w:rFonts w:asciiTheme="minorHAnsi" w:hAnsiTheme="minorHAnsi" w:cstheme="minorHAnsi"/>
        </w:rPr>
        <w:t xml:space="preserve">references to the code of conduct in Rec. 1, </w:t>
      </w:r>
      <w:r>
        <w:rPr>
          <w:rFonts w:asciiTheme="minorHAnsi" w:hAnsiTheme="minorHAnsi" w:cstheme="minorHAnsi"/>
        </w:rPr>
        <w:t>query policy, data retention, acceptable use policy recommendations to avoid duplication.</w:t>
      </w:r>
    </w:p>
    <w:p w14:paraId="06619F89" w14:textId="23077603" w:rsidR="00106226" w:rsidRPr="00106226" w:rsidRDefault="00106226" w:rsidP="00256E7B">
      <w:pPr>
        <w:pStyle w:val="ListParagraph"/>
        <w:numPr>
          <w:ilvl w:val="0"/>
          <w:numId w:val="3"/>
        </w:numPr>
        <w:rPr>
          <w:rFonts w:asciiTheme="minorHAnsi" w:eastAsia="Calibri" w:hAnsiTheme="minorHAnsi" w:cstheme="minorHAnsi"/>
          <w:color w:val="000000"/>
        </w:rPr>
      </w:pPr>
      <w:r w:rsidRPr="00106226">
        <w:rPr>
          <w:rFonts w:ascii="Calibri" w:hAnsi="Calibri" w:cs="Calibri"/>
          <w:color w:val="000000"/>
        </w:rPr>
        <w:t>The principles and disclosures listed under “Policy for SSAD Users” should be mirrored and made clear to registrants in their registration agreements</w:t>
      </w:r>
      <w:r>
        <w:rPr>
          <w:rFonts w:ascii="Calibri" w:hAnsi="Calibri" w:cs="Calibri"/>
          <w:color w:val="000000"/>
        </w:rPr>
        <w:t>.</w:t>
      </w:r>
    </w:p>
    <w:p w14:paraId="3D011AEA" w14:textId="2A8E91B5" w:rsidR="00106226" w:rsidRDefault="00106226" w:rsidP="00106226">
      <w:pPr>
        <w:pStyle w:val="ListParagraph"/>
        <w:numPr>
          <w:ilvl w:val="0"/>
          <w:numId w:val="3"/>
        </w:numPr>
        <w:rPr>
          <w:rFonts w:ascii="Calibri" w:hAnsi="Calibri" w:cs="Calibri"/>
          <w:color w:val="000000"/>
        </w:rPr>
      </w:pPr>
      <w:r w:rsidRPr="00106226">
        <w:rPr>
          <w:rFonts w:ascii="Calibri" w:hAnsi="Calibri" w:cs="Calibri"/>
          <w:color w:val="000000"/>
        </w:rPr>
        <w:t>The Privacy Policy for SSAD users says “The types of third parties with whom personal data is shared”; this should include the fact that data subjects will be provided with contact information</w:t>
      </w:r>
      <w:r w:rsidRPr="00106226">
        <w:rPr>
          <w:rFonts w:ascii="Calibri" w:hAnsi="Calibri" w:cs="Calibri"/>
          <w:color w:val="000000"/>
          <w:sz w:val="22"/>
          <w:szCs w:val="22"/>
        </w:rPr>
        <w:t xml:space="preserve"> </w:t>
      </w:r>
      <w:r w:rsidRPr="00106226">
        <w:rPr>
          <w:rFonts w:ascii="Calibri" w:hAnsi="Calibri" w:cs="Calibri"/>
          <w:color w:val="000000"/>
        </w:rPr>
        <w:t xml:space="preserve">for the parties that requested and received their data, according to </w:t>
      </w:r>
      <w:r>
        <w:rPr>
          <w:rFonts w:ascii="Calibri" w:hAnsi="Calibri" w:cs="Calibri"/>
          <w:color w:val="000000"/>
        </w:rPr>
        <w:t>applicable</w:t>
      </w:r>
      <w:r w:rsidRPr="00106226">
        <w:rPr>
          <w:rFonts w:ascii="Calibri" w:hAnsi="Calibri" w:cs="Calibri"/>
          <w:color w:val="000000"/>
        </w:rPr>
        <w:t xml:space="preserve"> law.</w:t>
      </w:r>
    </w:p>
    <w:p w14:paraId="3A78A791" w14:textId="6A86E373" w:rsidR="009B1CE0" w:rsidRPr="00106226" w:rsidRDefault="009B1CE0" w:rsidP="00106226">
      <w:pPr>
        <w:pStyle w:val="ListParagraph"/>
        <w:numPr>
          <w:ilvl w:val="0"/>
          <w:numId w:val="3"/>
        </w:numPr>
        <w:rPr>
          <w:rFonts w:ascii="Calibri" w:hAnsi="Calibri" w:cs="Calibri"/>
          <w:color w:val="000000"/>
        </w:rPr>
      </w:pPr>
      <w:r>
        <w:rPr>
          <w:rFonts w:ascii="Calibri" w:hAnsi="Calibri" w:cs="Calibri"/>
          <w:color w:val="000000"/>
        </w:rPr>
        <w:t>Based on yesterday’s discussion, we assume data subjects are not intended to be accredited users of the SSAD. Instead, they would go the registrar directly to confirm their data.</w:t>
      </w:r>
    </w:p>
    <w:p w14:paraId="232693E4" w14:textId="77777777" w:rsidR="00391F2A" w:rsidRPr="00AB1A4F" w:rsidRDefault="00391F2A" w:rsidP="00391F2A">
      <w:pPr>
        <w:rPr>
          <w:rFonts w:asciiTheme="minorHAnsi" w:hAnsiTheme="minorHAnsi" w:cstheme="minorHAnsi"/>
        </w:rPr>
      </w:pPr>
    </w:p>
    <w:p w14:paraId="1A045843" w14:textId="77777777" w:rsidR="00391F2A" w:rsidRPr="00B972AF" w:rsidRDefault="00391F2A" w:rsidP="00391F2A">
      <w:pPr>
        <w:rPr>
          <w:rFonts w:asciiTheme="minorHAnsi" w:hAnsiTheme="minorHAnsi" w:cstheme="minorHAnsi"/>
          <w:b/>
          <w:bCs/>
        </w:rPr>
      </w:pPr>
      <w:r w:rsidRPr="00B972AF">
        <w:rPr>
          <w:rFonts w:asciiTheme="minorHAnsi" w:eastAsiaTheme="minorHAnsi" w:hAnsiTheme="minorHAnsi" w:cstheme="minorHAnsi"/>
          <w:b/>
          <w:bCs/>
        </w:rPr>
        <w:t>Additional questions for EPDP Team</w:t>
      </w:r>
      <w:r w:rsidRPr="00B972AF">
        <w:rPr>
          <w:rFonts w:asciiTheme="minorHAnsi" w:hAnsiTheme="minorHAnsi" w:cstheme="minorHAnsi"/>
          <w:b/>
          <w:bCs/>
        </w:rPr>
        <w:t>:</w:t>
      </w:r>
    </w:p>
    <w:p w14:paraId="57BD7D6D" w14:textId="5D13202A" w:rsidR="00B4259C" w:rsidRDefault="00A129FE"/>
    <w:p w14:paraId="41C5DBF3" w14:textId="4120F4D6" w:rsidR="00391F2A" w:rsidRPr="00391F2A" w:rsidRDefault="00391F2A" w:rsidP="00391F2A">
      <w:pPr>
        <w:pStyle w:val="ListParagraph"/>
        <w:numPr>
          <w:ilvl w:val="0"/>
          <w:numId w:val="4"/>
        </w:numPr>
      </w:pPr>
      <w:r w:rsidRPr="00391F2A">
        <w:rPr>
          <w:rFonts w:ascii="Calibri" w:hAnsi="Calibri" w:cs="Calibri"/>
          <w:color w:val="000000"/>
        </w:rPr>
        <w:t>The EPDP team should clarify in the implementation guidance if the SSAD users are meant to be the Requestors, the Contracted Parties, or any party to the SSAD as a whole.</w:t>
      </w:r>
      <w:r>
        <w:rPr>
          <w:rFonts w:ascii="Calibri" w:hAnsi="Calibri" w:cs="Calibri"/>
          <w:color w:val="000000"/>
        </w:rPr>
        <w:t xml:space="preserve"> Is it correct to assume in this context “SSAD users” was intended to mean “Requestors”?</w:t>
      </w:r>
    </w:p>
    <w:p w14:paraId="031D39A0" w14:textId="2035D5B4" w:rsidR="000F4956" w:rsidRDefault="000F4956" w:rsidP="000F4956">
      <w:pPr>
        <w:pStyle w:val="ListParagraph"/>
        <w:numPr>
          <w:ilvl w:val="0"/>
          <w:numId w:val="4"/>
        </w:numPr>
        <w:rPr>
          <w:rFonts w:ascii="Calibri" w:hAnsi="Calibri" w:cs="Calibri"/>
          <w:color w:val="000000"/>
        </w:rPr>
      </w:pPr>
      <w:r w:rsidRPr="000F4956">
        <w:rPr>
          <w:rFonts w:ascii="Calibri" w:hAnsi="Calibri" w:cs="Calibri"/>
          <w:color w:val="000000"/>
        </w:rPr>
        <w:t>The first paragraph notes that agreements are expected to be developed and negotiated by the parties involved in the SSAD. Is this intended to include ICANN, the Accreditation Authority, Identity Providers, Contracted Parties, users</w:t>
      </w:r>
      <w:r w:rsidR="0084394E">
        <w:rPr>
          <w:rFonts w:ascii="Calibri" w:hAnsi="Calibri" w:cs="Calibri"/>
          <w:color w:val="000000"/>
        </w:rPr>
        <w:t>,</w:t>
      </w:r>
      <w:r w:rsidRPr="000F4956">
        <w:rPr>
          <w:rFonts w:ascii="Calibri" w:hAnsi="Calibri" w:cs="Calibri"/>
          <w:color w:val="000000"/>
        </w:rPr>
        <w:t xml:space="preserve"> and requestors?</w:t>
      </w:r>
      <w:r w:rsidR="0084394E">
        <w:rPr>
          <w:rFonts w:ascii="Calibri" w:hAnsi="Calibri" w:cs="Calibri"/>
          <w:color w:val="000000"/>
        </w:rPr>
        <w:t xml:space="preserve"> Note: some commenters expressed concerns with including requestors and data subjects in these negotiations. </w:t>
      </w:r>
      <w:r w:rsidR="00CA2C73">
        <w:rPr>
          <w:rFonts w:ascii="Calibri" w:hAnsi="Calibri" w:cs="Calibri"/>
          <w:color w:val="000000"/>
        </w:rPr>
        <w:t xml:space="preserve">(Note: implementation guidance in the updated Rec. 11 provides: </w:t>
      </w:r>
      <w:r w:rsidR="00CA2C73" w:rsidRPr="00CA2C73">
        <w:rPr>
          <w:rFonts w:ascii="Calibri" w:hAnsi="Calibri" w:cs="Calibri"/>
          <w:color w:val="000000"/>
        </w:rPr>
        <w:t>ICANN Org will develop the SSAD Privacy Policy for SSAD users, which it may publish for public comment to obtain input from potential SSAD users.</w:t>
      </w:r>
      <w:r w:rsidR="00CA2C73">
        <w:rPr>
          <w:rFonts w:ascii="Calibri" w:hAnsi="Calibri" w:cs="Calibri"/>
          <w:color w:val="000000"/>
        </w:rPr>
        <w:t>)</w:t>
      </w:r>
    </w:p>
    <w:p w14:paraId="3348F9F1" w14:textId="11A94FC5" w:rsidR="00680072" w:rsidRDefault="00680072" w:rsidP="00680072">
      <w:pPr>
        <w:pStyle w:val="ListParagraph"/>
        <w:rPr>
          <w:rFonts w:ascii="Calibri" w:hAnsi="Calibri" w:cs="Calibri"/>
          <w:color w:val="000000"/>
        </w:rPr>
      </w:pPr>
    </w:p>
    <w:p w14:paraId="2765FB67" w14:textId="6CBCB386" w:rsidR="00680072" w:rsidRDefault="00680072" w:rsidP="00680072">
      <w:pPr>
        <w:pStyle w:val="ListParagraph"/>
        <w:rPr>
          <w:rFonts w:ascii="Calibri" w:hAnsi="Calibri" w:cs="Calibri"/>
          <w:b/>
          <w:bCs/>
          <w:color w:val="000000"/>
        </w:rPr>
      </w:pPr>
      <w:r>
        <w:rPr>
          <w:rFonts w:ascii="Calibri" w:hAnsi="Calibri" w:cs="Calibri"/>
          <w:b/>
          <w:bCs/>
          <w:color w:val="000000"/>
        </w:rPr>
        <w:t>Privacy Policy</w:t>
      </w:r>
    </w:p>
    <w:p w14:paraId="1E400ABA" w14:textId="77777777" w:rsidR="00680072" w:rsidRPr="00680072" w:rsidRDefault="00680072" w:rsidP="00680072">
      <w:pPr>
        <w:pStyle w:val="ListParagraph"/>
        <w:rPr>
          <w:rFonts w:ascii="Calibri" w:hAnsi="Calibri" w:cs="Calibri"/>
          <w:b/>
          <w:bCs/>
          <w:color w:val="000000"/>
        </w:rPr>
      </w:pPr>
    </w:p>
    <w:p w14:paraId="285D8B2A" w14:textId="1D712E10" w:rsidR="00391F2A" w:rsidRPr="000F4956" w:rsidRDefault="000F4956" w:rsidP="000F4956">
      <w:pPr>
        <w:pStyle w:val="ListParagraph"/>
        <w:numPr>
          <w:ilvl w:val="0"/>
          <w:numId w:val="4"/>
        </w:numPr>
      </w:pPr>
      <w:r>
        <w:rPr>
          <w:rFonts w:asciiTheme="minorHAnsi" w:hAnsiTheme="minorHAnsi" w:cstheme="minorHAnsi"/>
        </w:rPr>
        <w:t>Should “</w:t>
      </w:r>
      <w:r w:rsidRPr="000F4956">
        <w:rPr>
          <w:rFonts w:asciiTheme="minorHAnsi" w:hAnsiTheme="minorHAnsi" w:cstheme="minorHAnsi"/>
        </w:rPr>
        <w:t xml:space="preserve">The EPDP recommends, at a minimum, the privacy policy </w:t>
      </w:r>
      <w:r w:rsidRPr="000F4956">
        <w:rPr>
          <w:rFonts w:asciiTheme="minorHAnsi" w:hAnsiTheme="minorHAnsi" w:cstheme="minorHAnsi"/>
          <w:b/>
          <w:bCs/>
        </w:rPr>
        <w:t>SHALL</w:t>
      </w:r>
      <w:r w:rsidRPr="000F4956">
        <w:rPr>
          <w:rFonts w:asciiTheme="minorHAnsi" w:hAnsiTheme="minorHAnsi" w:cstheme="minorHAnsi"/>
        </w:rPr>
        <w:t xml:space="preserve"> include (…)</w:t>
      </w:r>
      <w:r>
        <w:rPr>
          <w:rFonts w:asciiTheme="minorHAnsi" w:hAnsiTheme="minorHAnsi" w:cstheme="minorHAnsi"/>
        </w:rPr>
        <w:t>” be changed to “</w:t>
      </w:r>
      <w:r w:rsidRPr="000F4956">
        <w:rPr>
          <w:rFonts w:asciiTheme="minorHAnsi" w:hAnsiTheme="minorHAnsi" w:cstheme="minorHAnsi"/>
        </w:rPr>
        <w:t xml:space="preserve">The EPDP recommends, at a minimum, the privacy policy </w:t>
      </w:r>
      <w:r w:rsidRPr="000F4956">
        <w:rPr>
          <w:rFonts w:asciiTheme="minorHAnsi" w:hAnsiTheme="minorHAnsi" w:cstheme="minorHAnsi"/>
          <w:b/>
          <w:bCs/>
        </w:rPr>
        <w:t>SHOULD</w:t>
      </w:r>
      <w:r w:rsidRPr="000F4956">
        <w:rPr>
          <w:rFonts w:asciiTheme="minorHAnsi" w:hAnsiTheme="minorHAnsi" w:cstheme="minorHAnsi"/>
        </w:rPr>
        <w:t xml:space="preserve"> include</w:t>
      </w:r>
      <w:r>
        <w:rPr>
          <w:rFonts w:asciiTheme="minorHAnsi" w:hAnsiTheme="minorHAnsi" w:cstheme="minorHAnsi"/>
        </w:rPr>
        <w:t>?</w:t>
      </w:r>
    </w:p>
    <w:p w14:paraId="6854382D" w14:textId="77777777" w:rsidR="000F4956" w:rsidRPr="000F4956" w:rsidRDefault="000F4956" w:rsidP="000F4956">
      <w:pPr>
        <w:pStyle w:val="NormalWeb"/>
        <w:numPr>
          <w:ilvl w:val="0"/>
          <w:numId w:val="4"/>
        </w:numPr>
        <w:spacing w:before="0" w:beforeAutospacing="0" w:after="0" w:afterAutospacing="0"/>
        <w:textAlignment w:val="baseline"/>
        <w:rPr>
          <w:rFonts w:ascii="Noto Sans Symbols" w:hAnsi="Noto Sans Symbols"/>
          <w:b/>
          <w:bCs/>
          <w:color w:val="000000"/>
          <w:sz w:val="22"/>
          <w:szCs w:val="22"/>
        </w:rPr>
      </w:pPr>
      <w:r>
        <w:rPr>
          <w:rFonts w:asciiTheme="minorHAnsi" w:hAnsiTheme="minorHAnsi" w:cstheme="minorHAnsi"/>
        </w:rPr>
        <w:t xml:space="preserve">There is a proposal to add the following bullets to the list for the privacy policy for SSAD users: </w:t>
      </w:r>
    </w:p>
    <w:p w14:paraId="2AD659A2" w14:textId="4377DC88" w:rsidR="000F4956" w:rsidRPr="000F4956" w:rsidRDefault="000F4956" w:rsidP="000F4956">
      <w:pPr>
        <w:pStyle w:val="NormalWeb"/>
        <w:numPr>
          <w:ilvl w:val="1"/>
          <w:numId w:val="6"/>
        </w:numPr>
        <w:spacing w:before="0" w:beforeAutospacing="0" w:after="0" w:afterAutospacing="0"/>
        <w:textAlignment w:val="baseline"/>
        <w:rPr>
          <w:rFonts w:ascii="Noto Sans Symbols" w:hAnsi="Noto Sans Symbols"/>
          <w:color w:val="000000"/>
        </w:rPr>
      </w:pPr>
      <w:r w:rsidRPr="000F4956">
        <w:rPr>
          <w:rFonts w:ascii="Calibri" w:hAnsi="Calibri" w:cs="Calibri"/>
          <w:color w:val="000000"/>
        </w:rPr>
        <w:lastRenderedPageBreak/>
        <w:t>Transparency requirements</w:t>
      </w:r>
    </w:p>
    <w:p w14:paraId="7C395FA9" w14:textId="77777777" w:rsidR="000F4956" w:rsidRPr="000F4956" w:rsidRDefault="000F4956" w:rsidP="000F4956">
      <w:pPr>
        <w:pStyle w:val="NormalWeb"/>
        <w:numPr>
          <w:ilvl w:val="1"/>
          <w:numId w:val="6"/>
        </w:numPr>
        <w:spacing w:before="0" w:beforeAutospacing="0" w:after="0" w:afterAutospacing="0"/>
        <w:textAlignment w:val="baseline"/>
        <w:rPr>
          <w:rFonts w:ascii="Noto Sans Symbols" w:hAnsi="Noto Sans Symbols"/>
          <w:color w:val="000000"/>
        </w:rPr>
      </w:pPr>
      <w:r w:rsidRPr="000F4956">
        <w:rPr>
          <w:rFonts w:ascii="Calibri" w:hAnsi="Calibri" w:cs="Calibri"/>
          <w:color w:val="000000"/>
        </w:rPr>
        <w:t>Data security requirements</w:t>
      </w:r>
    </w:p>
    <w:p w14:paraId="4017BEFF" w14:textId="6124EBA4" w:rsidR="000F4956" w:rsidRPr="0084394E" w:rsidRDefault="000F4956" w:rsidP="000F4956">
      <w:pPr>
        <w:pStyle w:val="NormalWeb"/>
        <w:numPr>
          <w:ilvl w:val="1"/>
          <w:numId w:val="6"/>
        </w:numPr>
        <w:spacing w:before="0" w:beforeAutospacing="0" w:after="0" w:afterAutospacing="0"/>
        <w:textAlignment w:val="baseline"/>
        <w:rPr>
          <w:rFonts w:ascii="Noto Sans Symbols" w:hAnsi="Noto Sans Symbols"/>
          <w:color w:val="000000"/>
        </w:rPr>
      </w:pPr>
      <w:r w:rsidRPr="000F4956">
        <w:rPr>
          <w:rFonts w:ascii="Calibri" w:hAnsi="Calibri" w:cs="Calibri"/>
          <w:color w:val="000000"/>
        </w:rPr>
        <w:t xml:space="preserve">Accountability measures (privacy by design, by default, DPO above certain size, </w:t>
      </w:r>
      <w:proofErr w:type="spellStart"/>
      <w:r w:rsidRPr="000F4956">
        <w:rPr>
          <w:rFonts w:ascii="Calibri" w:hAnsi="Calibri" w:cs="Calibri"/>
          <w:color w:val="000000"/>
        </w:rPr>
        <w:t>etc</w:t>
      </w:r>
      <w:proofErr w:type="spellEnd"/>
      <w:r w:rsidRPr="000F4956">
        <w:rPr>
          <w:rFonts w:ascii="Calibri" w:hAnsi="Calibri" w:cs="Calibri"/>
          <w:color w:val="000000"/>
        </w:rPr>
        <w:t>)</w:t>
      </w:r>
    </w:p>
    <w:p w14:paraId="6070DCE6" w14:textId="3A0A5EEB" w:rsidR="0084394E" w:rsidRPr="000F4956" w:rsidRDefault="0084394E" w:rsidP="0084394E">
      <w:pPr>
        <w:pStyle w:val="NormalWeb"/>
        <w:spacing w:before="0" w:beforeAutospacing="0" w:after="0" w:afterAutospacing="0"/>
        <w:ind w:left="720"/>
        <w:textAlignment w:val="baseline"/>
        <w:rPr>
          <w:rFonts w:ascii="Noto Sans Symbols" w:hAnsi="Noto Sans Symbols"/>
          <w:color w:val="000000"/>
        </w:rPr>
      </w:pPr>
      <w:r>
        <w:rPr>
          <w:rFonts w:ascii="Calibri" w:hAnsi="Calibri" w:cs="Calibri"/>
          <w:color w:val="000000"/>
        </w:rPr>
        <w:t>Does the EPDP Team agree to these additions?</w:t>
      </w:r>
    </w:p>
    <w:p w14:paraId="4589E4C4" w14:textId="7B193316" w:rsidR="000F4956" w:rsidRPr="000F4956" w:rsidRDefault="000F4956" w:rsidP="000F4956">
      <w:pPr>
        <w:pStyle w:val="ListParagraph"/>
        <w:numPr>
          <w:ilvl w:val="0"/>
          <w:numId w:val="4"/>
        </w:numPr>
        <w:rPr>
          <w:rFonts w:asciiTheme="minorHAnsi" w:hAnsiTheme="minorHAnsi" w:cstheme="minorHAnsi"/>
        </w:rPr>
      </w:pPr>
      <w:r w:rsidRPr="000F4956">
        <w:rPr>
          <w:rFonts w:asciiTheme="minorHAnsi" w:hAnsiTheme="minorHAnsi" w:cstheme="minorHAnsi"/>
        </w:rPr>
        <w:t xml:space="preserve">“The EPDP recommends, at a minimum, the privacy policy SHALL include: Relevant data protection principles, for example,” This sentence appears to abruptly cut off - were there supposed to be particular examples listed here? </w:t>
      </w:r>
      <w:r>
        <w:rPr>
          <w:rFonts w:asciiTheme="minorHAnsi" w:hAnsiTheme="minorHAnsi" w:cstheme="minorHAnsi"/>
        </w:rPr>
        <w:t>If so, what should</w:t>
      </w:r>
      <w:r w:rsidR="00106226">
        <w:rPr>
          <w:rFonts w:asciiTheme="minorHAnsi" w:hAnsiTheme="minorHAnsi" w:cstheme="minorHAnsi"/>
        </w:rPr>
        <w:t xml:space="preserve"> be included here, or should the “for example” be removed and this left to implementation?</w:t>
      </w:r>
    </w:p>
    <w:p w14:paraId="1A00D702" w14:textId="171187A5" w:rsidR="000F4956" w:rsidRPr="00106226" w:rsidRDefault="00106226" w:rsidP="000F4956">
      <w:pPr>
        <w:pStyle w:val="ListParagraph"/>
        <w:numPr>
          <w:ilvl w:val="0"/>
          <w:numId w:val="4"/>
        </w:numPr>
      </w:pPr>
      <w:r w:rsidRPr="00106226">
        <w:rPr>
          <w:rFonts w:asciiTheme="minorHAnsi" w:hAnsiTheme="minorHAnsi" w:cstheme="minorHAnsi"/>
        </w:rPr>
        <w:t>“Further consideration should be given during implementation whether updates to the RAA are necessary to ensure compliance with these recommendations.”</w:t>
      </w:r>
      <w:r>
        <w:rPr>
          <w:rFonts w:asciiTheme="minorHAnsi" w:hAnsiTheme="minorHAnsi" w:cstheme="minorHAnsi"/>
        </w:rPr>
        <w:t xml:space="preserve"> Should this sentence be removed? If not, c</w:t>
      </w:r>
      <w:r w:rsidRPr="00106226">
        <w:rPr>
          <w:rFonts w:asciiTheme="minorHAnsi" w:hAnsiTheme="minorHAnsi" w:cstheme="minorHAnsi"/>
        </w:rPr>
        <w:t>an the EPDP team clarify which recommendations they are referring to here and if this is specific to the terms of use or a blanket recommendation?</w:t>
      </w:r>
    </w:p>
    <w:p w14:paraId="2BC3EB46" w14:textId="0383BFF6" w:rsidR="00106226" w:rsidRDefault="00106226" w:rsidP="00680072">
      <w:pPr>
        <w:ind w:left="360"/>
      </w:pPr>
    </w:p>
    <w:p w14:paraId="7067EF45" w14:textId="5BE6799F" w:rsidR="00680072" w:rsidRDefault="00680072" w:rsidP="00680072">
      <w:pPr>
        <w:ind w:left="360"/>
        <w:rPr>
          <w:rFonts w:asciiTheme="minorHAnsi" w:hAnsiTheme="minorHAnsi" w:cstheme="minorHAnsi"/>
          <w:b/>
          <w:bCs/>
        </w:rPr>
      </w:pPr>
      <w:r>
        <w:rPr>
          <w:rFonts w:asciiTheme="minorHAnsi" w:hAnsiTheme="minorHAnsi" w:cstheme="minorHAnsi"/>
          <w:b/>
          <w:bCs/>
        </w:rPr>
        <w:t>Terms of Use</w:t>
      </w:r>
    </w:p>
    <w:p w14:paraId="33D4AB4B" w14:textId="77777777" w:rsidR="00680072" w:rsidRDefault="00680072" w:rsidP="00680072">
      <w:pPr>
        <w:ind w:left="360"/>
        <w:rPr>
          <w:rFonts w:asciiTheme="minorHAnsi" w:hAnsiTheme="minorHAnsi" w:cstheme="minorHAnsi"/>
          <w:b/>
          <w:bCs/>
        </w:rPr>
      </w:pPr>
    </w:p>
    <w:p w14:paraId="4EA1E51B" w14:textId="7E6A599B" w:rsidR="00680072" w:rsidRPr="000F4956" w:rsidRDefault="00680072" w:rsidP="00680072">
      <w:pPr>
        <w:pStyle w:val="ListParagraph"/>
        <w:numPr>
          <w:ilvl w:val="0"/>
          <w:numId w:val="4"/>
        </w:numPr>
      </w:pPr>
      <w:r>
        <w:rPr>
          <w:rFonts w:asciiTheme="minorHAnsi" w:hAnsiTheme="minorHAnsi" w:cstheme="minorHAnsi"/>
        </w:rPr>
        <w:t>Should “</w:t>
      </w:r>
      <w:r w:rsidRPr="000F4956">
        <w:rPr>
          <w:rFonts w:asciiTheme="minorHAnsi" w:hAnsiTheme="minorHAnsi" w:cstheme="minorHAnsi"/>
        </w:rPr>
        <w:t xml:space="preserve">The EPDP recommends, at a minimum, the </w:t>
      </w:r>
      <w:r>
        <w:rPr>
          <w:rFonts w:asciiTheme="minorHAnsi" w:hAnsiTheme="minorHAnsi" w:cstheme="minorHAnsi"/>
        </w:rPr>
        <w:t>terms of use</w:t>
      </w:r>
      <w:r w:rsidRPr="000F4956">
        <w:rPr>
          <w:rFonts w:asciiTheme="minorHAnsi" w:hAnsiTheme="minorHAnsi" w:cstheme="minorHAnsi"/>
        </w:rPr>
        <w:t xml:space="preserve"> </w:t>
      </w:r>
      <w:r w:rsidRPr="000F4956">
        <w:rPr>
          <w:rFonts w:asciiTheme="minorHAnsi" w:hAnsiTheme="minorHAnsi" w:cstheme="minorHAnsi"/>
          <w:b/>
          <w:bCs/>
        </w:rPr>
        <w:t>SHALL</w:t>
      </w:r>
      <w:r w:rsidRPr="000F4956">
        <w:rPr>
          <w:rFonts w:asciiTheme="minorHAnsi" w:hAnsiTheme="minorHAnsi" w:cstheme="minorHAnsi"/>
        </w:rPr>
        <w:t xml:space="preserve"> include (…)</w:t>
      </w:r>
      <w:r>
        <w:rPr>
          <w:rFonts w:asciiTheme="minorHAnsi" w:hAnsiTheme="minorHAnsi" w:cstheme="minorHAnsi"/>
        </w:rPr>
        <w:t>” be changed to “</w:t>
      </w:r>
      <w:r w:rsidRPr="000F4956">
        <w:rPr>
          <w:rFonts w:asciiTheme="minorHAnsi" w:hAnsiTheme="minorHAnsi" w:cstheme="minorHAnsi"/>
        </w:rPr>
        <w:t xml:space="preserve">The EPDP recommends, at a minimum, the </w:t>
      </w:r>
      <w:r>
        <w:rPr>
          <w:rFonts w:asciiTheme="minorHAnsi" w:hAnsiTheme="minorHAnsi" w:cstheme="minorHAnsi"/>
        </w:rPr>
        <w:t>terms of use</w:t>
      </w:r>
      <w:r w:rsidRPr="000F4956">
        <w:rPr>
          <w:rFonts w:asciiTheme="minorHAnsi" w:hAnsiTheme="minorHAnsi" w:cstheme="minorHAnsi"/>
        </w:rPr>
        <w:t xml:space="preserve"> </w:t>
      </w:r>
      <w:r w:rsidRPr="000F4956">
        <w:rPr>
          <w:rFonts w:asciiTheme="minorHAnsi" w:hAnsiTheme="minorHAnsi" w:cstheme="minorHAnsi"/>
          <w:b/>
          <w:bCs/>
        </w:rPr>
        <w:t>SHOULD</w:t>
      </w:r>
      <w:r w:rsidRPr="000F4956">
        <w:rPr>
          <w:rFonts w:asciiTheme="minorHAnsi" w:hAnsiTheme="minorHAnsi" w:cstheme="minorHAnsi"/>
        </w:rPr>
        <w:t xml:space="preserve"> include</w:t>
      </w:r>
      <w:r>
        <w:rPr>
          <w:rFonts w:asciiTheme="minorHAnsi" w:hAnsiTheme="minorHAnsi" w:cstheme="minorHAnsi"/>
        </w:rPr>
        <w:t>?</w:t>
      </w:r>
    </w:p>
    <w:p w14:paraId="655C7BE4" w14:textId="77777777" w:rsidR="00680072" w:rsidRPr="00680072" w:rsidRDefault="00680072" w:rsidP="00680072">
      <w:pPr>
        <w:pStyle w:val="ListParagraph"/>
        <w:numPr>
          <w:ilvl w:val="0"/>
          <w:numId w:val="4"/>
        </w:numPr>
        <w:rPr>
          <w:rFonts w:asciiTheme="minorHAnsi" w:hAnsiTheme="minorHAnsi" w:cstheme="minorHAnsi"/>
        </w:rPr>
      </w:pPr>
      <w:r w:rsidRPr="00680072">
        <w:rPr>
          <w:rFonts w:asciiTheme="minorHAnsi" w:hAnsiTheme="minorHAnsi" w:cstheme="minorHAnsi"/>
        </w:rPr>
        <w:t xml:space="preserve">The first bullet in this section states that the Terms of Use shall address indemnification of the controllers. The EPDP team should clarify which party is responsible to indemnify whom, as well as who is being referenced as the “controller.” </w:t>
      </w:r>
    </w:p>
    <w:p w14:paraId="44EB79E5" w14:textId="5FBF821B" w:rsidR="00680072" w:rsidRPr="00680072" w:rsidRDefault="00680072" w:rsidP="00680072">
      <w:pPr>
        <w:pStyle w:val="ListParagraph"/>
        <w:numPr>
          <w:ilvl w:val="0"/>
          <w:numId w:val="4"/>
        </w:numPr>
        <w:rPr>
          <w:rFonts w:asciiTheme="minorHAnsi" w:hAnsiTheme="minorHAnsi" w:cstheme="minorHAnsi"/>
        </w:rPr>
      </w:pPr>
      <w:r w:rsidRPr="00680072">
        <w:rPr>
          <w:rFonts w:asciiTheme="minorHAnsi" w:hAnsiTheme="minorHAnsi" w:cstheme="minorHAnsi"/>
        </w:rPr>
        <w:t>The bullets under the terms of use seem to be a mix of liability considerations and rules. Was this intended by the EPDP team?</w:t>
      </w:r>
    </w:p>
    <w:p w14:paraId="18BF504F" w14:textId="0CA3FC81" w:rsidR="00680072" w:rsidRDefault="00680072" w:rsidP="00680072">
      <w:pPr>
        <w:rPr>
          <w:rFonts w:asciiTheme="minorHAnsi" w:hAnsiTheme="minorHAnsi" w:cstheme="minorHAnsi"/>
        </w:rPr>
      </w:pPr>
    </w:p>
    <w:p w14:paraId="0A1A8B47" w14:textId="60CEBC7F" w:rsidR="00680072" w:rsidRDefault="00680072" w:rsidP="00680072">
      <w:pPr>
        <w:ind w:firstLine="360"/>
        <w:rPr>
          <w:rFonts w:asciiTheme="minorHAnsi" w:hAnsiTheme="minorHAnsi" w:cstheme="minorHAnsi"/>
          <w:b/>
          <w:bCs/>
        </w:rPr>
      </w:pPr>
      <w:r>
        <w:rPr>
          <w:rFonts w:asciiTheme="minorHAnsi" w:hAnsiTheme="minorHAnsi" w:cstheme="minorHAnsi"/>
          <w:b/>
          <w:bCs/>
        </w:rPr>
        <w:t>Disclosure Agreement</w:t>
      </w:r>
    </w:p>
    <w:p w14:paraId="76222E6C" w14:textId="185BE0B8" w:rsidR="00680072" w:rsidRDefault="00680072" w:rsidP="00680072">
      <w:pPr>
        <w:rPr>
          <w:rFonts w:asciiTheme="minorHAnsi" w:hAnsiTheme="minorHAnsi" w:cstheme="minorHAnsi"/>
          <w:b/>
          <w:bCs/>
        </w:rPr>
      </w:pPr>
    </w:p>
    <w:p w14:paraId="1DBEB4A3" w14:textId="5EF39CB8" w:rsidR="00327B5F" w:rsidRPr="00327B5F" w:rsidRDefault="00327B5F" w:rsidP="00327B5F">
      <w:pPr>
        <w:pStyle w:val="ListParagraph"/>
        <w:numPr>
          <w:ilvl w:val="0"/>
          <w:numId w:val="4"/>
        </w:numPr>
        <w:rPr>
          <w:rFonts w:asciiTheme="minorHAnsi" w:hAnsiTheme="minorHAnsi" w:cstheme="minorHAnsi"/>
        </w:rPr>
      </w:pPr>
      <w:r w:rsidRPr="00327B5F">
        <w:rPr>
          <w:rFonts w:ascii="Calibri" w:hAnsi="Calibri" w:cs="Calibri"/>
          <w:color w:val="000000"/>
          <w:sz w:val="22"/>
          <w:szCs w:val="22"/>
        </w:rPr>
        <w:t> </w:t>
      </w:r>
      <w:r w:rsidRPr="00327B5F">
        <w:rPr>
          <w:rFonts w:asciiTheme="minorHAnsi" w:hAnsiTheme="minorHAnsi" w:cstheme="minorHAnsi"/>
        </w:rPr>
        <w:t>Can the EPDP team confirm and clarify if the last 4 bullets of this recommendation are requirements for Contracted Par</w:t>
      </w:r>
      <w:bookmarkStart w:id="0" w:name="_GoBack"/>
      <w:bookmarkEnd w:id="0"/>
      <w:r w:rsidRPr="00327B5F">
        <w:rPr>
          <w:rFonts w:asciiTheme="minorHAnsi" w:hAnsiTheme="minorHAnsi" w:cstheme="minorHAnsi"/>
        </w:rPr>
        <w:t>ties</w:t>
      </w:r>
      <w:r>
        <w:rPr>
          <w:rFonts w:asciiTheme="minorHAnsi" w:hAnsiTheme="minorHAnsi" w:cstheme="minorHAnsi"/>
        </w:rPr>
        <w:t xml:space="preserve"> or requestors</w:t>
      </w:r>
      <w:r w:rsidRPr="00327B5F">
        <w:rPr>
          <w:rFonts w:asciiTheme="minorHAnsi" w:hAnsiTheme="minorHAnsi" w:cstheme="minorHAnsi"/>
        </w:rPr>
        <w:t>?</w:t>
      </w:r>
    </w:p>
    <w:p w14:paraId="632A2061" w14:textId="4E3E250B" w:rsidR="0084394E" w:rsidRDefault="0084394E">
      <w:pPr>
        <w:rPr>
          <w:rFonts w:asciiTheme="minorHAnsi" w:hAnsiTheme="minorHAnsi" w:cstheme="minorHAnsi"/>
        </w:rPr>
      </w:pPr>
      <w:r>
        <w:rPr>
          <w:rFonts w:asciiTheme="minorHAnsi" w:hAnsiTheme="minorHAnsi" w:cstheme="minorHAnsi"/>
        </w:rPr>
        <w:br w:type="page"/>
      </w:r>
    </w:p>
    <w:p w14:paraId="7FE5E4BD" w14:textId="2C935609" w:rsidR="0084394E" w:rsidRPr="0084394E" w:rsidRDefault="0084394E" w:rsidP="0084394E">
      <w:pPr>
        <w:keepNext/>
        <w:rPr>
          <w:rFonts w:asciiTheme="minorHAnsi" w:eastAsia="Calibri" w:hAnsiTheme="minorHAnsi" w:cstheme="minorHAnsi"/>
        </w:rPr>
      </w:pPr>
      <w:r w:rsidRPr="0084394E">
        <w:rPr>
          <w:rFonts w:asciiTheme="minorHAnsi" w:eastAsia="Calibri" w:hAnsiTheme="minorHAnsi" w:cstheme="minorHAnsi"/>
        </w:rPr>
        <w:lastRenderedPageBreak/>
        <w:t>Preliminary Recommendation #13: Terms of Use</w:t>
      </w:r>
    </w:p>
    <w:p w14:paraId="2B587083" w14:textId="77777777" w:rsidR="0084394E" w:rsidRPr="0084394E" w:rsidRDefault="0084394E" w:rsidP="0084394E">
      <w:pPr>
        <w:keepNext/>
        <w:rPr>
          <w:rFonts w:asciiTheme="minorHAnsi" w:eastAsia="Calibri" w:hAnsiTheme="minorHAnsi" w:cstheme="minorHAnsi"/>
        </w:rPr>
      </w:pPr>
    </w:p>
    <w:p w14:paraId="3185358D" w14:textId="77777777" w:rsidR="0084394E" w:rsidRPr="0084394E" w:rsidRDefault="0084394E" w:rsidP="0084394E">
      <w:pPr>
        <w:keepNext/>
        <w:rPr>
          <w:rFonts w:asciiTheme="minorHAnsi" w:eastAsia="Calibri" w:hAnsiTheme="minorHAnsi" w:cstheme="minorHAnsi"/>
          <w:color w:val="000000"/>
        </w:rPr>
      </w:pPr>
      <w:r w:rsidRPr="0084394E">
        <w:rPr>
          <w:rFonts w:asciiTheme="minorHAnsi" w:eastAsia="Calibri" w:hAnsiTheme="minorHAnsi" w:cstheme="minorHAnsi"/>
          <w:color w:val="000000"/>
        </w:rPr>
        <w:t xml:space="preserve">The EPDP Team recommends that appropriate agreements, such as terms of use for the SSAD, a privacy policy and a disclosure agreement are put in place that take into account the recommendations from the other preliminary recommendations. These agreements are expected to be developed and negotiated by the parties involved in SSAD, taking the below implementation guidance into account. </w:t>
      </w:r>
    </w:p>
    <w:p w14:paraId="5E6424AF" w14:textId="77777777" w:rsidR="0084394E" w:rsidRPr="0084394E" w:rsidRDefault="0084394E" w:rsidP="0084394E">
      <w:pPr>
        <w:rPr>
          <w:rFonts w:asciiTheme="minorHAnsi" w:eastAsia="Calibri" w:hAnsiTheme="minorHAnsi" w:cstheme="minorHAnsi"/>
        </w:rPr>
      </w:pPr>
    </w:p>
    <w:p w14:paraId="42E02BD6" w14:textId="77777777" w:rsidR="0084394E" w:rsidRPr="0084394E" w:rsidRDefault="0084394E" w:rsidP="0084394E">
      <w:pPr>
        <w:rPr>
          <w:rFonts w:asciiTheme="minorHAnsi" w:eastAsia="Calibri" w:hAnsiTheme="minorHAnsi" w:cstheme="minorHAnsi"/>
          <w:color w:val="000000"/>
        </w:rPr>
      </w:pPr>
      <w:r w:rsidRPr="0084394E">
        <w:rPr>
          <w:rFonts w:asciiTheme="minorHAnsi" w:eastAsia="Calibri" w:hAnsiTheme="minorHAnsi" w:cstheme="minorHAnsi"/>
          <w:color w:val="000000"/>
        </w:rPr>
        <w:t>Implementation guidance:</w:t>
      </w:r>
    </w:p>
    <w:p w14:paraId="2CFE778D" w14:textId="77777777" w:rsidR="0084394E" w:rsidRPr="0084394E" w:rsidRDefault="0084394E" w:rsidP="0084394E">
      <w:pPr>
        <w:rPr>
          <w:rFonts w:asciiTheme="minorHAnsi" w:eastAsia="Calibri" w:hAnsiTheme="minorHAnsi" w:cstheme="minorHAnsi"/>
          <w:color w:val="000000"/>
        </w:rPr>
      </w:pPr>
    </w:p>
    <w:p w14:paraId="393D28A6" w14:textId="77777777" w:rsidR="0084394E" w:rsidRPr="0084394E" w:rsidRDefault="0084394E" w:rsidP="0084394E">
      <w:pPr>
        <w:rPr>
          <w:rFonts w:asciiTheme="minorHAnsi" w:eastAsia="Calibri" w:hAnsiTheme="minorHAnsi" w:cstheme="minorHAnsi"/>
          <w:color w:val="000000"/>
        </w:rPr>
      </w:pPr>
      <w:r w:rsidRPr="0084394E">
        <w:rPr>
          <w:rFonts w:asciiTheme="minorHAnsi" w:eastAsia="Calibri" w:hAnsiTheme="minorHAnsi" w:cstheme="minorHAnsi"/>
          <w:color w:val="000000"/>
        </w:rPr>
        <w:t>Privacy Policy for SSAD Users</w:t>
      </w:r>
    </w:p>
    <w:p w14:paraId="7A4D4CA1" w14:textId="77777777" w:rsidR="0084394E" w:rsidRPr="0084394E" w:rsidRDefault="0084394E" w:rsidP="0084394E">
      <w:pPr>
        <w:rPr>
          <w:rFonts w:asciiTheme="minorHAnsi" w:eastAsia="Calibri" w:hAnsiTheme="minorHAnsi" w:cstheme="minorHAnsi"/>
        </w:rPr>
      </w:pPr>
    </w:p>
    <w:p w14:paraId="0281C503" w14:textId="77777777" w:rsidR="0084394E" w:rsidRPr="0084394E" w:rsidRDefault="0084394E" w:rsidP="0084394E">
      <w:pPr>
        <w:rPr>
          <w:rFonts w:asciiTheme="minorHAnsi" w:eastAsia="Calibri" w:hAnsiTheme="minorHAnsi" w:cstheme="minorHAnsi"/>
          <w:color w:val="000000"/>
        </w:rPr>
      </w:pPr>
      <w:r w:rsidRPr="0084394E">
        <w:rPr>
          <w:rFonts w:asciiTheme="minorHAnsi" w:eastAsia="Calibri" w:hAnsiTheme="minorHAnsi" w:cstheme="minorHAnsi"/>
          <w:color w:val="000000"/>
        </w:rPr>
        <w:t>The EPDP recommends, at a minimum, the privacy policy SHALL include:</w:t>
      </w:r>
    </w:p>
    <w:p w14:paraId="476FB5C4"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Relevant data protection principles, for example,</w:t>
      </w:r>
    </w:p>
    <w:p w14:paraId="239D0A75"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The type(s) of personal data processed</w:t>
      </w:r>
    </w:p>
    <w:p w14:paraId="5AA6E459"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How and why the personal data is processed, for example,</w:t>
      </w:r>
    </w:p>
    <w:p w14:paraId="4F930CDD" w14:textId="77777777" w:rsidR="0084394E" w:rsidRPr="0084394E" w:rsidRDefault="0084394E" w:rsidP="0084394E">
      <w:pPr>
        <w:numPr>
          <w:ilvl w:val="1"/>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verifying identity</w:t>
      </w:r>
    </w:p>
    <w:p w14:paraId="57614EA7" w14:textId="77777777" w:rsidR="0084394E" w:rsidRPr="0084394E" w:rsidRDefault="0084394E" w:rsidP="0084394E">
      <w:pPr>
        <w:numPr>
          <w:ilvl w:val="1"/>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communicating service notices</w:t>
      </w:r>
    </w:p>
    <w:p w14:paraId="4B134ABD"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 xml:space="preserve">How long personal data will be </w:t>
      </w:r>
      <w:proofErr w:type="gramStart"/>
      <w:r w:rsidRPr="0084394E">
        <w:rPr>
          <w:rFonts w:asciiTheme="minorHAnsi" w:eastAsia="Calibri" w:hAnsiTheme="minorHAnsi" w:cstheme="minorHAnsi"/>
          <w:color w:val="000000"/>
        </w:rPr>
        <w:t>retained</w:t>
      </w:r>
      <w:proofErr w:type="gramEnd"/>
    </w:p>
    <w:p w14:paraId="3E2707FB"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The types of third parties with whom personal data is shared</w:t>
      </w:r>
    </w:p>
    <w:p w14:paraId="7A6A016C"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Where applicable, details of any international data transfers/requirements thereof</w:t>
      </w:r>
    </w:p>
    <w:p w14:paraId="4FC572E3"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Information about the data subject rights and the method by which they can exercise these rights</w:t>
      </w:r>
    </w:p>
    <w:p w14:paraId="64D5429B"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Notification of how changes to the privacy policy will be communicated</w:t>
      </w:r>
    </w:p>
    <w:p w14:paraId="646933D6" w14:textId="77777777" w:rsidR="0084394E" w:rsidRPr="0084394E" w:rsidRDefault="0084394E" w:rsidP="0084394E">
      <w:pPr>
        <w:rPr>
          <w:rFonts w:asciiTheme="minorHAnsi" w:eastAsia="Calibri" w:hAnsiTheme="minorHAnsi" w:cstheme="minorHAnsi"/>
        </w:rPr>
      </w:pPr>
    </w:p>
    <w:p w14:paraId="32F6786D" w14:textId="77777777" w:rsidR="0084394E" w:rsidRPr="0084394E" w:rsidRDefault="0084394E" w:rsidP="0084394E">
      <w:pPr>
        <w:rPr>
          <w:rFonts w:asciiTheme="minorHAnsi" w:eastAsia="Calibri" w:hAnsiTheme="minorHAnsi" w:cstheme="minorHAnsi"/>
          <w:color w:val="000000"/>
        </w:rPr>
      </w:pPr>
      <w:r w:rsidRPr="0084394E">
        <w:rPr>
          <w:rFonts w:asciiTheme="minorHAnsi" w:eastAsia="Calibri" w:hAnsiTheme="minorHAnsi" w:cstheme="minorHAnsi"/>
          <w:color w:val="000000"/>
        </w:rPr>
        <w:t xml:space="preserve">Further consideration should be given during implementation whether updates to the RAA are necessary to ensure compliance with these recommendations. </w:t>
      </w:r>
    </w:p>
    <w:p w14:paraId="3476C5B7" w14:textId="77777777" w:rsidR="0084394E" w:rsidRPr="0084394E" w:rsidRDefault="0084394E" w:rsidP="0084394E">
      <w:pPr>
        <w:rPr>
          <w:rFonts w:asciiTheme="minorHAnsi" w:eastAsia="Calibri" w:hAnsiTheme="minorHAnsi" w:cstheme="minorHAnsi"/>
          <w:color w:val="000000"/>
        </w:rPr>
      </w:pPr>
    </w:p>
    <w:p w14:paraId="4B8BC855" w14:textId="77777777" w:rsidR="0084394E" w:rsidRPr="0084394E" w:rsidRDefault="0084394E" w:rsidP="0084394E">
      <w:pPr>
        <w:rPr>
          <w:rFonts w:asciiTheme="minorHAnsi" w:eastAsia="Calibri" w:hAnsiTheme="minorHAnsi" w:cstheme="minorHAnsi"/>
          <w:color w:val="000000"/>
        </w:rPr>
      </w:pPr>
      <w:r w:rsidRPr="0084394E">
        <w:rPr>
          <w:rFonts w:asciiTheme="minorHAnsi" w:eastAsia="Calibri" w:hAnsiTheme="minorHAnsi" w:cstheme="minorHAnsi"/>
          <w:color w:val="000000"/>
        </w:rPr>
        <w:t>Terms of Use for SSAD users</w:t>
      </w:r>
    </w:p>
    <w:p w14:paraId="4C915053" w14:textId="77777777" w:rsidR="0084394E" w:rsidRPr="0084394E" w:rsidRDefault="0084394E" w:rsidP="0084394E">
      <w:pPr>
        <w:rPr>
          <w:rFonts w:asciiTheme="minorHAnsi" w:eastAsia="Calibri" w:hAnsiTheme="minorHAnsi" w:cstheme="minorHAnsi"/>
          <w:color w:val="000000"/>
        </w:rPr>
      </w:pPr>
    </w:p>
    <w:p w14:paraId="7DC36C1F" w14:textId="77777777" w:rsidR="0084394E" w:rsidRPr="0084394E" w:rsidRDefault="0084394E" w:rsidP="0084394E">
      <w:pPr>
        <w:rPr>
          <w:rFonts w:asciiTheme="minorHAnsi" w:eastAsia="Calibri" w:hAnsiTheme="minorHAnsi" w:cstheme="minorHAnsi"/>
          <w:color w:val="000000"/>
        </w:rPr>
      </w:pPr>
      <w:r w:rsidRPr="0084394E">
        <w:rPr>
          <w:rFonts w:asciiTheme="minorHAnsi" w:eastAsia="Calibri" w:hAnsiTheme="minorHAnsi" w:cstheme="minorHAnsi"/>
          <w:color w:val="000000"/>
        </w:rPr>
        <w:t>The EPDP recommends, at a minimum, the terms of use SHALL address:</w:t>
      </w:r>
    </w:p>
    <w:p w14:paraId="4D17D7A6" w14:textId="77777777" w:rsidR="0084394E" w:rsidRPr="0084394E" w:rsidRDefault="0084394E" w:rsidP="0084394E">
      <w:pPr>
        <w:rPr>
          <w:rFonts w:asciiTheme="minorHAnsi" w:eastAsia="Calibri" w:hAnsiTheme="minorHAnsi" w:cstheme="minorHAnsi"/>
        </w:rPr>
      </w:pPr>
    </w:p>
    <w:p w14:paraId="26B8D4D9"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Indemnification of the controllers based on the following principles:</w:t>
      </w:r>
    </w:p>
    <w:p w14:paraId="1BCA3EA2" w14:textId="77777777" w:rsidR="0084394E" w:rsidRPr="0084394E" w:rsidRDefault="0084394E" w:rsidP="0084394E">
      <w:pPr>
        <w:pStyle w:val="ListParagraph"/>
        <w:numPr>
          <w:ilvl w:val="1"/>
          <w:numId w:val="7"/>
        </w:numPr>
        <w:rPr>
          <w:rFonts w:asciiTheme="minorHAnsi" w:hAnsiTheme="minorHAnsi" w:cstheme="minorHAnsi"/>
        </w:rPr>
      </w:pPr>
      <w:r w:rsidRPr="0084394E">
        <w:rPr>
          <w:rFonts w:asciiTheme="minorHAnsi" w:hAnsiTheme="minorHAnsi" w:cstheme="minorHAnsi"/>
        </w:rPr>
        <w:t>Requestors are responsible for damages or costs related to third party claims arising from (</w:t>
      </w:r>
      <w:proofErr w:type="spellStart"/>
      <w:r w:rsidRPr="0084394E">
        <w:rPr>
          <w:rFonts w:asciiTheme="minorHAnsi" w:hAnsiTheme="minorHAnsi" w:cstheme="minorHAnsi"/>
        </w:rPr>
        <w:t>i</w:t>
      </w:r>
      <w:proofErr w:type="spellEnd"/>
      <w:r w:rsidRPr="0084394E">
        <w:rPr>
          <w:rFonts w:asciiTheme="minorHAnsi" w:hAnsiTheme="minorHAnsi" w:cstheme="minorHAnsi"/>
        </w:rPr>
        <w:t>) their misrepresentations in the accreditation or request process; or (ii) misuse of the requested data in violation of the applicable terms of use or applicable law(s).</w:t>
      </w:r>
    </w:p>
    <w:p w14:paraId="38D1905D" w14:textId="77777777" w:rsidR="0084394E" w:rsidRPr="0084394E" w:rsidRDefault="0084394E" w:rsidP="0084394E">
      <w:pPr>
        <w:pStyle w:val="ListParagraph"/>
        <w:numPr>
          <w:ilvl w:val="1"/>
          <w:numId w:val="7"/>
        </w:numPr>
        <w:rPr>
          <w:rFonts w:asciiTheme="minorHAnsi" w:hAnsiTheme="minorHAnsi" w:cstheme="minorHAnsi"/>
        </w:rPr>
      </w:pPr>
      <w:r w:rsidRPr="0084394E">
        <w:rPr>
          <w:rFonts w:asciiTheme="minorHAnsi" w:hAnsiTheme="minorHAnsi" w:cstheme="minorHAnsi"/>
        </w:rPr>
        <w:t>Nothing in these terms limits any parties’ liability or rights of recovery under applicable laws (i.e. requestors are not precluded from seeking recovery from controllers where those rights are provided under law).</w:t>
      </w:r>
    </w:p>
    <w:p w14:paraId="5A9C0C83" w14:textId="77777777" w:rsidR="0084394E" w:rsidRPr="0084394E" w:rsidRDefault="0084394E" w:rsidP="0084394E">
      <w:pPr>
        <w:pStyle w:val="ListParagraph"/>
        <w:numPr>
          <w:ilvl w:val="1"/>
          <w:numId w:val="7"/>
        </w:numPr>
        <w:rPr>
          <w:rFonts w:asciiTheme="minorHAnsi" w:hAnsiTheme="minorHAnsi" w:cstheme="minorHAnsi"/>
        </w:rPr>
      </w:pPr>
      <w:r w:rsidRPr="0084394E">
        <w:rPr>
          <w:rFonts w:asciiTheme="minorHAnsi" w:hAnsiTheme="minorHAnsi" w:cstheme="minorHAnsi"/>
        </w:rPr>
        <w:t>Nothing in these terms shall be construed to create indemnification obligations for public authority requestors who lack the legal authority to enter into such indemnification clauses. Further, nothing in this clause shall alter potentially existing government liability as a recourse for the operators of the SSAD.</w:t>
      </w:r>
    </w:p>
    <w:p w14:paraId="2F98D76E"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lastRenderedPageBreak/>
        <w:t>Data request requirements</w:t>
      </w:r>
    </w:p>
    <w:p w14:paraId="158D68A3"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Logging requirements</w:t>
      </w:r>
    </w:p>
    <w:p w14:paraId="6CF3E83D"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Ability to demonstrate compliance</w:t>
      </w:r>
    </w:p>
    <w:p w14:paraId="642160BF"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Applicable prohibitions</w:t>
      </w:r>
    </w:p>
    <w:p w14:paraId="6F897180" w14:textId="77777777" w:rsidR="0084394E" w:rsidRPr="0084394E" w:rsidRDefault="0084394E" w:rsidP="0084394E">
      <w:pPr>
        <w:rPr>
          <w:rFonts w:asciiTheme="minorHAnsi" w:eastAsia="Calibri" w:hAnsiTheme="minorHAnsi" w:cstheme="minorHAnsi"/>
          <w:color w:val="000000"/>
        </w:rPr>
      </w:pPr>
    </w:p>
    <w:p w14:paraId="06D42DD8" w14:textId="77777777" w:rsidR="0084394E" w:rsidRPr="0084394E" w:rsidRDefault="0084394E" w:rsidP="0084394E">
      <w:pPr>
        <w:rPr>
          <w:rFonts w:asciiTheme="minorHAnsi" w:eastAsia="Calibri" w:hAnsiTheme="minorHAnsi" w:cstheme="minorHAnsi"/>
          <w:color w:val="000000"/>
        </w:rPr>
      </w:pPr>
      <w:r w:rsidRPr="0084394E">
        <w:rPr>
          <w:rFonts w:asciiTheme="minorHAnsi" w:eastAsia="Calibri" w:hAnsiTheme="minorHAnsi" w:cstheme="minorHAnsi"/>
          <w:color w:val="000000"/>
        </w:rPr>
        <w:t>Disclosure agreements for SSAD users</w:t>
      </w:r>
    </w:p>
    <w:p w14:paraId="14EF7224" w14:textId="77777777" w:rsidR="0084394E" w:rsidRPr="0084394E" w:rsidRDefault="0084394E" w:rsidP="0084394E">
      <w:pPr>
        <w:rPr>
          <w:rFonts w:asciiTheme="minorHAnsi" w:eastAsia="Calibri" w:hAnsiTheme="minorHAnsi" w:cstheme="minorHAnsi"/>
          <w:color w:val="000000"/>
        </w:rPr>
      </w:pPr>
    </w:p>
    <w:p w14:paraId="40FA8B2C" w14:textId="77777777" w:rsidR="0084394E" w:rsidRPr="0084394E" w:rsidRDefault="0084394E" w:rsidP="0084394E">
      <w:pPr>
        <w:rPr>
          <w:rFonts w:asciiTheme="minorHAnsi" w:eastAsia="Calibri" w:hAnsiTheme="minorHAnsi" w:cstheme="minorHAnsi"/>
          <w:color w:val="000000"/>
        </w:rPr>
      </w:pPr>
      <w:r w:rsidRPr="0084394E">
        <w:rPr>
          <w:rFonts w:asciiTheme="minorHAnsi" w:eastAsia="Calibri" w:hAnsiTheme="minorHAnsi" w:cstheme="minorHAnsi"/>
          <w:color w:val="000000"/>
        </w:rPr>
        <w:t>The EPDP recommends, at a minimum, disclosure agreements SHALL address:</w:t>
      </w:r>
    </w:p>
    <w:p w14:paraId="66B9E462" w14:textId="77777777" w:rsidR="0084394E" w:rsidRPr="0084394E" w:rsidRDefault="0084394E" w:rsidP="0084394E">
      <w:pPr>
        <w:rPr>
          <w:rFonts w:asciiTheme="minorHAnsi" w:eastAsia="Calibri" w:hAnsiTheme="minorHAnsi" w:cstheme="minorHAnsi"/>
        </w:rPr>
      </w:pPr>
    </w:p>
    <w:p w14:paraId="047B75CC"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Use of the data for the purpose indicated in the request</w:t>
      </w:r>
    </w:p>
    <w:p w14:paraId="0F62BFB2"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Requirements for use of data for a new purpose other than the one indicated in the request</w:t>
      </w:r>
    </w:p>
    <w:p w14:paraId="5A60C610"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 xml:space="preserve">Retention of data </w:t>
      </w:r>
    </w:p>
    <w:p w14:paraId="4D9B28B5" w14:textId="77777777" w:rsidR="0084394E" w:rsidRPr="0084394E" w:rsidRDefault="0084394E" w:rsidP="0084394E">
      <w:pPr>
        <w:numPr>
          <w:ilvl w:val="0"/>
          <w:numId w:val="7"/>
        </w:numPr>
        <w:pBdr>
          <w:top w:val="nil"/>
          <w:left w:val="nil"/>
          <w:bottom w:val="nil"/>
          <w:right w:val="nil"/>
          <w:between w:val="nil"/>
        </w:pBdr>
        <w:rPr>
          <w:rFonts w:asciiTheme="minorHAnsi" w:eastAsia="Calibri" w:hAnsiTheme="minorHAnsi" w:cstheme="minorHAnsi"/>
          <w:color w:val="000000"/>
        </w:rPr>
      </w:pPr>
      <w:r w:rsidRPr="0084394E">
        <w:rPr>
          <w:rFonts w:asciiTheme="minorHAnsi" w:eastAsia="Calibri" w:hAnsiTheme="minorHAnsi" w:cstheme="minorHAnsi"/>
          <w:color w:val="000000"/>
        </w:rPr>
        <w:t>Lawful use of data</w:t>
      </w:r>
    </w:p>
    <w:p w14:paraId="411FE6CC" w14:textId="77777777" w:rsidR="00327B5F" w:rsidRPr="0084394E" w:rsidRDefault="00327B5F" w:rsidP="00327B5F">
      <w:pPr>
        <w:rPr>
          <w:rFonts w:asciiTheme="minorHAnsi" w:hAnsiTheme="minorHAnsi" w:cstheme="minorHAnsi"/>
        </w:rPr>
      </w:pPr>
    </w:p>
    <w:sectPr w:rsidR="00327B5F" w:rsidRPr="0084394E" w:rsidSect="00440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C68"/>
    <w:multiLevelType w:val="multilevel"/>
    <w:tmpl w:val="BFBAD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0053DFD"/>
    <w:multiLevelType w:val="hybridMultilevel"/>
    <w:tmpl w:val="B6F6755C"/>
    <w:lvl w:ilvl="0" w:tplc="AB323D06">
      <w:start w:val="1"/>
      <w:numFmt w:val="decimal"/>
      <w:lvlText w:val="%1."/>
      <w:lvlJc w:val="left"/>
      <w:pPr>
        <w:ind w:left="720" w:hanging="360"/>
      </w:pPr>
      <w:rPr>
        <w:rFonts w:asciiTheme="minorHAnsi" w:hAnsiTheme="minorHAnsi" w:cstheme="minorHAnsi"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138F9"/>
    <w:multiLevelType w:val="multilevel"/>
    <w:tmpl w:val="BFBAD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23B458A"/>
    <w:multiLevelType w:val="multilevel"/>
    <w:tmpl w:val="E858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D1DB5"/>
    <w:multiLevelType w:val="hybridMultilevel"/>
    <w:tmpl w:val="DFEAC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E0CC7"/>
    <w:multiLevelType w:val="hybridMultilevel"/>
    <w:tmpl w:val="BF62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C58C1"/>
    <w:multiLevelType w:val="hybridMultilevel"/>
    <w:tmpl w:val="B2863112"/>
    <w:lvl w:ilvl="0" w:tplc="E1201EE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2A"/>
    <w:rsid w:val="000F4956"/>
    <w:rsid w:val="00106226"/>
    <w:rsid w:val="00142B5B"/>
    <w:rsid w:val="00327B5F"/>
    <w:rsid w:val="00366B0B"/>
    <w:rsid w:val="00391F2A"/>
    <w:rsid w:val="00680072"/>
    <w:rsid w:val="0084394E"/>
    <w:rsid w:val="009B1CE0"/>
    <w:rsid w:val="00A129FE"/>
    <w:rsid w:val="00CA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9DEE3"/>
  <w15:chartTrackingRefBased/>
  <w15:docId w15:val="{34757825-0F6A-584C-9702-B90F3A46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0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F2A"/>
    <w:pPr>
      <w:ind w:left="720"/>
      <w:contextualSpacing/>
    </w:pPr>
  </w:style>
  <w:style w:type="paragraph" w:styleId="NormalWeb">
    <w:name w:val="Normal (Web)"/>
    <w:basedOn w:val="Normal"/>
    <w:uiPriority w:val="99"/>
    <w:semiHidden/>
    <w:unhideWhenUsed/>
    <w:rsid w:val="00391F2A"/>
    <w:pPr>
      <w:spacing w:before="100" w:beforeAutospacing="1" w:after="100" w:afterAutospacing="1"/>
    </w:pPr>
  </w:style>
  <w:style w:type="paragraph" w:styleId="BalloonText">
    <w:name w:val="Balloon Text"/>
    <w:basedOn w:val="Normal"/>
    <w:link w:val="BalloonTextChar"/>
    <w:uiPriority w:val="99"/>
    <w:semiHidden/>
    <w:unhideWhenUsed/>
    <w:rsid w:val="009B1CE0"/>
    <w:rPr>
      <w:sz w:val="18"/>
      <w:szCs w:val="18"/>
    </w:rPr>
  </w:style>
  <w:style w:type="character" w:customStyle="1" w:styleId="BalloonTextChar">
    <w:name w:val="Balloon Text Char"/>
    <w:basedOn w:val="DefaultParagraphFont"/>
    <w:link w:val="BalloonText"/>
    <w:uiPriority w:val="99"/>
    <w:semiHidden/>
    <w:rsid w:val="009B1CE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8196">
      <w:bodyDiv w:val="1"/>
      <w:marLeft w:val="0"/>
      <w:marRight w:val="0"/>
      <w:marTop w:val="0"/>
      <w:marBottom w:val="0"/>
      <w:divBdr>
        <w:top w:val="none" w:sz="0" w:space="0" w:color="auto"/>
        <w:left w:val="none" w:sz="0" w:space="0" w:color="auto"/>
        <w:bottom w:val="none" w:sz="0" w:space="0" w:color="auto"/>
        <w:right w:val="none" w:sz="0" w:space="0" w:color="auto"/>
      </w:divBdr>
    </w:div>
    <w:div w:id="140928550">
      <w:bodyDiv w:val="1"/>
      <w:marLeft w:val="0"/>
      <w:marRight w:val="0"/>
      <w:marTop w:val="0"/>
      <w:marBottom w:val="0"/>
      <w:divBdr>
        <w:top w:val="none" w:sz="0" w:space="0" w:color="auto"/>
        <w:left w:val="none" w:sz="0" w:space="0" w:color="auto"/>
        <w:bottom w:val="none" w:sz="0" w:space="0" w:color="auto"/>
        <w:right w:val="none" w:sz="0" w:space="0" w:color="auto"/>
      </w:divBdr>
    </w:div>
    <w:div w:id="315114347">
      <w:bodyDiv w:val="1"/>
      <w:marLeft w:val="0"/>
      <w:marRight w:val="0"/>
      <w:marTop w:val="0"/>
      <w:marBottom w:val="0"/>
      <w:divBdr>
        <w:top w:val="none" w:sz="0" w:space="0" w:color="auto"/>
        <w:left w:val="none" w:sz="0" w:space="0" w:color="auto"/>
        <w:bottom w:val="none" w:sz="0" w:space="0" w:color="auto"/>
        <w:right w:val="none" w:sz="0" w:space="0" w:color="auto"/>
      </w:divBdr>
    </w:div>
    <w:div w:id="445121904">
      <w:bodyDiv w:val="1"/>
      <w:marLeft w:val="0"/>
      <w:marRight w:val="0"/>
      <w:marTop w:val="0"/>
      <w:marBottom w:val="0"/>
      <w:divBdr>
        <w:top w:val="none" w:sz="0" w:space="0" w:color="auto"/>
        <w:left w:val="none" w:sz="0" w:space="0" w:color="auto"/>
        <w:bottom w:val="none" w:sz="0" w:space="0" w:color="auto"/>
        <w:right w:val="none" w:sz="0" w:space="0" w:color="auto"/>
      </w:divBdr>
    </w:div>
    <w:div w:id="493643299">
      <w:bodyDiv w:val="1"/>
      <w:marLeft w:val="0"/>
      <w:marRight w:val="0"/>
      <w:marTop w:val="0"/>
      <w:marBottom w:val="0"/>
      <w:divBdr>
        <w:top w:val="none" w:sz="0" w:space="0" w:color="auto"/>
        <w:left w:val="none" w:sz="0" w:space="0" w:color="auto"/>
        <w:bottom w:val="none" w:sz="0" w:space="0" w:color="auto"/>
        <w:right w:val="none" w:sz="0" w:space="0" w:color="auto"/>
      </w:divBdr>
    </w:div>
    <w:div w:id="622615735">
      <w:bodyDiv w:val="1"/>
      <w:marLeft w:val="0"/>
      <w:marRight w:val="0"/>
      <w:marTop w:val="0"/>
      <w:marBottom w:val="0"/>
      <w:divBdr>
        <w:top w:val="none" w:sz="0" w:space="0" w:color="auto"/>
        <w:left w:val="none" w:sz="0" w:space="0" w:color="auto"/>
        <w:bottom w:val="none" w:sz="0" w:space="0" w:color="auto"/>
        <w:right w:val="none" w:sz="0" w:space="0" w:color="auto"/>
      </w:divBdr>
    </w:div>
    <w:div w:id="780954949">
      <w:bodyDiv w:val="1"/>
      <w:marLeft w:val="0"/>
      <w:marRight w:val="0"/>
      <w:marTop w:val="0"/>
      <w:marBottom w:val="0"/>
      <w:divBdr>
        <w:top w:val="none" w:sz="0" w:space="0" w:color="auto"/>
        <w:left w:val="none" w:sz="0" w:space="0" w:color="auto"/>
        <w:bottom w:val="none" w:sz="0" w:space="0" w:color="auto"/>
        <w:right w:val="none" w:sz="0" w:space="0" w:color="auto"/>
      </w:divBdr>
    </w:div>
    <w:div w:id="941454655">
      <w:bodyDiv w:val="1"/>
      <w:marLeft w:val="0"/>
      <w:marRight w:val="0"/>
      <w:marTop w:val="0"/>
      <w:marBottom w:val="0"/>
      <w:divBdr>
        <w:top w:val="none" w:sz="0" w:space="0" w:color="auto"/>
        <w:left w:val="none" w:sz="0" w:space="0" w:color="auto"/>
        <w:bottom w:val="none" w:sz="0" w:space="0" w:color="auto"/>
        <w:right w:val="none" w:sz="0" w:space="0" w:color="auto"/>
      </w:divBdr>
    </w:div>
    <w:div w:id="1121729482">
      <w:bodyDiv w:val="1"/>
      <w:marLeft w:val="0"/>
      <w:marRight w:val="0"/>
      <w:marTop w:val="0"/>
      <w:marBottom w:val="0"/>
      <w:divBdr>
        <w:top w:val="none" w:sz="0" w:space="0" w:color="auto"/>
        <w:left w:val="none" w:sz="0" w:space="0" w:color="auto"/>
        <w:bottom w:val="none" w:sz="0" w:space="0" w:color="auto"/>
        <w:right w:val="none" w:sz="0" w:space="0" w:color="auto"/>
      </w:divBdr>
    </w:div>
    <w:div w:id="1150057769">
      <w:bodyDiv w:val="1"/>
      <w:marLeft w:val="0"/>
      <w:marRight w:val="0"/>
      <w:marTop w:val="0"/>
      <w:marBottom w:val="0"/>
      <w:divBdr>
        <w:top w:val="none" w:sz="0" w:space="0" w:color="auto"/>
        <w:left w:val="none" w:sz="0" w:space="0" w:color="auto"/>
        <w:bottom w:val="none" w:sz="0" w:space="0" w:color="auto"/>
        <w:right w:val="none" w:sz="0" w:space="0" w:color="auto"/>
      </w:divBdr>
    </w:div>
    <w:div w:id="1387415650">
      <w:bodyDiv w:val="1"/>
      <w:marLeft w:val="0"/>
      <w:marRight w:val="0"/>
      <w:marTop w:val="0"/>
      <w:marBottom w:val="0"/>
      <w:divBdr>
        <w:top w:val="none" w:sz="0" w:space="0" w:color="auto"/>
        <w:left w:val="none" w:sz="0" w:space="0" w:color="auto"/>
        <w:bottom w:val="none" w:sz="0" w:space="0" w:color="auto"/>
        <w:right w:val="none" w:sz="0" w:space="0" w:color="auto"/>
      </w:divBdr>
    </w:div>
    <w:div w:id="1461219172">
      <w:bodyDiv w:val="1"/>
      <w:marLeft w:val="0"/>
      <w:marRight w:val="0"/>
      <w:marTop w:val="0"/>
      <w:marBottom w:val="0"/>
      <w:divBdr>
        <w:top w:val="none" w:sz="0" w:space="0" w:color="auto"/>
        <w:left w:val="none" w:sz="0" w:space="0" w:color="auto"/>
        <w:bottom w:val="none" w:sz="0" w:space="0" w:color="auto"/>
        <w:right w:val="none" w:sz="0" w:space="0" w:color="auto"/>
      </w:divBdr>
    </w:div>
    <w:div w:id="1474979201">
      <w:bodyDiv w:val="1"/>
      <w:marLeft w:val="0"/>
      <w:marRight w:val="0"/>
      <w:marTop w:val="0"/>
      <w:marBottom w:val="0"/>
      <w:divBdr>
        <w:top w:val="none" w:sz="0" w:space="0" w:color="auto"/>
        <w:left w:val="none" w:sz="0" w:space="0" w:color="auto"/>
        <w:bottom w:val="none" w:sz="0" w:space="0" w:color="auto"/>
        <w:right w:val="none" w:sz="0" w:space="0" w:color="auto"/>
      </w:divBdr>
    </w:div>
    <w:div w:id="1526286850">
      <w:bodyDiv w:val="1"/>
      <w:marLeft w:val="0"/>
      <w:marRight w:val="0"/>
      <w:marTop w:val="0"/>
      <w:marBottom w:val="0"/>
      <w:divBdr>
        <w:top w:val="none" w:sz="0" w:space="0" w:color="auto"/>
        <w:left w:val="none" w:sz="0" w:space="0" w:color="auto"/>
        <w:bottom w:val="none" w:sz="0" w:space="0" w:color="auto"/>
        <w:right w:val="none" w:sz="0" w:space="0" w:color="auto"/>
      </w:divBdr>
    </w:div>
    <w:div w:id="1530800537">
      <w:bodyDiv w:val="1"/>
      <w:marLeft w:val="0"/>
      <w:marRight w:val="0"/>
      <w:marTop w:val="0"/>
      <w:marBottom w:val="0"/>
      <w:divBdr>
        <w:top w:val="none" w:sz="0" w:space="0" w:color="auto"/>
        <w:left w:val="none" w:sz="0" w:space="0" w:color="auto"/>
        <w:bottom w:val="none" w:sz="0" w:space="0" w:color="auto"/>
        <w:right w:val="none" w:sz="0" w:space="0" w:color="auto"/>
      </w:divBdr>
    </w:div>
    <w:div w:id="1885945859">
      <w:bodyDiv w:val="1"/>
      <w:marLeft w:val="0"/>
      <w:marRight w:val="0"/>
      <w:marTop w:val="0"/>
      <w:marBottom w:val="0"/>
      <w:divBdr>
        <w:top w:val="none" w:sz="0" w:space="0" w:color="auto"/>
        <w:left w:val="none" w:sz="0" w:space="0" w:color="auto"/>
        <w:bottom w:val="none" w:sz="0" w:space="0" w:color="auto"/>
        <w:right w:val="none" w:sz="0" w:space="0" w:color="auto"/>
      </w:divBdr>
    </w:div>
    <w:div w:id="1891576367">
      <w:bodyDiv w:val="1"/>
      <w:marLeft w:val="0"/>
      <w:marRight w:val="0"/>
      <w:marTop w:val="0"/>
      <w:marBottom w:val="0"/>
      <w:divBdr>
        <w:top w:val="none" w:sz="0" w:space="0" w:color="auto"/>
        <w:left w:val="none" w:sz="0" w:space="0" w:color="auto"/>
        <w:bottom w:val="none" w:sz="0" w:space="0" w:color="auto"/>
        <w:right w:val="none" w:sz="0" w:space="0" w:color="auto"/>
      </w:divBdr>
    </w:div>
    <w:div w:id="1997566473">
      <w:bodyDiv w:val="1"/>
      <w:marLeft w:val="0"/>
      <w:marRight w:val="0"/>
      <w:marTop w:val="0"/>
      <w:marBottom w:val="0"/>
      <w:divBdr>
        <w:top w:val="none" w:sz="0" w:space="0" w:color="auto"/>
        <w:left w:val="none" w:sz="0" w:space="0" w:color="auto"/>
        <w:bottom w:val="none" w:sz="0" w:space="0" w:color="auto"/>
        <w:right w:val="none" w:sz="0" w:space="0" w:color="auto"/>
      </w:divBdr>
    </w:div>
    <w:div w:id="20975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1083</Words>
  <Characters>5742</Characters>
  <Application>Microsoft Office Word</Application>
  <DocSecurity>0</DocSecurity>
  <Lines>133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2020-05-20T21:41:00Z</dcterms:created>
  <dcterms:modified xsi:type="dcterms:W3CDTF">2020-05-20T21:46:00Z</dcterms:modified>
</cp:coreProperties>
</file>