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0361" w14:textId="6BA54C31" w:rsidR="007F34CC" w:rsidRPr="00501EAE" w:rsidRDefault="005E2480" w:rsidP="00016919">
      <w:pPr>
        <w:outlineLvl w:val="0"/>
        <w:rPr>
          <w:rFonts w:asciiTheme="minorHAnsi" w:hAnsiTheme="minorHAnsi" w:cstheme="minorHAnsi"/>
          <w:b/>
          <w:sz w:val="22"/>
          <w:szCs w:val="22"/>
        </w:rPr>
      </w:pPr>
      <w:r w:rsidRPr="00501EAE">
        <w:rPr>
          <w:rFonts w:asciiTheme="minorHAnsi" w:hAnsiTheme="minorHAnsi" w:cstheme="minorHAnsi"/>
          <w:b/>
          <w:sz w:val="22"/>
          <w:szCs w:val="22"/>
        </w:rPr>
        <w:t xml:space="preserve">EPDP Team – </w:t>
      </w:r>
      <w:r w:rsidR="005A447D" w:rsidRPr="00501EAE">
        <w:rPr>
          <w:rFonts w:asciiTheme="minorHAnsi" w:hAnsiTheme="minorHAnsi" w:cstheme="minorHAnsi"/>
          <w:b/>
          <w:sz w:val="22"/>
          <w:szCs w:val="22"/>
        </w:rPr>
        <w:t xml:space="preserve">Temporary Specification </w:t>
      </w:r>
      <w:r w:rsidR="008722F1" w:rsidRPr="00501EAE">
        <w:rPr>
          <w:rFonts w:asciiTheme="minorHAnsi" w:hAnsiTheme="minorHAnsi" w:cstheme="minorHAnsi"/>
          <w:b/>
          <w:sz w:val="22"/>
          <w:szCs w:val="22"/>
        </w:rPr>
        <w:t>Discussion Summary Index</w:t>
      </w:r>
    </w:p>
    <w:p w14:paraId="2AED65C2" w14:textId="581D3827" w:rsidR="005E2480" w:rsidRPr="00501EAE" w:rsidRDefault="005E2480">
      <w:pPr>
        <w:rPr>
          <w:rFonts w:asciiTheme="minorHAnsi" w:hAnsiTheme="minorHAnsi" w:cstheme="minorHAnsi"/>
          <w:b/>
          <w:sz w:val="22"/>
          <w:szCs w:val="22"/>
        </w:rPr>
      </w:pPr>
    </w:p>
    <w:tbl>
      <w:tblPr>
        <w:tblStyle w:val="TableGrid"/>
        <w:tblW w:w="0" w:type="auto"/>
        <w:tblLayout w:type="fixed"/>
        <w:tblLook w:val="04A0" w:firstRow="1" w:lastRow="0" w:firstColumn="1" w:lastColumn="0" w:noHBand="0" w:noVBand="1"/>
      </w:tblPr>
      <w:tblGrid>
        <w:gridCol w:w="1435"/>
        <w:gridCol w:w="2878"/>
        <w:gridCol w:w="1638"/>
        <w:gridCol w:w="943"/>
        <w:gridCol w:w="2180"/>
        <w:gridCol w:w="183"/>
        <w:gridCol w:w="2774"/>
        <w:gridCol w:w="919"/>
      </w:tblGrid>
      <w:tr w:rsidR="004742D7" w:rsidRPr="00501EAE" w14:paraId="0B84DF9D" w14:textId="4C73C34D" w:rsidTr="002B2F48">
        <w:trPr>
          <w:trHeight w:val="293"/>
        </w:trPr>
        <w:tc>
          <w:tcPr>
            <w:tcW w:w="1435" w:type="dxa"/>
            <w:tcBorders>
              <w:bottom w:val="single" w:sz="4" w:space="0" w:color="auto"/>
            </w:tcBorders>
            <w:shd w:val="clear" w:color="auto" w:fill="E7E6E6" w:themeFill="background2"/>
          </w:tcPr>
          <w:p w14:paraId="3DB55438" w14:textId="54AF07D9"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Temp Spec Section</w:t>
            </w:r>
          </w:p>
        </w:tc>
        <w:tc>
          <w:tcPr>
            <w:tcW w:w="2878" w:type="dxa"/>
          </w:tcPr>
          <w:p w14:paraId="706CB811" w14:textId="74F39306" w:rsidR="00D524E1" w:rsidRPr="00501EAE" w:rsidRDefault="0033658B" w:rsidP="002E18F7">
            <w:pPr>
              <w:rPr>
                <w:rFonts w:asciiTheme="minorHAnsi" w:hAnsiTheme="minorHAnsi" w:cstheme="minorHAnsi"/>
                <w:sz w:val="22"/>
                <w:szCs w:val="22"/>
              </w:rPr>
            </w:pPr>
            <w:r w:rsidRPr="00501EAE">
              <w:rPr>
                <w:rFonts w:asciiTheme="minorHAnsi" w:hAnsiTheme="minorHAnsi" w:cstheme="minorHAnsi"/>
                <w:sz w:val="22"/>
                <w:szCs w:val="22"/>
              </w:rPr>
              <w:t>Appendix C</w:t>
            </w:r>
          </w:p>
        </w:tc>
        <w:tc>
          <w:tcPr>
            <w:tcW w:w="2581" w:type="dxa"/>
            <w:gridSpan w:val="2"/>
            <w:shd w:val="clear" w:color="auto" w:fill="E7E6E6" w:themeFill="background2"/>
          </w:tcPr>
          <w:p w14:paraId="15DE4835" w14:textId="3049A877"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Date</w:t>
            </w:r>
            <w:r w:rsidR="0061274C" w:rsidRPr="00501EAE">
              <w:rPr>
                <w:rFonts w:asciiTheme="minorHAnsi" w:hAnsiTheme="minorHAnsi" w:cstheme="minorHAnsi"/>
                <w:b/>
                <w:sz w:val="22"/>
                <w:szCs w:val="22"/>
              </w:rPr>
              <w:t xml:space="preserve"> (last update)</w:t>
            </w:r>
          </w:p>
        </w:tc>
        <w:tc>
          <w:tcPr>
            <w:tcW w:w="2363" w:type="dxa"/>
            <w:gridSpan w:val="2"/>
          </w:tcPr>
          <w:p w14:paraId="57589EBC" w14:textId="3695CB30" w:rsidR="00D524E1" w:rsidRPr="00501EAE" w:rsidRDefault="00190231">
            <w:pPr>
              <w:rPr>
                <w:rFonts w:asciiTheme="minorHAnsi" w:hAnsiTheme="minorHAnsi" w:cstheme="minorHAnsi"/>
                <w:sz w:val="22"/>
                <w:szCs w:val="22"/>
              </w:rPr>
            </w:pPr>
            <w:r>
              <w:rPr>
                <w:rFonts w:asciiTheme="minorHAnsi" w:hAnsiTheme="minorHAnsi" w:cstheme="minorHAnsi"/>
                <w:sz w:val="22"/>
                <w:szCs w:val="22"/>
              </w:rPr>
              <w:t>10 September 2018</w:t>
            </w:r>
            <w:bookmarkStart w:id="0" w:name="_GoBack"/>
            <w:bookmarkEnd w:id="0"/>
          </w:p>
        </w:tc>
        <w:tc>
          <w:tcPr>
            <w:tcW w:w="2774" w:type="dxa"/>
            <w:shd w:val="clear" w:color="auto" w:fill="E7E6E6" w:themeFill="background2"/>
          </w:tcPr>
          <w:p w14:paraId="7DCE6457" w14:textId="21589B37"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Category</w:t>
            </w:r>
          </w:p>
        </w:tc>
        <w:tc>
          <w:tcPr>
            <w:tcW w:w="919" w:type="dxa"/>
          </w:tcPr>
          <w:p w14:paraId="101836D8" w14:textId="1DD2AC0F" w:rsidR="00D524E1" w:rsidRPr="00501EAE" w:rsidRDefault="0097630D" w:rsidP="00D524E1">
            <w:pPr>
              <w:jc w:val="center"/>
              <w:rPr>
                <w:rFonts w:asciiTheme="minorHAnsi" w:hAnsiTheme="minorHAnsi" w:cstheme="minorHAnsi"/>
                <w:sz w:val="22"/>
                <w:szCs w:val="22"/>
              </w:rPr>
            </w:pPr>
            <w:r w:rsidRPr="00501EAE">
              <w:rPr>
                <w:rFonts w:asciiTheme="minorHAnsi" w:hAnsiTheme="minorHAnsi" w:cstheme="minorHAnsi"/>
                <w:sz w:val="22"/>
                <w:szCs w:val="22"/>
              </w:rPr>
              <w:t>1</w:t>
            </w:r>
          </w:p>
        </w:tc>
      </w:tr>
      <w:tr w:rsidR="003075B7" w:rsidRPr="00501EAE" w14:paraId="7952B159" w14:textId="0BFCB618" w:rsidTr="002B2F48">
        <w:trPr>
          <w:trHeight w:val="293"/>
        </w:trPr>
        <w:tc>
          <w:tcPr>
            <w:tcW w:w="1435" w:type="dxa"/>
            <w:shd w:val="clear" w:color="auto" w:fill="E7E6E6" w:themeFill="background2"/>
          </w:tcPr>
          <w:p w14:paraId="03835305" w14:textId="053D8C26"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t>Current text</w:t>
            </w:r>
          </w:p>
        </w:tc>
        <w:tc>
          <w:tcPr>
            <w:tcW w:w="11515" w:type="dxa"/>
            <w:gridSpan w:val="7"/>
            <w:tcBorders>
              <w:bottom w:val="single" w:sz="4" w:space="0" w:color="auto"/>
            </w:tcBorders>
          </w:tcPr>
          <w:p w14:paraId="2638B6E1" w14:textId="77777777" w:rsidR="00B96264" w:rsidRPr="00501EAE" w:rsidRDefault="00B96264" w:rsidP="00B96264">
            <w:pPr>
              <w:pStyle w:val="NormalWeb"/>
              <w:rPr>
                <w:rFonts w:asciiTheme="minorHAnsi" w:hAnsiTheme="minorHAnsi" w:cstheme="minorHAnsi"/>
                <w:b/>
                <w:bCs/>
                <w:color w:val="000000" w:themeColor="text1"/>
                <w:sz w:val="22"/>
                <w:szCs w:val="22"/>
              </w:rPr>
            </w:pPr>
            <w:r w:rsidRPr="00501EAE">
              <w:rPr>
                <w:rFonts w:asciiTheme="minorHAnsi" w:hAnsiTheme="minorHAnsi" w:cstheme="minorHAnsi"/>
                <w:b/>
                <w:bCs/>
                <w:color w:val="000000" w:themeColor="text1"/>
                <w:sz w:val="22"/>
                <w:szCs w:val="22"/>
              </w:rPr>
              <w:t>Appendix C: Data Processing Requirements</w:t>
            </w:r>
          </w:p>
          <w:p w14:paraId="68CC900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This Appendix sets out the framework for the Processing and sharing of Registration Data containing Personal Data between the parties as Data Controllers or Data Processors, as identified in the matrix below, and defines the principles and procedures that the parties SHALL adhere to and the responsibilities the parties owe to each other. The parties collectively acknowledge and agree that Processing of Registration Data is to be performed at different stages, or at times even simultaneously, within the Internet's complex environment, by the parties. Thus, this Appendix is required to ensure that where Personal Data may be accessed, such access will at all times comply with the requirements of the GDPR. Unless defined in this Appendix, terms with initial capital letters have the meaning given under the GDPR.</w:t>
            </w:r>
          </w:p>
          <w:tbl>
            <w:tblPr>
              <w:tblW w:w="1168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25"/>
              <w:gridCol w:w="2987"/>
              <w:gridCol w:w="2987"/>
              <w:gridCol w:w="1886"/>
            </w:tblGrid>
            <w:tr w:rsidR="00B96264" w:rsidRPr="00501EAE" w14:paraId="0E372969" w14:textId="77777777" w:rsidTr="002B2F48">
              <w:trPr>
                <w:tblHeader/>
              </w:trPr>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E68E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gTLD Processing Activity</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5CA881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Registrar Role/ Legal Justification</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5D4642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Registry Operator Role / Legal Justification</w:t>
                  </w:r>
                </w:p>
              </w:tc>
              <w:tc>
                <w:tcPr>
                  <w:tcW w:w="188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12042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ICANN Role / Legal Justification</w:t>
                  </w:r>
                </w:p>
              </w:tc>
            </w:tr>
            <w:tr w:rsidR="00B96264" w:rsidRPr="00501EAE" w14:paraId="25F5D4FF"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53C6CA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Collection of registration data from Registered Name Holder</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2A21DFE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(Consent and Performance of a Contract)</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709827B0"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 and Performance of a Contract)</w:t>
                  </w:r>
                </w:p>
              </w:tc>
              <w:tc>
                <w:tcPr>
                  <w:tcW w:w="1886" w:type="dxa"/>
                  <w:tcBorders>
                    <w:top w:val="single" w:sz="6" w:space="0" w:color="000000"/>
                    <w:left w:val="single" w:sz="6" w:space="0" w:color="000000"/>
                    <w:bottom w:val="single" w:sz="6" w:space="0" w:color="000000"/>
                    <w:right w:val="single" w:sz="6" w:space="0" w:color="000000"/>
                  </w:tcBorders>
                  <w:shd w:val="clear" w:color="auto" w:fill="FFFFFF"/>
                  <w:hideMark/>
                </w:tcPr>
                <w:p w14:paraId="18378BA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125EA5A9"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ECF0F1"/>
                  <w:hideMark/>
                </w:tcPr>
                <w:p w14:paraId="62F9051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Registrar to Registry Operator or Registry Operator Back-end Service Provider</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06461882"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4A26E71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Interests)</w:t>
                  </w:r>
                </w:p>
              </w:tc>
              <w:tc>
                <w:tcPr>
                  <w:tcW w:w="1886" w:type="dxa"/>
                  <w:tcBorders>
                    <w:top w:val="single" w:sz="6" w:space="0" w:color="000000"/>
                    <w:left w:val="single" w:sz="6" w:space="0" w:color="000000"/>
                    <w:bottom w:val="single" w:sz="6" w:space="0" w:color="000000"/>
                    <w:right w:val="single" w:sz="6" w:space="0" w:color="000000"/>
                  </w:tcBorders>
                  <w:shd w:val="clear" w:color="auto" w:fill="ECF0F1"/>
                  <w:hideMark/>
                </w:tcPr>
                <w:p w14:paraId="517BB86A"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Interests)</w:t>
                  </w:r>
                </w:p>
              </w:tc>
            </w:tr>
            <w:tr w:rsidR="00B96264" w:rsidRPr="00501EAE" w14:paraId="15A11DC9"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405EE2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Registry Operator to Data Escrow Agent</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028D4880"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0123082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1886" w:type="dxa"/>
                  <w:tcBorders>
                    <w:top w:val="single" w:sz="6" w:space="0" w:color="000000"/>
                    <w:left w:val="single" w:sz="6" w:space="0" w:color="000000"/>
                    <w:bottom w:val="single" w:sz="6" w:space="0" w:color="000000"/>
                    <w:right w:val="single" w:sz="6" w:space="0" w:color="000000"/>
                  </w:tcBorders>
                  <w:shd w:val="clear" w:color="auto" w:fill="FFFFFF"/>
                  <w:hideMark/>
                </w:tcPr>
                <w:p w14:paraId="37FD9099"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3628E705"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ECF0F1"/>
                  <w:hideMark/>
                </w:tcPr>
                <w:p w14:paraId="6100777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Registrar to Data Escrow Agent</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69F3189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Contract)</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2E026FCF"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1886" w:type="dxa"/>
                  <w:tcBorders>
                    <w:top w:val="single" w:sz="6" w:space="0" w:color="000000"/>
                    <w:left w:val="single" w:sz="6" w:space="0" w:color="000000"/>
                    <w:bottom w:val="single" w:sz="6" w:space="0" w:color="000000"/>
                    <w:right w:val="single" w:sz="6" w:space="0" w:color="000000"/>
                  </w:tcBorders>
                  <w:shd w:val="clear" w:color="auto" w:fill="ECF0F1"/>
                  <w:hideMark/>
                </w:tcPr>
                <w:p w14:paraId="2E8818B7"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5594627B"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A3369A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to ICANN Contractual Compliance</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016A214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5F8AD42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w:t>
                  </w:r>
                </w:p>
              </w:tc>
              <w:tc>
                <w:tcPr>
                  <w:tcW w:w="1886" w:type="dxa"/>
                  <w:tcBorders>
                    <w:top w:val="single" w:sz="6" w:space="0" w:color="000000"/>
                    <w:left w:val="single" w:sz="6" w:space="0" w:color="000000"/>
                    <w:bottom w:val="single" w:sz="6" w:space="0" w:color="000000"/>
                    <w:right w:val="single" w:sz="6" w:space="0" w:color="000000"/>
                  </w:tcBorders>
                  <w:shd w:val="clear" w:color="auto" w:fill="FFFFFF"/>
                  <w:hideMark/>
                </w:tcPr>
                <w:p w14:paraId="6BF949E2"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414B2C1E"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ECF0F1"/>
                  <w:hideMark/>
                </w:tcPr>
                <w:p w14:paraId="3892DA6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to Emergency Back-end Registry Operator (EBERO)</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74D28E5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4CAAA9E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1886" w:type="dxa"/>
                  <w:tcBorders>
                    <w:top w:val="single" w:sz="6" w:space="0" w:color="000000"/>
                    <w:left w:val="single" w:sz="6" w:space="0" w:color="000000"/>
                    <w:bottom w:val="single" w:sz="6" w:space="0" w:color="000000"/>
                    <w:right w:val="single" w:sz="6" w:space="0" w:color="000000"/>
                  </w:tcBorders>
                  <w:shd w:val="clear" w:color="auto" w:fill="ECF0F1"/>
                  <w:hideMark/>
                </w:tcPr>
                <w:p w14:paraId="4A44826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317FD0B3"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BE8430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Public RDDS/WHOIS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186146D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66E8003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c>
                <w:tcPr>
                  <w:tcW w:w="1886" w:type="dxa"/>
                  <w:tcBorders>
                    <w:top w:val="single" w:sz="6" w:space="0" w:color="000000"/>
                    <w:left w:val="single" w:sz="6" w:space="0" w:color="000000"/>
                    <w:bottom w:val="single" w:sz="6" w:space="0" w:color="000000"/>
                    <w:right w:val="single" w:sz="6" w:space="0" w:color="000000"/>
                  </w:tcBorders>
                  <w:shd w:val="clear" w:color="auto" w:fill="FFFFFF"/>
                  <w:hideMark/>
                </w:tcPr>
                <w:p w14:paraId="6D5D5B2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75DE9DFA"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ECF0F1"/>
                  <w:hideMark/>
                </w:tcPr>
                <w:p w14:paraId="0F76268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lastRenderedPageBreak/>
                    <w:t>Disclosure of non-public RDDS/WHOIS to third parties</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42B148D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 [can also vary depending upon the requesting party])</w:t>
                  </w:r>
                </w:p>
              </w:tc>
              <w:tc>
                <w:tcPr>
                  <w:tcW w:w="2987" w:type="dxa"/>
                  <w:tcBorders>
                    <w:top w:val="single" w:sz="6" w:space="0" w:color="000000"/>
                    <w:left w:val="single" w:sz="6" w:space="0" w:color="000000"/>
                    <w:bottom w:val="single" w:sz="6" w:space="0" w:color="000000"/>
                    <w:right w:val="single" w:sz="6" w:space="0" w:color="000000"/>
                  </w:tcBorders>
                  <w:shd w:val="clear" w:color="auto" w:fill="ECF0F1"/>
                  <w:hideMark/>
                </w:tcPr>
                <w:p w14:paraId="2644F9C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 [can also vary depending upon the requesting party])</w:t>
                  </w:r>
                </w:p>
              </w:tc>
              <w:tc>
                <w:tcPr>
                  <w:tcW w:w="1886" w:type="dxa"/>
                  <w:tcBorders>
                    <w:top w:val="single" w:sz="6" w:space="0" w:color="000000"/>
                    <w:left w:val="single" w:sz="6" w:space="0" w:color="000000"/>
                    <w:bottom w:val="single" w:sz="6" w:space="0" w:color="000000"/>
                    <w:right w:val="single" w:sz="6" w:space="0" w:color="000000"/>
                  </w:tcBorders>
                  <w:shd w:val="clear" w:color="auto" w:fill="ECF0F1"/>
                  <w:hideMark/>
                </w:tcPr>
                <w:p w14:paraId="3F2E7F8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w:t>
                  </w:r>
                </w:p>
              </w:tc>
            </w:tr>
            <w:tr w:rsidR="00B96264" w:rsidRPr="00501EAE" w14:paraId="51724CC2" w14:textId="77777777" w:rsidTr="002B2F48">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85F746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Data retention</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0101ABE7"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2987" w:type="dxa"/>
                  <w:tcBorders>
                    <w:top w:val="single" w:sz="6" w:space="0" w:color="000000"/>
                    <w:left w:val="single" w:sz="6" w:space="0" w:color="000000"/>
                    <w:bottom w:val="single" w:sz="6" w:space="0" w:color="000000"/>
                    <w:right w:val="single" w:sz="6" w:space="0" w:color="000000"/>
                  </w:tcBorders>
                  <w:shd w:val="clear" w:color="auto" w:fill="FFFFFF"/>
                  <w:hideMark/>
                </w:tcPr>
                <w:p w14:paraId="382C629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1886" w:type="dxa"/>
                  <w:tcBorders>
                    <w:top w:val="single" w:sz="6" w:space="0" w:color="000000"/>
                    <w:left w:val="single" w:sz="6" w:space="0" w:color="000000"/>
                    <w:bottom w:val="single" w:sz="6" w:space="0" w:color="000000"/>
                    <w:right w:val="single" w:sz="6" w:space="0" w:color="000000"/>
                  </w:tcBorders>
                  <w:shd w:val="clear" w:color="auto" w:fill="FFFFFF"/>
                  <w:hideMark/>
                </w:tcPr>
                <w:p w14:paraId="19CFBC2A"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w:t>
                  </w:r>
                </w:p>
              </w:tc>
            </w:tr>
          </w:tbl>
          <w:p w14:paraId="28F77C7B" w14:textId="77777777" w:rsidR="00B96264" w:rsidRPr="00501EAE" w:rsidRDefault="00B96264" w:rsidP="00B96264">
            <w:pPr>
              <w:pStyle w:val="NormalWeb"/>
              <w:numPr>
                <w:ilvl w:val="0"/>
                <w:numId w:val="5"/>
              </w:numPr>
              <w:rPr>
                <w:rFonts w:asciiTheme="minorHAnsi" w:hAnsiTheme="minorHAnsi" w:cstheme="minorHAnsi"/>
                <w:color w:val="000000" w:themeColor="text1"/>
                <w:sz w:val="22"/>
                <w:szCs w:val="22"/>
              </w:rPr>
            </w:pPr>
            <w:bookmarkStart w:id="1" w:name="appendixC-1"/>
            <w:bookmarkEnd w:id="1"/>
            <w:r w:rsidRPr="00501EAE">
              <w:rPr>
                <w:rFonts w:asciiTheme="minorHAnsi" w:hAnsiTheme="minorHAnsi" w:cstheme="minorHAnsi"/>
                <w:b/>
                <w:bCs/>
                <w:color w:val="000000" w:themeColor="text1"/>
                <w:sz w:val="22"/>
                <w:szCs w:val="22"/>
              </w:rPr>
              <w:t>Principles for Processing</w:t>
            </w:r>
          </w:p>
          <w:p w14:paraId="396F318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Each Controller will observe the following principles to govern its Processing of Personal Data contained in Registration Data, except as required by applicable laws or regulations. Personal Data SHALL:</w:t>
            </w:r>
          </w:p>
          <w:p w14:paraId="79CC06BE" w14:textId="77777777" w:rsidR="00B96264" w:rsidRPr="00501EAE" w:rsidRDefault="00B96264" w:rsidP="00B96264">
            <w:pPr>
              <w:pStyle w:val="NormalWeb"/>
              <w:rPr>
                <w:rFonts w:asciiTheme="minorHAnsi" w:hAnsiTheme="minorHAnsi" w:cstheme="minorHAnsi"/>
                <w:color w:val="000000" w:themeColor="text1"/>
                <w:sz w:val="22"/>
                <w:szCs w:val="22"/>
              </w:rPr>
            </w:pPr>
            <w:bookmarkStart w:id="2" w:name="appendixC-1.1"/>
            <w:bookmarkEnd w:id="2"/>
            <w:r w:rsidRPr="00501EAE">
              <w:rPr>
                <w:rFonts w:asciiTheme="minorHAnsi" w:hAnsiTheme="minorHAnsi" w:cstheme="minorHAnsi"/>
                <w:color w:val="000000" w:themeColor="text1"/>
                <w:sz w:val="22"/>
                <w:szCs w:val="22"/>
              </w:rPr>
              <w:t>1.1. only be Processed lawfully, fairly, and in a transparent manner in relation to the Registered Name Holders and other data subjects ("lawfulness, fairness, and transparency");</w:t>
            </w:r>
          </w:p>
          <w:p w14:paraId="232BAD26" w14:textId="77777777" w:rsidR="00B96264" w:rsidRPr="00501EAE" w:rsidRDefault="00B96264" w:rsidP="00B96264">
            <w:pPr>
              <w:pStyle w:val="NormalWeb"/>
              <w:rPr>
                <w:rFonts w:asciiTheme="minorHAnsi" w:hAnsiTheme="minorHAnsi" w:cstheme="minorHAnsi"/>
                <w:color w:val="000000" w:themeColor="text1"/>
                <w:sz w:val="22"/>
                <w:szCs w:val="22"/>
              </w:rPr>
            </w:pPr>
            <w:bookmarkStart w:id="3" w:name="appendixC-1.2"/>
            <w:bookmarkEnd w:id="3"/>
            <w:r w:rsidRPr="00501EAE">
              <w:rPr>
                <w:rFonts w:asciiTheme="minorHAnsi" w:hAnsiTheme="minorHAnsi" w:cstheme="minorHAnsi"/>
                <w:color w:val="000000" w:themeColor="text1"/>
                <w:sz w:val="22"/>
                <w:szCs w:val="22"/>
              </w:rPr>
              <w:t>1.2. be obtained only for specified, explicit, and legitimate purposes (as outlined in Section 4 of this Temporary Specification), and SHALL NOT be further Processed in any manner incompatible with those purposes ("purpose limitation");</w:t>
            </w:r>
          </w:p>
          <w:p w14:paraId="5D9E43AC" w14:textId="77777777" w:rsidR="00B96264" w:rsidRPr="00501EAE" w:rsidRDefault="00B96264" w:rsidP="00B96264">
            <w:pPr>
              <w:pStyle w:val="NormalWeb"/>
              <w:rPr>
                <w:rFonts w:asciiTheme="minorHAnsi" w:hAnsiTheme="minorHAnsi" w:cstheme="minorHAnsi"/>
                <w:color w:val="000000" w:themeColor="text1"/>
                <w:sz w:val="22"/>
                <w:szCs w:val="22"/>
              </w:rPr>
            </w:pPr>
            <w:bookmarkStart w:id="4" w:name="appendixC-1.3"/>
            <w:bookmarkEnd w:id="4"/>
            <w:r w:rsidRPr="00501EAE">
              <w:rPr>
                <w:rFonts w:asciiTheme="minorHAnsi" w:hAnsiTheme="minorHAnsi" w:cstheme="minorHAnsi"/>
                <w:color w:val="000000" w:themeColor="text1"/>
                <w:sz w:val="22"/>
                <w:szCs w:val="22"/>
              </w:rPr>
              <w:t>1.3. be adequate, relevant, and not excessive in relation to the purposes for which they are Processed ("data minimization");</w:t>
            </w:r>
          </w:p>
          <w:p w14:paraId="1B971885" w14:textId="77777777" w:rsidR="00B96264" w:rsidRPr="00501EAE" w:rsidRDefault="00B96264" w:rsidP="00B96264">
            <w:pPr>
              <w:pStyle w:val="NormalWeb"/>
              <w:rPr>
                <w:rFonts w:asciiTheme="minorHAnsi" w:hAnsiTheme="minorHAnsi" w:cstheme="minorHAnsi"/>
                <w:color w:val="000000" w:themeColor="text1"/>
                <w:sz w:val="22"/>
                <w:szCs w:val="22"/>
              </w:rPr>
            </w:pPr>
            <w:bookmarkStart w:id="5" w:name="appendixC-1.4"/>
            <w:bookmarkEnd w:id="5"/>
            <w:r w:rsidRPr="00501EAE">
              <w:rPr>
                <w:rFonts w:asciiTheme="minorHAnsi" w:hAnsiTheme="minorHAnsi" w:cstheme="minorHAnsi"/>
                <w:color w:val="000000" w:themeColor="text1"/>
                <w:sz w:val="22"/>
                <w:szCs w:val="22"/>
              </w:rPr>
              <w:t>1.4. be accurate and, if necessary, kept current, as appropriate to the purposes for which they are Processed ("accuracy");</w:t>
            </w:r>
          </w:p>
          <w:p w14:paraId="0E946389" w14:textId="77777777" w:rsidR="00B96264" w:rsidRPr="00501EAE" w:rsidRDefault="00B96264" w:rsidP="00B96264">
            <w:pPr>
              <w:pStyle w:val="NormalWeb"/>
              <w:rPr>
                <w:rFonts w:asciiTheme="minorHAnsi" w:hAnsiTheme="minorHAnsi" w:cstheme="minorHAnsi"/>
                <w:color w:val="000000" w:themeColor="text1"/>
                <w:sz w:val="22"/>
                <w:szCs w:val="22"/>
              </w:rPr>
            </w:pPr>
            <w:bookmarkStart w:id="6" w:name="appendixC-1.5"/>
            <w:bookmarkEnd w:id="6"/>
            <w:r w:rsidRPr="00501EAE">
              <w:rPr>
                <w:rFonts w:asciiTheme="minorHAnsi" w:hAnsiTheme="minorHAnsi" w:cstheme="minorHAnsi"/>
                <w:color w:val="000000" w:themeColor="text1"/>
                <w:sz w:val="22"/>
                <w:szCs w:val="22"/>
              </w:rPr>
              <w:t>1.5. not be kept in a form that permits identification of the Registered Name Holder and other data subjects for longer than necessary for the permitted purposes ("storage limitation"); and</w:t>
            </w:r>
          </w:p>
          <w:p w14:paraId="6DBB419A" w14:textId="77777777" w:rsidR="00B96264" w:rsidRPr="00501EAE" w:rsidRDefault="00B96264" w:rsidP="00B96264">
            <w:pPr>
              <w:pStyle w:val="NormalWeb"/>
              <w:rPr>
                <w:rFonts w:asciiTheme="minorHAnsi" w:hAnsiTheme="minorHAnsi" w:cstheme="minorHAnsi"/>
                <w:color w:val="000000" w:themeColor="text1"/>
                <w:sz w:val="22"/>
                <w:szCs w:val="22"/>
              </w:rPr>
            </w:pPr>
            <w:bookmarkStart w:id="7" w:name="appendixC-1.6"/>
            <w:bookmarkEnd w:id="7"/>
            <w:r w:rsidRPr="00501EAE">
              <w:rPr>
                <w:rFonts w:asciiTheme="minorHAnsi" w:hAnsiTheme="minorHAnsi" w:cstheme="minorHAnsi"/>
                <w:color w:val="000000" w:themeColor="text1"/>
                <w:sz w:val="22"/>
                <w:szCs w:val="22"/>
              </w:rPr>
              <w:t>1.6. be Processed in a manner that ensures appropriate security of the Personal Data, including protection against unauthorized or unlawful Processing and against accidental loss, destruction or damage, using appropriate technical or organizational measures ("integrity and confidentiality").</w:t>
            </w:r>
          </w:p>
          <w:p w14:paraId="43D0B20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 xml:space="preserve">Each Registrar and Registry Operator SHALL be responsible for, and be able to demonstrate compliance with principles (1.1) to (1.6) ("accountability"). The Registrar or Registry Operator SHALL inform ICANN immediately if such Registrar or Registry </w:t>
            </w:r>
            <w:r w:rsidRPr="00501EAE">
              <w:rPr>
                <w:rFonts w:asciiTheme="minorHAnsi" w:hAnsiTheme="minorHAnsi" w:cstheme="minorHAnsi"/>
                <w:color w:val="000000" w:themeColor="text1"/>
                <w:sz w:val="22"/>
                <w:szCs w:val="22"/>
              </w:rPr>
              <w:lastRenderedPageBreak/>
              <w:t>Operator (i) cannot abide by the Processing principles outlined in Section 1 of this Appendix, or (ii) receives a complaint by a Registered Name Holder or other data subject that the Registrar or Registry Operator has failed to abide by such principles.</w:t>
            </w:r>
          </w:p>
          <w:p w14:paraId="384B4F00" w14:textId="77777777" w:rsidR="00B96264" w:rsidRPr="00501EAE" w:rsidRDefault="00B96264" w:rsidP="006E3731">
            <w:pPr>
              <w:pStyle w:val="NormalWeb"/>
              <w:numPr>
                <w:ilvl w:val="0"/>
                <w:numId w:val="5"/>
              </w:numPr>
              <w:rPr>
                <w:rFonts w:asciiTheme="minorHAnsi" w:hAnsiTheme="minorHAnsi" w:cstheme="minorHAnsi"/>
                <w:color w:val="000000" w:themeColor="text1"/>
                <w:sz w:val="22"/>
                <w:szCs w:val="22"/>
              </w:rPr>
            </w:pPr>
            <w:bookmarkStart w:id="8" w:name="appendixC-2"/>
            <w:bookmarkEnd w:id="8"/>
            <w:r w:rsidRPr="00501EAE">
              <w:rPr>
                <w:rFonts w:asciiTheme="minorHAnsi" w:hAnsiTheme="minorHAnsi" w:cstheme="minorHAnsi"/>
                <w:b/>
                <w:bCs/>
                <w:color w:val="000000" w:themeColor="text1"/>
                <w:sz w:val="22"/>
                <w:szCs w:val="22"/>
              </w:rPr>
              <w:t>Lawfulness of Processing</w:t>
            </w:r>
          </w:p>
          <w:p w14:paraId="3C22884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For Personal Data Processed in connection with the Registration Data Directory Services, such Processing will take place on the basis of a legitimate interests of the Controller or of the third party or parties to whom the Personal Data are disclosed, except where such interests are overridden by the interests or fundamental rights and freedoms of the data subject which require protection of Personal Data, in particular where the data subject is a child. For other Personal Data collected for other purposes, such Personal Data SHALL NOT be Processed unless a legal basis specified under Article 6(1) GDPR applies.</w:t>
            </w:r>
          </w:p>
          <w:p w14:paraId="13D28DAB" w14:textId="77777777" w:rsidR="00B96264" w:rsidRPr="00501EAE" w:rsidRDefault="00B96264" w:rsidP="00B96264">
            <w:pPr>
              <w:pStyle w:val="NormalWeb"/>
              <w:numPr>
                <w:ilvl w:val="0"/>
                <w:numId w:val="5"/>
              </w:numPr>
              <w:rPr>
                <w:rFonts w:asciiTheme="minorHAnsi" w:hAnsiTheme="minorHAnsi" w:cstheme="minorHAnsi"/>
                <w:color w:val="000000" w:themeColor="text1"/>
                <w:sz w:val="22"/>
                <w:szCs w:val="22"/>
              </w:rPr>
            </w:pPr>
            <w:bookmarkStart w:id="9" w:name="appendixC-3"/>
            <w:bookmarkEnd w:id="9"/>
            <w:r w:rsidRPr="00501EAE">
              <w:rPr>
                <w:rFonts w:asciiTheme="minorHAnsi" w:hAnsiTheme="minorHAnsi" w:cstheme="minorHAnsi"/>
                <w:b/>
                <w:bCs/>
                <w:color w:val="000000" w:themeColor="text1"/>
                <w:sz w:val="22"/>
                <w:szCs w:val="22"/>
              </w:rPr>
              <w:t>Specific Controller Processing requirements</w:t>
            </w:r>
          </w:p>
          <w:p w14:paraId="0F91A15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In addition to the general principles and requirements for lawful Processing, each Controller SHALL comply with the following specific requirements:</w:t>
            </w:r>
          </w:p>
          <w:p w14:paraId="60E7D76E" w14:textId="77777777" w:rsidR="00B96264" w:rsidRPr="00501EAE" w:rsidRDefault="00B96264" w:rsidP="00B96264">
            <w:pPr>
              <w:pStyle w:val="NormalWeb"/>
              <w:rPr>
                <w:rFonts w:asciiTheme="minorHAnsi" w:hAnsiTheme="minorHAnsi" w:cstheme="minorHAnsi"/>
                <w:color w:val="000000" w:themeColor="text1"/>
                <w:sz w:val="22"/>
                <w:szCs w:val="22"/>
              </w:rPr>
            </w:pPr>
            <w:bookmarkStart w:id="10" w:name="appendixC-3.1"/>
            <w:bookmarkEnd w:id="10"/>
            <w:r w:rsidRPr="00501EAE">
              <w:rPr>
                <w:rFonts w:asciiTheme="minorHAnsi" w:hAnsiTheme="minorHAnsi" w:cstheme="minorHAnsi"/>
                <w:color w:val="000000" w:themeColor="text1"/>
                <w:sz w:val="22"/>
                <w:szCs w:val="22"/>
              </w:rPr>
              <w:t>3.1. </w:t>
            </w:r>
            <w:r w:rsidRPr="00501EAE">
              <w:rPr>
                <w:rFonts w:asciiTheme="minorHAnsi" w:hAnsiTheme="minorHAnsi" w:cstheme="minorHAnsi"/>
                <w:b/>
                <w:bCs/>
                <w:color w:val="000000" w:themeColor="text1"/>
                <w:sz w:val="22"/>
                <w:szCs w:val="22"/>
              </w:rPr>
              <w:t>Implementing appropriate measures.</w:t>
            </w:r>
            <w:r w:rsidRPr="00501EAE">
              <w:rPr>
                <w:rFonts w:asciiTheme="minorHAnsi" w:hAnsiTheme="minorHAnsi" w:cstheme="minorHAnsi"/>
                <w:color w:val="000000" w:themeColor="text1"/>
                <w:sz w:val="22"/>
                <w:szCs w:val="22"/>
              </w:rPr>
              <w:t> Implementing appropriate technical and organizational measures to ensure and to be able to demonstrate the Processing is performed in compliance with the GDPR, such as appropriate data protection policies, approved code of conducts or approved certification mechanisms. Such measures SHALL be reviewed regularly and updated when necessary by the Controller. The parties acknowledge and agree that they are responsible for maintaining appropriate organizational and security measures to protect such Personal Data shared between the parties in accordance with applicable laws. Appropriate organizational and security measures are further enumerated in Section 3.8 of this Appendix, and generally MUST include:</w:t>
            </w:r>
          </w:p>
          <w:p w14:paraId="394079B8" w14:textId="77777777" w:rsidR="00B96264" w:rsidRPr="00501EAE" w:rsidRDefault="00B96264" w:rsidP="00B96264">
            <w:pPr>
              <w:pStyle w:val="NormalWeb"/>
              <w:rPr>
                <w:rFonts w:asciiTheme="minorHAnsi" w:hAnsiTheme="minorHAnsi" w:cstheme="minorHAnsi"/>
                <w:color w:val="000000" w:themeColor="text1"/>
                <w:sz w:val="22"/>
                <w:szCs w:val="22"/>
              </w:rPr>
            </w:pPr>
            <w:bookmarkStart w:id="11" w:name="appendixC-3.1.1"/>
            <w:bookmarkEnd w:id="11"/>
            <w:r w:rsidRPr="00501EAE">
              <w:rPr>
                <w:rFonts w:asciiTheme="minorHAnsi" w:hAnsiTheme="minorHAnsi" w:cstheme="minorHAnsi"/>
                <w:color w:val="000000" w:themeColor="text1"/>
                <w:sz w:val="22"/>
                <w:szCs w:val="22"/>
              </w:rPr>
              <w:t>3.1.1. Measures to ensure that only authorized individuals for the purposes of this Appendix can access the Personal Data;</w:t>
            </w:r>
          </w:p>
          <w:p w14:paraId="798A4AC0" w14:textId="77777777" w:rsidR="00B96264" w:rsidRPr="00501EAE" w:rsidRDefault="00B96264" w:rsidP="00B96264">
            <w:pPr>
              <w:pStyle w:val="NormalWeb"/>
              <w:rPr>
                <w:rFonts w:asciiTheme="minorHAnsi" w:hAnsiTheme="minorHAnsi" w:cstheme="minorHAnsi"/>
                <w:color w:val="000000" w:themeColor="text1"/>
                <w:sz w:val="22"/>
                <w:szCs w:val="22"/>
              </w:rPr>
            </w:pPr>
            <w:bookmarkStart w:id="12" w:name="appendixC-3.1.2"/>
            <w:bookmarkEnd w:id="12"/>
            <w:r w:rsidRPr="00501EAE">
              <w:rPr>
                <w:rFonts w:asciiTheme="minorHAnsi" w:hAnsiTheme="minorHAnsi" w:cstheme="minorHAnsi"/>
                <w:color w:val="000000" w:themeColor="text1"/>
                <w:sz w:val="22"/>
                <w:szCs w:val="22"/>
              </w:rPr>
              <w:t>3.1.2. The pseudonymisation and encryption of the Personal Data, where necessary or appropriate;</w:t>
            </w:r>
          </w:p>
          <w:p w14:paraId="4962AFD2" w14:textId="77777777" w:rsidR="00B96264" w:rsidRPr="00501EAE" w:rsidRDefault="00B96264" w:rsidP="00B96264">
            <w:pPr>
              <w:pStyle w:val="NormalWeb"/>
              <w:rPr>
                <w:rFonts w:asciiTheme="minorHAnsi" w:hAnsiTheme="minorHAnsi" w:cstheme="minorHAnsi"/>
                <w:color w:val="000000" w:themeColor="text1"/>
                <w:sz w:val="22"/>
                <w:szCs w:val="22"/>
              </w:rPr>
            </w:pPr>
            <w:bookmarkStart w:id="13" w:name="appendixC-3.1.3"/>
            <w:bookmarkEnd w:id="13"/>
            <w:r w:rsidRPr="00501EAE">
              <w:rPr>
                <w:rFonts w:asciiTheme="minorHAnsi" w:hAnsiTheme="minorHAnsi" w:cstheme="minorHAnsi"/>
                <w:color w:val="000000" w:themeColor="text1"/>
                <w:sz w:val="22"/>
                <w:szCs w:val="22"/>
              </w:rPr>
              <w:t>3.1.3. The ability to ensure continued confidentiality, integrity, availability and resilience of its processing systems and services;</w:t>
            </w:r>
          </w:p>
          <w:p w14:paraId="69FFDFBB" w14:textId="77777777" w:rsidR="00B96264" w:rsidRPr="00501EAE" w:rsidRDefault="00B96264" w:rsidP="00B96264">
            <w:pPr>
              <w:pStyle w:val="NormalWeb"/>
              <w:rPr>
                <w:rFonts w:asciiTheme="minorHAnsi" w:hAnsiTheme="minorHAnsi" w:cstheme="minorHAnsi"/>
                <w:color w:val="000000" w:themeColor="text1"/>
                <w:sz w:val="22"/>
                <w:szCs w:val="22"/>
              </w:rPr>
            </w:pPr>
            <w:bookmarkStart w:id="14" w:name="appendixC-3.1.4"/>
            <w:bookmarkEnd w:id="14"/>
            <w:r w:rsidRPr="00501EAE">
              <w:rPr>
                <w:rFonts w:asciiTheme="minorHAnsi" w:hAnsiTheme="minorHAnsi" w:cstheme="minorHAnsi"/>
                <w:color w:val="000000" w:themeColor="text1"/>
                <w:sz w:val="22"/>
                <w:szCs w:val="22"/>
              </w:rPr>
              <w:t>3.1.4. The ability to restore the availability and access to Personal Data in a timely manner;</w:t>
            </w:r>
          </w:p>
          <w:p w14:paraId="1836FDF9" w14:textId="77777777" w:rsidR="00B96264" w:rsidRPr="00501EAE" w:rsidRDefault="00B96264" w:rsidP="00B96264">
            <w:pPr>
              <w:pStyle w:val="NormalWeb"/>
              <w:rPr>
                <w:rFonts w:asciiTheme="minorHAnsi" w:hAnsiTheme="minorHAnsi" w:cstheme="minorHAnsi"/>
                <w:color w:val="000000" w:themeColor="text1"/>
                <w:sz w:val="22"/>
                <w:szCs w:val="22"/>
              </w:rPr>
            </w:pPr>
            <w:bookmarkStart w:id="15" w:name="appendixC-3.1.5"/>
            <w:bookmarkEnd w:id="15"/>
            <w:r w:rsidRPr="00501EAE">
              <w:rPr>
                <w:rFonts w:asciiTheme="minorHAnsi" w:hAnsiTheme="minorHAnsi" w:cstheme="minorHAnsi"/>
                <w:color w:val="000000" w:themeColor="text1"/>
                <w:sz w:val="22"/>
                <w:szCs w:val="22"/>
              </w:rPr>
              <w:lastRenderedPageBreak/>
              <w:t>3.1.5. A process for regularly testing, assessing, and evaluating the effectiveness of technical and organizational measures for ensuring the security of the processing of Personal Data; and</w:t>
            </w:r>
          </w:p>
          <w:p w14:paraId="10BA08A9" w14:textId="77777777" w:rsidR="00B96264" w:rsidRPr="00501EAE" w:rsidRDefault="00B96264" w:rsidP="00B96264">
            <w:pPr>
              <w:pStyle w:val="NormalWeb"/>
              <w:rPr>
                <w:rFonts w:asciiTheme="minorHAnsi" w:hAnsiTheme="minorHAnsi" w:cstheme="minorHAnsi"/>
                <w:color w:val="000000" w:themeColor="text1"/>
                <w:sz w:val="22"/>
                <w:szCs w:val="22"/>
              </w:rPr>
            </w:pPr>
            <w:bookmarkStart w:id="16" w:name="appendixC-3.1.6"/>
            <w:bookmarkEnd w:id="16"/>
            <w:r w:rsidRPr="00501EAE">
              <w:rPr>
                <w:rFonts w:asciiTheme="minorHAnsi" w:hAnsiTheme="minorHAnsi" w:cstheme="minorHAnsi"/>
                <w:color w:val="000000" w:themeColor="text1"/>
                <w:sz w:val="22"/>
                <w:szCs w:val="22"/>
              </w:rPr>
              <w:t>3.1.6. Measures to identify vulnerabilities with regard to the processing of Personal Data in its systems;</w:t>
            </w:r>
          </w:p>
          <w:p w14:paraId="4BEAEEA5" w14:textId="77777777" w:rsidR="00B96264" w:rsidRPr="00501EAE" w:rsidRDefault="00B96264" w:rsidP="00B96264">
            <w:pPr>
              <w:pStyle w:val="NormalWeb"/>
              <w:rPr>
                <w:rFonts w:asciiTheme="minorHAnsi" w:hAnsiTheme="minorHAnsi" w:cstheme="minorHAnsi"/>
                <w:color w:val="000000" w:themeColor="text1"/>
                <w:sz w:val="22"/>
                <w:szCs w:val="22"/>
              </w:rPr>
            </w:pPr>
            <w:bookmarkStart w:id="17" w:name="appendixC-3.2"/>
            <w:bookmarkEnd w:id="17"/>
            <w:r w:rsidRPr="00501EAE">
              <w:rPr>
                <w:rFonts w:asciiTheme="minorHAnsi" w:hAnsiTheme="minorHAnsi" w:cstheme="minorHAnsi"/>
                <w:color w:val="000000" w:themeColor="text1"/>
                <w:sz w:val="22"/>
                <w:szCs w:val="22"/>
              </w:rPr>
              <w:t>3.2. </w:t>
            </w:r>
            <w:r w:rsidRPr="00501EAE">
              <w:rPr>
                <w:rFonts w:asciiTheme="minorHAnsi" w:hAnsiTheme="minorHAnsi" w:cstheme="minorHAnsi"/>
                <w:b/>
                <w:bCs/>
                <w:color w:val="000000" w:themeColor="text1"/>
                <w:sz w:val="22"/>
                <w:szCs w:val="22"/>
              </w:rPr>
              <w:t>Engaging only selected Processors.</w:t>
            </w:r>
            <w:r w:rsidRPr="00501EAE">
              <w:rPr>
                <w:rFonts w:asciiTheme="minorHAnsi" w:hAnsiTheme="minorHAnsi" w:cstheme="minorHAnsi"/>
                <w:color w:val="000000" w:themeColor="text1"/>
                <w:sz w:val="22"/>
                <w:szCs w:val="22"/>
              </w:rPr>
              <w:t> Engaging only selected Processors and implementing a contract with each Processor that sets out the subject-matter and duration of the Processing, the nature and purpose of the Processing, the type of Personal Data and categories of data subjects and the obligations and rights of the Controller. The engagement of Processor must comply with Article 28 of the GDPR;</w:t>
            </w:r>
          </w:p>
          <w:p w14:paraId="0ED21313" w14:textId="77777777" w:rsidR="00B96264" w:rsidRPr="00501EAE" w:rsidRDefault="00B96264" w:rsidP="00B96264">
            <w:pPr>
              <w:pStyle w:val="NormalWeb"/>
              <w:rPr>
                <w:rFonts w:asciiTheme="minorHAnsi" w:hAnsiTheme="minorHAnsi" w:cstheme="minorHAnsi"/>
                <w:color w:val="000000" w:themeColor="text1"/>
                <w:sz w:val="22"/>
                <w:szCs w:val="22"/>
              </w:rPr>
            </w:pPr>
            <w:bookmarkStart w:id="18" w:name="appendixC-3.3"/>
            <w:bookmarkEnd w:id="18"/>
            <w:r w:rsidRPr="00501EAE">
              <w:rPr>
                <w:rFonts w:asciiTheme="minorHAnsi" w:hAnsiTheme="minorHAnsi" w:cstheme="minorHAnsi"/>
                <w:color w:val="000000" w:themeColor="text1"/>
                <w:sz w:val="22"/>
                <w:szCs w:val="22"/>
              </w:rPr>
              <w:t>3.3. </w:t>
            </w:r>
            <w:r w:rsidRPr="00501EAE">
              <w:rPr>
                <w:rFonts w:asciiTheme="minorHAnsi" w:hAnsiTheme="minorHAnsi" w:cstheme="minorHAnsi"/>
                <w:b/>
                <w:bCs/>
                <w:color w:val="000000" w:themeColor="text1"/>
                <w:sz w:val="22"/>
                <w:szCs w:val="22"/>
              </w:rPr>
              <w:t>Designating a Data Protection Officer.</w:t>
            </w:r>
            <w:r w:rsidRPr="00501EAE">
              <w:rPr>
                <w:rFonts w:asciiTheme="minorHAnsi" w:hAnsiTheme="minorHAnsi" w:cstheme="minorHAnsi"/>
                <w:color w:val="000000" w:themeColor="text1"/>
                <w:sz w:val="22"/>
                <w:szCs w:val="22"/>
              </w:rPr>
              <w:t> Designating a "Data Protection Officer" where required by Article 37 of the GDPR or Member State national data protection law;</w:t>
            </w:r>
          </w:p>
          <w:p w14:paraId="2C327F4B" w14:textId="77777777" w:rsidR="00B96264" w:rsidRPr="00501EAE" w:rsidRDefault="00B96264" w:rsidP="00B96264">
            <w:pPr>
              <w:pStyle w:val="NormalWeb"/>
              <w:rPr>
                <w:rFonts w:asciiTheme="minorHAnsi" w:hAnsiTheme="minorHAnsi" w:cstheme="minorHAnsi"/>
                <w:color w:val="000000" w:themeColor="text1"/>
                <w:sz w:val="22"/>
                <w:szCs w:val="22"/>
              </w:rPr>
            </w:pPr>
            <w:bookmarkStart w:id="19" w:name="appendixC-3.4"/>
            <w:bookmarkEnd w:id="19"/>
            <w:r w:rsidRPr="00501EAE">
              <w:rPr>
                <w:rFonts w:asciiTheme="minorHAnsi" w:hAnsiTheme="minorHAnsi" w:cstheme="minorHAnsi"/>
                <w:color w:val="000000" w:themeColor="text1"/>
                <w:sz w:val="22"/>
                <w:szCs w:val="22"/>
              </w:rPr>
              <w:t>3.4. </w:t>
            </w:r>
            <w:r w:rsidRPr="00501EAE">
              <w:rPr>
                <w:rFonts w:asciiTheme="minorHAnsi" w:hAnsiTheme="minorHAnsi" w:cstheme="minorHAnsi"/>
                <w:b/>
                <w:bCs/>
                <w:color w:val="000000" w:themeColor="text1"/>
                <w:sz w:val="22"/>
                <w:szCs w:val="22"/>
              </w:rPr>
              <w:t>Maintaining a record of Processing.</w:t>
            </w:r>
            <w:r w:rsidRPr="00501EAE">
              <w:rPr>
                <w:rFonts w:asciiTheme="minorHAnsi" w:hAnsiTheme="minorHAnsi" w:cstheme="minorHAnsi"/>
                <w:color w:val="000000" w:themeColor="text1"/>
                <w:sz w:val="22"/>
                <w:szCs w:val="22"/>
              </w:rPr>
              <w:t> Maintaining a record of the Processing activities under the Controller's responsibility in accordance with Article 30 of the GDPR;</w:t>
            </w:r>
          </w:p>
          <w:p w14:paraId="284A2D59" w14:textId="77777777" w:rsidR="00B96264" w:rsidRPr="00501EAE" w:rsidRDefault="00B96264" w:rsidP="00B96264">
            <w:pPr>
              <w:pStyle w:val="NormalWeb"/>
              <w:rPr>
                <w:rFonts w:asciiTheme="minorHAnsi" w:hAnsiTheme="minorHAnsi" w:cstheme="minorHAnsi"/>
                <w:color w:val="000000" w:themeColor="text1"/>
                <w:sz w:val="22"/>
                <w:szCs w:val="22"/>
              </w:rPr>
            </w:pPr>
            <w:bookmarkStart w:id="20" w:name="appendixC-3.5"/>
            <w:bookmarkEnd w:id="20"/>
            <w:r w:rsidRPr="00501EAE">
              <w:rPr>
                <w:rFonts w:asciiTheme="minorHAnsi" w:hAnsiTheme="minorHAnsi" w:cstheme="minorHAnsi"/>
                <w:color w:val="000000" w:themeColor="text1"/>
                <w:sz w:val="22"/>
                <w:szCs w:val="22"/>
              </w:rPr>
              <w:t>3.5. </w:t>
            </w:r>
            <w:r w:rsidRPr="00501EAE">
              <w:rPr>
                <w:rFonts w:asciiTheme="minorHAnsi" w:hAnsiTheme="minorHAnsi" w:cstheme="minorHAnsi"/>
                <w:b/>
                <w:bCs/>
                <w:color w:val="000000" w:themeColor="text1"/>
                <w:sz w:val="22"/>
                <w:szCs w:val="22"/>
              </w:rPr>
              <w:t>Providing transparent information.</w:t>
            </w:r>
            <w:r w:rsidRPr="00501EAE">
              <w:rPr>
                <w:rFonts w:asciiTheme="minorHAnsi" w:hAnsiTheme="minorHAnsi" w:cstheme="minorHAnsi"/>
                <w:color w:val="000000" w:themeColor="text1"/>
                <w:sz w:val="22"/>
                <w:szCs w:val="22"/>
              </w:rPr>
              <w:t> Taking appropriate measures to provide any information referred to in Articles 13 and 14 of the GDPR and any communication under Articles 15 to 22 and 34 of the GDPR relating to Processing to the data subject in a concise, transparent, intelligible and easily accessible form, using clear and plain language, which SHALL specifically include the following obligations:</w:t>
            </w:r>
          </w:p>
          <w:p w14:paraId="40BA85A6" w14:textId="77777777" w:rsidR="00B96264" w:rsidRPr="00501EAE" w:rsidRDefault="00B96264" w:rsidP="00B96264">
            <w:pPr>
              <w:pStyle w:val="NormalWeb"/>
              <w:rPr>
                <w:rFonts w:asciiTheme="minorHAnsi" w:hAnsiTheme="minorHAnsi" w:cstheme="minorHAnsi"/>
                <w:color w:val="000000" w:themeColor="text1"/>
                <w:sz w:val="22"/>
                <w:szCs w:val="22"/>
              </w:rPr>
            </w:pPr>
            <w:bookmarkStart w:id="21" w:name="appendixC-3.5.1"/>
            <w:bookmarkEnd w:id="21"/>
            <w:r w:rsidRPr="00501EAE">
              <w:rPr>
                <w:rFonts w:asciiTheme="minorHAnsi" w:hAnsiTheme="minorHAnsi" w:cstheme="minorHAnsi"/>
                <w:color w:val="000000" w:themeColor="text1"/>
                <w:sz w:val="22"/>
                <w:szCs w:val="22"/>
              </w:rPr>
              <w:t>3.5.1. The parties SHALL ensure that their privacy notices are clear and provide sufficient information to Data Subjects in order for them to understand what of their Personal Data the Parties are sharing, the circumstances in which it will be shared, the purposes for the data sharing and either the identity with whom the data is shared or a description of the type of organization that will receive the Personal Data;</w:t>
            </w:r>
          </w:p>
          <w:p w14:paraId="4EA614BC" w14:textId="77777777" w:rsidR="00B96264" w:rsidRPr="00501EAE" w:rsidRDefault="00B96264" w:rsidP="00B96264">
            <w:pPr>
              <w:pStyle w:val="NormalWeb"/>
              <w:rPr>
                <w:rFonts w:asciiTheme="minorHAnsi" w:hAnsiTheme="minorHAnsi" w:cstheme="minorHAnsi"/>
                <w:color w:val="000000" w:themeColor="text1"/>
                <w:sz w:val="22"/>
                <w:szCs w:val="22"/>
              </w:rPr>
            </w:pPr>
            <w:bookmarkStart w:id="22" w:name="appendixC-3.5.2"/>
            <w:bookmarkEnd w:id="22"/>
            <w:r w:rsidRPr="00501EAE">
              <w:rPr>
                <w:rFonts w:asciiTheme="minorHAnsi" w:hAnsiTheme="minorHAnsi" w:cstheme="minorHAnsi"/>
                <w:color w:val="000000" w:themeColor="text1"/>
                <w:sz w:val="22"/>
                <w:szCs w:val="22"/>
              </w:rPr>
              <w:t>3.5.2. The parties undertake to inform Data Subjects of the purposes for which it will process their Personal Data and provide all of the information that it must provide in accordance with applicable laws, to ensure that the Data Subjects understand how their Personal Data will be processed by the Controller.</w:t>
            </w:r>
          </w:p>
          <w:p w14:paraId="54764B8F" w14:textId="77777777" w:rsidR="00B96264" w:rsidRPr="00501EAE" w:rsidRDefault="00B96264" w:rsidP="00B96264">
            <w:pPr>
              <w:pStyle w:val="NormalWeb"/>
              <w:rPr>
                <w:rFonts w:asciiTheme="minorHAnsi" w:hAnsiTheme="minorHAnsi" w:cstheme="minorHAnsi"/>
                <w:color w:val="000000" w:themeColor="text1"/>
                <w:sz w:val="22"/>
                <w:szCs w:val="22"/>
              </w:rPr>
            </w:pPr>
            <w:bookmarkStart w:id="23" w:name="appendixC-3.6"/>
            <w:bookmarkEnd w:id="23"/>
            <w:r w:rsidRPr="00501EAE">
              <w:rPr>
                <w:rFonts w:asciiTheme="minorHAnsi" w:hAnsiTheme="minorHAnsi" w:cstheme="minorHAnsi"/>
                <w:color w:val="000000" w:themeColor="text1"/>
                <w:sz w:val="22"/>
                <w:szCs w:val="22"/>
              </w:rPr>
              <w:t>3.6. </w:t>
            </w:r>
            <w:r w:rsidRPr="00501EAE">
              <w:rPr>
                <w:rFonts w:asciiTheme="minorHAnsi" w:hAnsiTheme="minorHAnsi" w:cstheme="minorHAnsi"/>
                <w:b/>
                <w:bCs/>
                <w:color w:val="000000" w:themeColor="text1"/>
                <w:sz w:val="22"/>
                <w:szCs w:val="22"/>
              </w:rPr>
              <w:t>Facilitating of the exercise of data subject rights.</w:t>
            </w:r>
            <w:r w:rsidRPr="00501EAE">
              <w:rPr>
                <w:rFonts w:asciiTheme="minorHAnsi" w:hAnsiTheme="minorHAnsi" w:cstheme="minorHAnsi"/>
                <w:color w:val="000000" w:themeColor="text1"/>
                <w:sz w:val="22"/>
                <w:szCs w:val="22"/>
              </w:rPr>
              <w:t xml:space="preserve"> Facilitating the exercise of data subject rights under Articles 15 to 22 of the GDPR. In the cases referred to in Article 11(2) of the GDPR, the Controller SHALL NOT refuse to act on the request of the </w:t>
            </w:r>
            <w:r w:rsidRPr="00501EAE">
              <w:rPr>
                <w:rFonts w:asciiTheme="minorHAnsi" w:hAnsiTheme="minorHAnsi" w:cstheme="minorHAnsi"/>
                <w:color w:val="000000" w:themeColor="text1"/>
                <w:sz w:val="22"/>
                <w:szCs w:val="22"/>
              </w:rPr>
              <w:lastRenderedPageBreak/>
              <w:t>data subject for exercising his or her rights under Articles 15 to 22 of the GDPR, unless the Controller demonstrates that it is not in a position to identify the data subject;</w:t>
            </w:r>
          </w:p>
          <w:p w14:paraId="593D8FEE" w14:textId="77777777" w:rsidR="00B96264" w:rsidRPr="00501EAE" w:rsidRDefault="00B96264" w:rsidP="00B96264">
            <w:pPr>
              <w:pStyle w:val="NormalWeb"/>
              <w:rPr>
                <w:rFonts w:asciiTheme="minorHAnsi" w:hAnsiTheme="minorHAnsi" w:cstheme="minorHAnsi"/>
                <w:color w:val="000000" w:themeColor="text1"/>
                <w:sz w:val="22"/>
                <w:szCs w:val="22"/>
              </w:rPr>
            </w:pPr>
            <w:bookmarkStart w:id="24" w:name="appendixC-3.7"/>
            <w:bookmarkEnd w:id="24"/>
            <w:r w:rsidRPr="00501EAE">
              <w:rPr>
                <w:rFonts w:asciiTheme="minorHAnsi" w:hAnsiTheme="minorHAnsi" w:cstheme="minorHAnsi"/>
                <w:color w:val="000000" w:themeColor="text1"/>
                <w:sz w:val="22"/>
                <w:szCs w:val="22"/>
              </w:rPr>
              <w:t>3.7. </w:t>
            </w:r>
            <w:r w:rsidRPr="00501EAE">
              <w:rPr>
                <w:rFonts w:asciiTheme="minorHAnsi" w:hAnsiTheme="minorHAnsi" w:cstheme="minorHAnsi"/>
                <w:b/>
                <w:bCs/>
                <w:color w:val="000000" w:themeColor="text1"/>
                <w:sz w:val="22"/>
                <w:szCs w:val="22"/>
              </w:rPr>
              <w:t>Implementing measures for data protection by design and by default.</w:t>
            </w:r>
            <w:r w:rsidRPr="00501EAE">
              <w:rPr>
                <w:rFonts w:asciiTheme="minorHAnsi" w:hAnsiTheme="minorHAnsi" w:cstheme="minorHAnsi"/>
                <w:color w:val="000000" w:themeColor="text1"/>
                <w:sz w:val="22"/>
                <w:szCs w:val="22"/>
              </w:rPr>
              <w:t> Implementing appropriate technical and organizational measures, both at the time of the determination of the means for Processing and at the time of the Processing itself, which are designed to implement data protection principles, in an effective manner and to integrate the necessary safeguards into the Processing in order to meet the requirements of the GDPR and to protect the rights of data subjects. Implementing appropriate technical and organizational measures for ensuring that, by default, only Personal Data which are necessary for each specific purpose of the Processing are Processed.</w:t>
            </w:r>
          </w:p>
          <w:p w14:paraId="29C77547" w14:textId="77777777" w:rsidR="00B96264" w:rsidRPr="00501EAE" w:rsidRDefault="00B96264" w:rsidP="00B96264">
            <w:pPr>
              <w:pStyle w:val="NormalWeb"/>
              <w:rPr>
                <w:rFonts w:asciiTheme="minorHAnsi" w:hAnsiTheme="minorHAnsi" w:cstheme="minorHAnsi"/>
                <w:color w:val="000000" w:themeColor="text1"/>
                <w:sz w:val="22"/>
                <w:szCs w:val="22"/>
              </w:rPr>
            </w:pPr>
            <w:bookmarkStart w:id="25" w:name="appendixC-3.8"/>
            <w:bookmarkEnd w:id="25"/>
            <w:r w:rsidRPr="00501EAE">
              <w:rPr>
                <w:rFonts w:asciiTheme="minorHAnsi" w:hAnsiTheme="minorHAnsi" w:cstheme="minorHAnsi"/>
                <w:color w:val="000000" w:themeColor="text1"/>
                <w:sz w:val="22"/>
                <w:szCs w:val="22"/>
              </w:rPr>
              <w:t>3.8. </w:t>
            </w:r>
            <w:r w:rsidRPr="00501EAE">
              <w:rPr>
                <w:rFonts w:asciiTheme="minorHAnsi" w:hAnsiTheme="minorHAnsi" w:cstheme="minorHAnsi"/>
                <w:b/>
                <w:bCs/>
                <w:color w:val="000000" w:themeColor="text1"/>
                <w:sz w:val="22"/>
                <w:szCs w:val="22"/>
              </w:rPr>
              <w:t>Implementing appropriate security measures.</w:t>
            </w:r>
            <w:r w:rsidRPr="00501EAE">
              <w:rPr>
                <w:rFonts w:asciiTheme="minorHAnsi" w:hAnsiTheme="minorHAnsi" w:cstheme="minorHAnsi"/>
                <w:color w:val="000000" w:themeColor="text1"/>
                <w:sz w:val="22"/>
                <w:szCs w:val="22"/>
              </w:rPr>
              <w:t> Implementing appropriate technical and organizational measures to ensure a level of security appropriate to the risk of data Processing, taking into account the state of the art, the costs of implementation and the nature, scope, context and purposes of Processing as well as the risks of varying likelihood and severity for the rights and freedoms of natural persons. Appropriate technical and organizational measures to protect the Personal Data shared against unauthorized or unlawful Processing and against accidental loss, destruction, damage, alteration or disclosure, MAY include, but not limited to:</w:t>
            </w:r>
          </w:p>
          <w:p w14:paraId="63EAFA22" w14:textId="77777777" w:rsidR="00B96264" w:rsidRPr="00501EAE" w:rsidRDefault="00B96264" w:rsidP="00B96264">
            <w:pPr>
              <w:pStyle w:val="NormalWeb"/>
              <w:rPr>
                <w:rFonts w:asciiTheme="minorHAnsi" w:hAnsiTheme="minorHAnsi" w:cstheme="minorHAnsi"/>
                <w:color w:val="000000" w:themeColor="text1"/>
                <w:sz w:val="22"/>
                <w:szCs w:val="22"/>
              </w:rPr>
            </w:pPr>
            <w:bookmarkStart w:id="26" w:name="appendixC-3.8.1"/>
            <w:bookmarkEnd w:id="26"/>
            <w:r w:rsidRPr="00501EAE">
              <w:rPr>
                <w:rFonts w:asciiTheme="minorHAnsi" w:hAnsiTheme="minorHAnsi" w:cstheme="minorHAnsi"/>
                <w:color w:val="000000" w:themeColor="text1"/>
                <w:sz w:val="22"/>
                <w:szCs w:val="22"/>
              </w:rPr>
              <w:t>3.8.1. Ensuring IT equipment, including portable equipment is kept in lockable areas when unattended;</w:t>
            </w:r>
          </w:p>
          <w:p w14:paraId="488AE648" w14:textId="77777777" w:rsidR="00B96264" w:rsidRPr="00501EAE" w:rsidRDefault="00B96264" w:rsidP="00B96264">
            <w:pPr>
              <w:pStyle w:val="NormalWeb"/>
              <w:rPr>
                <w:rFonts w:asciiTheme="minorHAnsi" w:hAnsiTheme="minorHAnsi" w:cstheme="minorHAnsi"/>
                <w:color w:val="000000" w:themeColor="text1"/>
                <w:sz w:val="22"/>
                <w:szCs w:val="22"/>
              </w:rPr>
            </w:pPr>
            <w:bookmarkStart w:id="27" w:name="appendixC-3.8.2"/>
            <w:bookmarkEnd w:id="27"/>
            <w:r w:rsidRPr="00501EAE">
              <w:rPr>
                <w:rFonts w:asciiTheme="minorHAnsi" w:hAnsiTheme="minorHAnsi" w:cstheme="minorHAnsi"/>
                <w:color w:val="000000" w:themeColor="text1"/>
                <w:sz w:val="22"/>
                <w:szCs w:val="22"/>
              </w:rPr>
              <w:t>3.8.2. Not leaving portable equipment containing the Personal Data unattended;</w:t>
            </w:r>
          </w:p>
          <w:p w14:paraId="13B142A2" w14:textId="77777777" w:rsidR="00B96264" w:rsidRPr="00501EAE" w:rsidRDefault="00B96264" w:rsidP="00B96264">
            <w:pPr>
              <w:pStyle w:val="NormalWeb"/>
              <w:rPr>
                <w:rFonts w:asciiTheme="minorHAnsi" w:hAnsiTheme="minorHAnsi" w:cstheme="minorHAnsi"/>
                <w:color w:val="000000" w:themeColor="text1"/>
                <w:sz w:val="22"/>
                <w:szCs w:val="22"/>
              </w:rPr>
            </w:pPr>
            <w:bookmarkStart w:id="28" w:name="appendixC-3.8.3"/>
            <w:bookmarkEnd w:id="28"/>
            <w:r w:rsidRPr="00501EAE">
              <w:rPr>
                <w:rFonts w:asciiTheme="minorHAnsi" w:hAnsiTheme="minorHAnsi" w:cstheme="minorHAnsi"/>
                <w:color w:val="000000" w:themeColor="text1"/>
                <w:sz w:val="22"/>
                <w:szCs w:val="22"/>
              </w:rPr>
              <w:t>3.8.3. Ensuring use of appropriate secure passwords for logging into systems or databases containing Personal Data shared between the parties;</w:t>
            </w:r>
          </w:p>
          <w:p w14:paraId="1255F89A" w14:textId="77777777" w:rsidR="00B96264" w:rsidRPr="00501EAE" w:rsidRDefault="00B96264" w:rsidP="00B96264">
            <w:pPr>
              <w:pStyle w:val="NormalWeb"/>
              <w:rPr>
                <w:rFonts w:asciiTheme="minorHAnsi" w:hAnsiTheme="minorHAnsi" w:cstheme="minorHAnsi"/>
                <w:color w:val="000000" w:themeColor="text1"/>
                <w:sz w:val="22"/>
                <w:szCs w:val="22"/>
              </w:rPr>
            </w:pPr>
            <w:bookmarkStart w:id="29" w:name="appendixC-3.8.4"/>
            <w:bookmarkEnd w:id="29"/>
            <w:r w:rsidRPr="00501EAE">
              <w:rPr>
                <w:rFonts w:asciiTheme="minorHAnsi" w:hAnsiTheme="minorHAnsi" w:cstheme="minorHAnsi"/>
                <w:color w:val="000000" w:themeColor="text1"/>
                <w:sz w:val="22"/>
                <w:szCs w:val="22"/>
              </w:rPr>
              <w:t>3.8.4. Ensuring that all IT equipment is protected by antivirus software, firewalls, passwords and suitable encryption devices;</w:t>
            </w:r>
          </w:p>
          <w:p w14:paraId="072EE4D2" w14:textId="77777777" w:rsidR="00B96264" w:rsidRPr="00501EAE" w:rsidRDefault="00B96264" w:rsidP="00B96264">
            <w:pPr>
              <w:pStyle w:val="NormalWeb"/>
              <w:rPr>
                <w:rFonts w:asciiTheme="minorHAnsi" w:hAnsiTheme="minorHAnsi" w:cstheme="minorHAnsi"/>
                <w:color w:val="000000" w:themeColor="text1"/>
                <w:sz w:val="22"/>
                <w:szCs w:val="22"/>
              </w:rPr>
            </w:pPr>
            <w:bookmarkStart w:id="30" w:name="appendixC-3.8.5"/>
            <w:bookmarkEnd w:id="30"/>
            <w:r w:rsidRPr="00501EAE">
              <w:rPr>
                <w:rFonts w:asciiTheme="minorHAnsi" w:hAnsiTheme="minorHAnsi" w:cstheme="minorHAnsi"/>
                <w:color w:val="000000" w:themeColor="text1"/>
                <w:sz w:val="22"/>
                <w:szCs w:val="22"/>
              </w:rPr>
              <w:t>3.8.5. Using industry standard 256-bit AES encryption or suitable equivalent where necessary or appropriate;</w:t>
            </w:r>
          </w:p>
          <w:p w14:paraId="2D0CFA99" w14:textId="77777777" w:rsidR="00B96264" w:rsidRPr="00501EAE" w:rsidRDefault="00B96264" w:rsidP="00B96264">
            <w:pPr>
              <w:pStyle w:val="NormalWeb"/>
              <w:rPr>
                <w:rFonts w:asciiTheme="minorHAnsi" w:hAnsiTheme="minorHAnsi" w:cstheme="minorHAnsi"/>
                <w:color w:val="000000" w:themeColor="text1"/>
                <w:sz w:val="22"/>
                <w:szCs w:val="22"/>
              </w:rPr>
            </w:pPr>
            <w:bookmarkStart w:id="31" w:name="appendixC-3.8.6"/>
            <w:bookmarkEnd w:id="31"/>
            <w:r w:rsidRPr="00501EAE">
              <w:rPr>
                <w:rFonts w:asciiTheme="minorHAnsi" w:hAnsiTheme="minorHAnsi" w:cstheme="minorHAnsi"/>
                <w:color w:val="000000" w:themeColor="text1"/>
                <w:sz w:val="22"/>
                <w:szCs w:val="22"/>
              </w:rPr>
              <w:t>3.8.6. Limiting access to relevant databases and systems to those of its officers, staff, agents, vendors and sub-contractors who need to have access to the Personal Data, and ensuring that passwords are changed and updated regularly to prevent inappropriate access when individuals are no longer engaged by the party;</w:t>
            </w:r>
          </w:p>
          <w:p w14:paraId="65F67CCC" w14:textId="77777777" w:rsidR="00B96264" w:rsidRPr="00501EAE" w:rsidRDefault="00B96264" w:rsidP="00B96264">
            <w:pPr>
              <w:pStyle w:val="NormalWeb"/>
              <w:rPr>
                <w:rFonts w:asciiTheme="minorHAnsi" w:hAnsiTheme="minorHAnsi" w:cstheme="minorHAnsi"/>
                <w:color w:val="000000" w:themeColor="text1"/>
                <w:sz w:val="22"/>
                <w:szCs w:val="22"/>
              </w:rPr>
            </w:pPr>
            <w:bookmarkStart w:id="32" w:name="appendixC-3.8.7"/>
            <w:bookmarkEnd w:id="32"/>
            <w:r w:rsidRPr="00501EAE">
              <w:rPr>
                <w:rFonts w:asciiTheme="minorHAnsi" w:hAnsiTheme="minorHAnsi" w:cstheme="minorHAnsi"/>
                <w:color w:val="000000" w:themeColor="text1"/>
                <w:sz w:val="22"/>
                <w:szCs w:val="22"/>
              </w:rPr>
              <w:t>3.8.7. Conducting regular threat assessment or penetration testing on systems; and</w:t>
            </w:r>
          </w:p>
          <w:p w14:paraId="3C1E874F" w14:textId="77777777" w:rsidR="00B96264" w:rsidRPr="00501EAE" w:rsidRDefault="00B96264" w:rsidP="00B96264">
            <w:pPr>
              <w:pStyle w:val="NormalWeb"/>
              <w:rPr>
                <w:rFonts w:asciiTheme="minorHAnsi" w:hAnsiTheme="minorHAnsi" w:cstheme="minorHAnsi"/>
                <w:color w:val="000000" w:themeColor="text1"/>
                <w:sz w:val="22"/>
                <w:szCs w:val="22"/>
              </w:rPr>
            </w:pPr>
            <w:bookmarkStart w:id="33" w:name="appendixC-3.8.8"/>
            <w:bookmarkEnd w:id="33"/>
            <w:r w:rsidRPr="00501EAE">
              <w:rPr>
                <w:rFonts w:asciiTheme="minorHAnsi" w:hAnsiTheme="minorHAnsi" w:cstheme="minorHAnsi"/>
                <w:color w:val="000000" w:themeColor="text1"/>
                <w:sz w:val="22"/>
                <w:szCs w:val="22"/>
              </w:rPr>
              <w:lastRenderedPageBreak/>
              <w:t>3.8.8. Ensuring all authorized individuals handling Personal Data have been made aware of their responsibilities with regards to handling of Personal Data.</w:t>
            </w:r>
          </w:p>
          <w:p w14:paraId="7A39BC6F" w14:textId="77777777" w:rsidR="00B96264" w:rsidRPr="00501EAE" w:rsidRDefault="00B96264" w:rsidP="00B96264">
            <w:pPr>
              <w:pStyle w:val="NormalWeb"/>
              <w:rPr>
                <w:rFonts w:asciiTheme="minorHAnsi" w:hAnsiTheme="minorHAnsi" w:cstheme="minorHAnsi"/>
                <w:color w:val="000000" w:themeColor="text1"/>
                <w:sz w:val="22"/>
                <w:szCs w:val="22"/>
              </w:rPr>
            </w:pPr>
            <w:bookmarkStart w:id="34" w:name="appendixC-3.9"/>
            <w:bookmarkEnd w:id="34"/>
            <w:r w:rsidRPr="00501EAE">
              <w:rPr>
                <w:rFonts w:asciiTheme="minorHAnsi" w:hAnsiTheme="minorHAnsi" w:cstheme="minorHAnsi"/>
                <w:color w:val="000000" w:themeColor="text1"/>
                <w:sz w:val="22"/>
                <w:szCs w:val="22"/>
              </w:rPr>
              <w:t>3.9. </w:t>
            </w:r>
            <w:r w:rsidRPr="00501EAE">
              <w:rPr>
                <w:rFonts w:asciiTheme="minorHAnsi" w:hAnsiTheme="minorHAnsi" w:cstheme="minorHAnsi"/>
                <w:b/>
                <w:bCs/>
                <w:color w:val="000000" w:themeColor="text1"/>
                <w:sz w:val="22"/>
                <w:szCs w:val="22"/>
              </w:rPr>
              <w:t>Developing procedures for breach notification.</w:t>
            </w:r>
            <w:r w:rsidRPr="00501EAE">
              <w:rPr>
                <w:rFonts w:asciiTheme="minorHAnsi" w:hAnsiTheme="minorHAnsi" w:cstheme="minorHAnsi"/>
                <w:color w:val="000000" w:themeColor="text1"/>
                <w:sz w:val="22"/>
                <w:szCs w:val="22"/>
              </w:rPr>
              <w:t> Developing procedures for breach notification to ensure compliance with the obligations pursuant to Articles 33-34 of the GDPR. Any notifications provided in connection with Articles 33-34 of the GDPR SHALL also be provided to ICANN. Where a party is not the Data Controller, it must communicate any data security breach immediately after discovery thereof and will provide immediate feedback about any impact this incident may/will have on the Controller and any Personal Data shared with the Controller. Such notification will be provided as promptly as possible.</w:t>
            </w:r>
          </w:p>
          <w:p w14:paraId="13FEED41" w14:textId="77777777" w:rsidR="00B96264" w:rsidRPr="00501EAE" w:rsidRDefault="00B96264" w:rsidP="00B96264">
            <w:pPr>
              <w:pStyle w:val="NormalWeb"/>
              <w:rPr>
                <w:rFonts w:asciiTheme="minorHAnsi" w:hAnsiTheme="minorHAnsi" w:cstheme="minorHAnsi"/>
                <w:color w:val="000000" w:themeColor="text1"/>
                <w:sz w:val="22"/>
                <w:szCs w:val="22"/>
              </w:rPr>
            </w:pPr>
            <w:bookmarkStart w:id="35" w:name="appendixC-3.10"/>
            <w:bookmarkEnd w:id="35"/>
            <w:r w:rsidRPr="00501EAE">
              <w:rPr>
                <w:rFonts w:asciiTheme="minorHAnsi" w:hAnsiTheme="minorHAnsi" w:cstheme="minorHAnsi"/>
                <w:color w:val="000000" w:themeColor="text1"/>
                <w:sz w:val="22"/>
                <w:szCs w:val="22"/>
              </w:rPr>
              <w:t>3.10. </w:t>
            </w:r>
            <w:r w:rsidRPr="00501EAE">
              <w:rPr>
                <w:rFonts w:asciiTheme="minorHAnsi" w:hAnsiTheme="minorHAnsi" w:cstheme="minorHAnsi"/>
                <w:b/>
                <w:bCs/>
                <w:color w:val="000000" w:themeColor="text1"/>
                <w:sz w:val="22"/>
                <w:szCs w:val="22"/>
              </w:rPr>
              <w:t>Observing conditions for international data transfers.</w:t>
            </w:r>
            <w:r w:rsidRPr="00501EAE">
              <w:rPr>
                <w:rFonts w:asciiTheme="minorHAnsi" w:hAnsiTheme="minorHAnsi" w:cstheme="minorHAnsi"/>
                <w:color w:val="000000" w:themeColor="text1"/>
                <w:sz w:val="22"/>
                <w:szCs w:val="22"/>
              </w:rPr>
              <w:t> Observing conditions for international data transfers so that any transfer of Personal Data which are undergoing Processing or are intended for Processing after transfer to a third country or to an international organization SHALL take place only if the conditions laid down in Chapter V of the GDPR are complied with, including for onward transfers of Personal Data from the third country or an international organization to another third country or to another international organization. A party may only transfer Registration Data including Personal Data relating to EU individuals to outside of the EU (or if such Personal Data is already outside of the EU, to any third party also outside the EU), in compliance with the terms this Section 3.10, and the requirements of applicable laws.</w:t>
            </w:r>
          </w:p>
          <w:p w14:paraId="78E25DFA" w14:textId="5C6F7F20" w:rsidR="003075B7" w:rsidRPr="00501EAE" w:rsidRDefault="00B96264" w:rsidP="002B2F48">
            <w:pPr>
              <w:pStyle w:val="NormalWeb"/>
              <w:rPr>
                <w:rFonts w:asciiTheme="minorHAnsi" w:hAnsiTheme="minorHAnsi" w:cstheme="minorHAnsi"/>
                <w:color w:val="000000" w:themeColor="text1"/>
                <w:sz w:val="22"/>
                <w:szCs w:val="22"/>
              </w:rPr>
            </w:pPr>
            <w:bookmarkStart w:id="36" w:name="appendixC-3.11"/>
            <w:bookmarkEnd w:id="36"/>
            <w:r w:rsidRPr="00501EAE">
              <w:rPr>
                <w:rFonts w:asciiTheme="minorHAnsi" w:hAnsiTheme="minorHAnsi" w:cstheme="minorHAnsi"/>
                <w:color w:val="000000" w:themeColor="text1"/>
                <w:sz w:val="22"/>
                <w:szCs w:val="22"/>
              </w:rPr>
              <w:t>3.11. </w:t>
            </w:r>
            <w:r w:rsidRPr="00501EAE">
              <w:rPr>
                <w:rFonts w:asciiTheme="minorHAnsi" w:hAnsiTheme="minorHAnsi" w:cstheme="minorHAnsi"/>
                <w:b/>
                <w:bCs/>
                <w:color w:val="000000" w:themeColor="text1"/>
                <w:sz w:val="22"/>
                <w:szCs w:val="22"/>
              </w:rPr>
              <w:t>Cooperating with Supervisory Authorities.</w:t>
            </w:r>
            <w:r w:rsidRPr="00501EAE">
              <w:rPr>
                <w:rFonts w:asciiTheme="minorHAnsi" w:hAnsiTheme="minorHAnsi" w:cstheme="minorHAnsi"/>
                <w:color w:val="000000" w:themeColor="text1"/>
                <w:sz w:val="22"/>
                <w:szCs w:val="22"/>
              </w:rPr>
              <w:t> Cooperating with Supervisory Authorities, on request, in the performance of their tasks.</w:t>
            </w:r>
          </w:p>
        </w:tc>
      </w:tr>
      <w:tr w:rsidR="004742D7" w:rsidRPr="00501EAE" w14:paraId="635236BC" w14:textId="1F3C46EB" w:rsidTr="002B2F48">
        <w:trPr>
          <w:trHeight w:val="293"/>
        </w:trPr>
        <w:tc>
          <w:tcPr>
            <w:tcW w:w="1435" w:type="dxa"/>
          </w:tcPr>
          <w:p w14:paraId="746AAE8C" w14:textId="77777777" w:rsidR="009C18F9" w:rsidRPr="00501EAE" w:rsidRDefault="009C18F9">
            <w:pPr>
              <w:rPr>
                <w:rFonts w:asciiTheme="minorHAnsi" w:hAnsiTheme="minorHAnsi" w:cstheme="minorHAnsi"/>
                <w:b/>
                <w:sz w:val="22"/>
                <w:szCs w:val="22"/>
              </w:rPr>
            </w:pPr>
          </w:p>
        </w:tc>
        <w:tc>
          <w:tcPr>
            <w:tcW w:w="4516" w:type="dxa"/>
            <w:gridSpan w:val="2"/>
            <w:shd w:val="clear" w:color="auto" w:fill="E7E6E6" w:themeFill="background2"/>
          </w:tcPr>
          <w:p w14:paraId="3BB71D95" w14:textId="2D802C1D"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Support as is</w:t>
            </w:r>
          </w:p>
        </w:tc>
        <w:tc>
          <w:tcPr>
            <w:tcW w:w="3123" w:type="dxa"/>
            <w:gridSpan w:val="2"/>
            <w:shd w:val="clear" w:color="auto" w:fill="E7E6E6" w:themeFill="background2"/>
          </w:tcPr>
          <w:p w14:paraId="7AF6A62E" w14:textId="358D90CB"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No strong Opinion</w:t>
            </w:r>
          </w:p>
        </w:tc>
        <w:tc>
          <w:tcPr>
            <w:tcW w:w="3876" w:type="dxa"/>
            <w:gridSpan w:val="3"/>
            <w:shd w:val="clear" w:color="auto" w:fill="E7E6E6" w:themeFill="background2"/>
          </w:tcPr>
          <w:p w14:paraId="66796C07" w14:textId="30D270F4"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Does not support as is</w:t>
            </w:r>
          </w:p>
        </w:tc>
      </w:tr>
      <w:tr w:rsidR="004742D7" w:rsidRPr="00501EAE" w14:paraId="1306BEFA" w14:textId="77777777" w:rsidTr="002B2F48">
        <w:trPr>
          <w:trHeight w:val="293"/>
        </w:trPr>
        <w:tc>
          <w:tcPr>
            <w:tcW w:w="1435" w:type="dxa"/>
            <w:tcBorders>
              <w:bottom w:val="single" w:sz="4" w:space="0" w:color="auto"/>
            </w:tcBorders>
          </w:tcPr>
          <w:p w14:paraId="15697E0B" w14:textId="01E6A361" w:rsidR="00201C9C"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Preamble</w:t>
            </w:r>
          </w:p>
        </w:tc>
        <w:tc>
          <w:tcPr>
            <w:tcW w:w="4516" w:type="dxa"/>
            <w:gridSpan w:val="2"/>
            <w:tcBorders>
              <w:bottom w:val="single" w:sz="4" w:space="0" w:color="auto"/>
            </w:tcBorders>
          </w:tcPr>
          <w:p w14:paraId="0B152A91" w14:textId="247704BD" w:rsidR="00201C9C" w:rsidRPr="00501EAE" w:rsidRDefault="00DE6D1E" w:rsidP="004602F9">
            <w:pPr>
              <w:rPr>
                <w:rFonts w:asciiTheme="minorHAnsi" w:hAnsiTheme="minorHAnsi" w:cstheme="minorHAnsi"/>
                <w:sz w:val="22"/>
                <w:szCs w:val="22"/>
              </w:rPr>
            </w:pPr>
            <w:r w:rsidRPr="00501EAE">
              <w:rPr>
                <w:rFonts w:asciiTheme="minorHAnsi" w:hAnsiTheme="minorHAnsi" w:cstheme="minorHAnsi"/>
                <w:sz w:val="22"/>
                <w:szCs w:val="22"/>
              </w:rPr>
              <w:t>55.56</w:t>
            </w:r>
            <w:r w:rsidR="00697E7A" w:rsidRPr="00501EAE">
              <w:rPr>
                <w:rFonts w:asciiTheme="minorHAnsi" w:hAnsiTheme="minorHAnsi" w:cstheme="minorHAnsi"/>
                <w:sz w:val="22"/>
                <w:szCs w:val="22"/>
              </w:rPr>
              <w:t>%</w:t>
            </w:r>
          </w:p>
        </w:tc>
        <w:tc>
          <w:tcPr>
            <w:tcW w:w="3123" w:type="dxa"/>
            <w:gridSpan w:val="2"/>
            <w:tcBorders>
              <w:bottom w:val="single" w:sz="4" w:space="0" w:color="auto"/>
            </w:tcBorders>
          </w:tcPr>
          <w:p w14:paraId="460EA37D" w14:textId="2BA96E5B" w:rsidR="00201C9C"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11.11%</w:t>
            </w:r>
          </w:p>
        </w:tc>
        <w:tc>
          <w:tcPr>
            <w:tcW w:w="3876" w:type="dxa"/>
            <w:gridSpan w:val="3"/>
            <w:tcBorders>
              <w:bottom w:val="single" w:sz="4" w:space="0" w:color="auto"/>
            </w:tcBorders>
          </w:tcPr>
          <w:p w14:paraId="3AA2CFB2" w14:textId="52095803" w:rsidR="00201C9C" w:rsidRPr="00501EAE" w:rsidRDefault="00C612DD">
            <w:pPr>
              <w:rPr>
                <w:rFonts w:asciiTheme="minorHAnsi" w:hAnsiTheme="minorHAnsi" w:cstheme="minorHAnsi"/>
                <w:b/>
                <w:sz w:val="22"/>
                <w:szCs w:val="22"/>
              </w:rPr>
            </w:pPr>
            <w:r w:rsidRPr="00501EAE">
              <w:rPr>
                <w:rFonts w:asciiTheme="minorHAnsi" w:hAnsiTheme="minorHAnsi" w:cstheme="minorHAnsi"/>
                <w:sz w:val="22"/>
                <w:szCs w:val="22"/>
              </w:rPr>
              <w:t>33.33</w:t>
            </w:r>
            <w:r w:rsidR="00697E7A" w:rsidRPr="00501EAE">
              <w:rPr>
                <w:rFonts w:asciiTheme="minorHAnsi" w:hAnsiTheme="minorHAnsi" w:cstheme="minorHAnsi"/>
                <w:sz w:val="22"/>
                <w:szCs w:val="22"/>
              </w:rPr>
              <w:t>%</w:t>
            </w:r>
          </w:p>
        </w:tc>
      </w:tr>
      <w:tr w:rsidR="004742D7" w:rsidRPr="00501EAE" w14:paraId="4068D9A0" w14:textId="77777777" w:rsidTr="002B2F48">
        <w:trPr>
          <w:trHeight w:val="293"/>
        </w:trPr>
        <w:tc>
          <w:tcPr>
            <w:tcW w:w="1435" w:type="dxa"/>
            <w:tcBorders>
              <w:bottom w:val="single" w:sz="4" w:space="0" w:color="auto"/>
            </w:tcBorders>
          </w:tcPr>
          <w:p w14:paraId="3D62CC77" w14:textId="13672534" w:rsidR="00DE6D1E"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1-1.6</w:t>
            </w:r>
          </w:p>
        </w:tc>
        <w:tc>
          <w:tcPr>
            <w:tcW w:w="4516" w:type="dxa"/>
            <w:gridSpan w:val="2"/>
            <w:tcBorders>
              <w:bottom w:val="single" w:sz="4" w:space="0" w:color="auto"/>
            </w:tcBorders>
          </w:tcPr>
          <w:p w14:paraId="124AC7A0" w14:textId="5F649297" w:rsidR="00DE6D1E"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44.44</w:t>
            </w:r>
            <w:r w:rsidR="00DE6D1E" w:rsidRPr="00501EAE">
              <w:rPr>
                <w:rFonts w:asciiTheme="minorHAnsi" w:hAnsiTheme="minorHAnsi" w:cstheme="minorHAnsi"/>
                <w:sz w:val="22"/>
                <w:szCs w:val="22"/>
              </w:rPr>
              <w:t>%</w:t>
            </w:r>
          </w:p>
        </w:tc>
        <w:tc>
          <w:tcPr>
            <w:tcW w:w="3123" w:type="dxa"/>
            <w:gridSpan w:val="2"/>
            <w:tcBorders>
              <w:bottom w:val="single" w:sz="4" w:space="0" w:color="auto"/>
            </w:tcBorders>
          </w:tcPr>
          <w:p w14:paraId="59D90929" w14:textId="521CB371" w:rsidR="00DE6D1E" w:rsidRPr="00501EAE" w:rsidRDefault="00DE6D1E">
            <w:pPr>
              <w:rPr>
                <w:rFonts w:asciiTheme="minorHAnsi" w:hAnsiTheme="minorHAnsi" w:cstheme="minorHAnsi"/>
                <w:sz w:val="22"/>
                <w:szCs w:val="22"/>
              </w:rPr>
            </w:pPr>
            <w:r w:rsidRPr="00501EAE">
              <w:rPr>
                <w:rFonts w:asciiTheme="minorHAnsi" w:hAnsiTheme="minorHAnsi" w:cstheme="minorHAnsi"/>
                <w:sz w:val="22"/>
                <w:szCs w:val="22"/>
              </w:rPr>
              <w:t>0%</w:t>
            </w:r>
          </w:p>
        </w:tc>
        <w:tc>
          <w:tcPr>
            <w:tcW w:w="3876" w:type="dxa"/>
            <w:gridSpan w:val="3"/>
            <w:tcBorders>
              <w:bottom w:val="single" w:sz="4" w:space="0" w:color="auto"/>
            </w:tcBorders>
          </w:tcPr>
          <w:p w14:paraId="76414108" w14:textId="4F129065"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55.56</w:t>
            </w:r>
            <w:r w:rsidR="00DE6D1E" w:rsidRPr="00501EAE">
              <w:rPr>
                <w:rFonts w:asciiTheme="minorHAnsi" w:hAnsiTheme="minorHAnsi" w:cstheme="minorHAnsi"/>
                <w:sz w:val="22"/>
                <w:szCs w:val="22"/>
              </w:rPr>
              <w:t>%</w:t>
            </w:r>
          </w:p>
        </w:tc>
      </w:tr>
      <w:tr w:rsidR="004742D7" w:rsidRPr="00501EAE" w14:paraId="062C94F1" w14:textId="77777777" w:rsidTr="002B2F48">
        <w:trPr>
          <w:trHeight w:val="293"/>
        </w:trPr>
        <w:tc>
          <w:tcPr>
            <w:tcW w:w="1435" w:type="dxa"/>
            <w:tcBorders>
              <w:bottom w:val="single" w:sz="4" w:space="0" w:color="auto"/>
            </w:tcBorders>
          </w:tcPr>
          <w:p w14:paraId="1EC938D5" w14:textId="7890C633" w:rsidR="00DE6D1E"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2</w:t>
            </w:r>
          </w:p>
        </w:tc>
        <w:tc>
          <w:tcPr>
            <w:tcW w:w="4516" w:type="dxa"/>
            <w:gridSpan w:val="2"/>
            <w:tcBorders>
              <w:bottom w:val="single" w:sz="4" w:space="0" w:color="auto"/>
            </w:tcBorders>
          </w:tcPr>
          <w:p w14:paraId="28960E29" w14:textId="54964A30" w:rsidR="00DE6D1E"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33.33%</w:t>
            </w:r>
          </w:p>
        </w:tc>
        <w:tc>
          <w:tcPr>
            <w:tcW w:w="3123" w:type="dxa"/>
            <w:gridSpan w:val="2"/>
            <w:tcBorders>
              <w:bottom w:val="single" w:sz="4" w:space="0" w:color="auto"/>
            </w:tcBorders>
          </w:tcPr>
          <w:p w14:paraId="1FA9F903" w14:textId="63111FDA"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0</w:t>
            </w:r>
            <w:r w:rsidR="00E71FE4" w:rsidRPr="00501EAE">
              <w:rPr>
                <w:rFonts w:asciiTheme="minorHAnsi" w:hAnsiTheme="minorHAnsi" w:cstheme="minorHAnsi"/>
                <w:sz w:val="22"/>
                <w:szCs w:val="22"/>
              </w:rPr>
              <w:t>%</w:t>
            </w:r>
          </w:p>
        </w:tc>
        <w:tc>
          <w:tcPr>
            <w:tcW w:w="3876" w:type="dxa"/>
            <w:gridSpan w:val="3"/>
            <w:tcBorders>
              <w:bottom w:val="single" w:sz="4" w:space="0" w:color="auto"/>
            </w:tcBorders>
          </w:tcPr>
          <w:p w14:paraId="56C2B1D1" w14:textId="41BB7164"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66.66</w:t>
            </w:r>
            <w:r w:rsidR="00E71FE4" w:rsidRPr="00501EAE">
              <w:rPr>
                <w:rFonts w:asciiTheme="minorHAnsi" w:hAnsiTheme="minorHAnsi" w:cstheme="minorHAnsi"/>
                <w:sz w:val="22"/>
                <w:szCs w:val="22"/>
              </w:rPr>
              <w:t>%</w:t>
            </w:r>
          </w:p>
        </w:tc>
      </w:tr>
      <w:tr w:rsidR="004742D7" w:rsidRPr="00501EAE" w14:paraId="11F9E5C8" w14:textId="77777777" w:rsidTr="002B2F48">
        <w:trPr>
          <w:trHeight w:val="293"/>
        </w:trPr>
        <w:tc>
          <w:tcPr>
            <w:tcW w:w="1435" w:type="dxa"/>
            <w:tcBorders>
              <w:bottom w:val="single" w:sz="4" w:space="0" w:color="auto"/>
            </w:tcBorders>
          </w:tcPr>
          <w:p w14:paraId="15424224" w14:textId="44A98669"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3-3.1.6</w:t>
            </w:r>
          </w:p>
        </w:tc>
        <w:tc>
          <w:tcPr>
            <w:tcW w:w="4516" w:type="dxa"/>
            <w:gridSpan w:val="2"/>
            <w:tcBorders>
              <w:bottom w:val="single" w:sz="4" w:space="0" w:color="auto"/>
            </w:tcBorders>
          </w:tcPr>
          <w:p w14:paraId="29F02F1A" w14:textId="4D27CAB8" w:rsidR="00E71FE4"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77.77</w:t>
            </w:r>
            <w:r w:rsidR="00E71FE4" w:rsidRPr="00501EAE">
              <w:rPr>
                <w:rFonts w:asciiTheme="minorHAnsi" w:hAnsiTheme="minorHAnsi" w:cstheme="minorHAnsi"/>
                <w:sz w:val="22"/>
                <w:szCs w:val="22"/>
              </w:rPr>
              <w:t>%</w:t>
            </w:r>
          </w:p>
        </w:tc>
        <w:tc>
          <w:tcPr>
            <w:tcW w:w="3123" w:type="dxa"/>
            <w:gridSpan w:val="2"/>
            <w:tcBorders>
              <w:bottom w:val="single" w:sz="4" w:space="0" w:color="auto"/>
            </w:tcBorders>
          </w:tcPr>
          <w:p w14:paraId="7E4BD1FB" w14:textId="30CE4315" w:rsidR="00E71FE4" w:rsidRPr="00501EAE" w:rsidRDefault="00E71FE4">
            <w:pPr>
              <w:rPr>
                <w:rFonts w:asciiTheme="minorHAnsi" w:hAnsiTheme="minorHAnsi" w:cstheme="minorHAnsi"/>
                <w:sz w:val="22"/>
                <w:szCs w:val="22"/>
              </w:rPr>
            </w:pPr>
            <w:r w:rsidRPr="00501EAE">
              <w:rPr>
                <w:rFonts w:asciiTheme="minorHAnsi" w:hAnsiTheme="minorHAnsi" w:cstheme="minorHAnsi"/>
                <w:sz w:val="22"/>
                <w:szCs w:val="22"/>
              </w:rPr>
              <w:t>0%</w:t>
            </w:r>
          </w:p>
        </w:tc>
        <w:tc>
          <w:tcPr>
            <w:tcW w:w="3876" w:type="dxa"/>
            <w:gridSpan w:val="3"/>
            <w:tcBorders>
              <w:bottom w:val="single" w:sz="4" w:space="0" w:color="auto"/>
            </w:tcBorders>
          </w:tcPr>
          <w:p w14:paraId="3DC38CB6" w14:textId="26939AD7"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22.22</w:t>
            </w:r>
            <w:r w:rsidR="00E71FE4" w:rsidRPr="00501EAE">
              <w:rPr>
                <w:rFonts w:asciiTheme="minorHAnsi" w:hAnsiTheme="minorHAnsi" w:cstheme="minorHAnsi"/>
                <w:sz w:val="22"/>
                <w:szCs w:val="22"/>
              </w:rPr>
              <w:t>%</w:t>
            </w:r>
          </w:p>
        </w:tc>
      </w:tr>
      <w:tr w:rsidR="004742D7" w:rsidRPr="00501EAE" w14:paraId="444FA8F5" w14:textId="77777777" w:rsidTr="002B2F48">
        <w:trPr>
          <w:trHeight w:val="293"/>
        </w:trPr>
        <w:tc>
          <w:tcPr>
            <w:tcW w:w="1435" w:type="dxa"/>
            <w:tcBorders>
              <w:bottom w:val="single" w:sz="4" w:space="0" w:color="auto"/>
            </w:tcBorders>
          </w:tcPr>
          <w:p w14:paraId="404ACE33" w14:textId="07A7E0CF"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w:t>
            </w:r>
            <w:r w:rsidR="00C612DD" w:rsidRPr="00501EAE">
              <w:rPr>
                <w:rFonts w:asciiTheme="minorHAnsi" w:hAnsiTheme="minorHAnsi" w:cstheme="minorHAnsi"/>
                <w:b/>
                <w:sz w:val="22"/>
                <w:szCs w:val="22"/>
              </w:rPr>
              <w:t>.2</w:t>
            </w:r>
            <w:r w:rsidRPr="00501EAE">
              <w:rPr>
                <w:rFonts w:asciiTheme="minorHAnsi" w:hAnsiTheme="minorHAnsi" w:cstheme="minorHAnsi"/>
                <w:b/>
                <w:sz w:val="22"/>
                <w:szCs w:val="22"/>
              </w:rPr>
              <w:t>-3.7</w:t>
            </w:r>
          </w:p>
        </w:tc>
        <w:tc>
          <w:tcPr>
            <w:tcW w:w="4516" w:type="dxa"/>
            <w:gridSpan w:val="2"/>
            <w:tcBorders>
              <w:bottom w:val="single" w:sz="4" w:space="0" w:color="auto"/>
            </w:tcBorders>
          </w:tcPr>
          <w:p w14:paraId="10D55D10" w14:textId="01C57025" w:rsidR="00E71FE4" w:rsidRPr="00501EAE" w:rsidRDefault="000E7942" w:rsidP="004602F9">
            <w:pPr>
              <w:rPr>
                <w:rFonts w:asciiTheme="minorHAnsi" w:hAnsiTheme="minorHAnsi" w:cstheme="minorHAnsi"/>
                <w:sz w:val="22"/>
                <w:szCs w:val="22"/>
              </w:rPr>
            </w:pPr>
            <w:r w:rsidRPr="00501EAE">
              <w:rPr>
                <w:rFonts w:asciiTheme="minorHAnsi" w:hAnsiTheme="minorHAnsi" w:cstheme="minorHAnsi"/>
                <w:sz w:val="22"/>
                <w:szCs w:val="22"/>
              </w:rPr>
              <w:t>55.56%</w:t>
            </w:r>
          </w:p>
        </w:tc>
        <w:tc>
          <w:tcPr>
            <w:tcW w:w="3123" w:type="dxa"/>
            <w:gridSpan w:val="2"/>
            <w:tcBorders>
              <w:bottom w:val="single" w:sz="4" w:space="0" w:color="auto"/>
            </w:tcBorders>
          </w:tcPr>
          <w:p w14:paraId="645FDCD1" w14:textId="5BCB154A" w:rsidR="00E71FE4" w:rsidRPr="00501EAE" w:rsidRDefault="000E7942">
            <w:pPr>
              <w:rPr>
                <w:rFonts w:asciiTheme="minorHAnsi" w:hAnsiTheme="minorHAnsi" w:cstheme="minorHAnsi"/>
                <w:sz w:val="22"/>
                <w:szCs w:val="22"/>
              </w:rPr>
            </w:pPr>
            <w:r w:rsidRPr="00501EAE">
              <w:rPr>
                <w:rFonts w:asciiTheme="minorHAnsi" w:hAnsiTheme="minorHAnsi" w:cstheme="minorHAnsi"/>
                <w:sz w:val="22"/>
                <w:szCs w:val="22"/>
              </w:rPr>
              <w:t>0%</w:t>
            </w:r>
          </w:p>
        </w:tc>
        <w:tc>
          <w:tcPr>
            <w:tcW w:w="3876" w:type="dxa"/>
            <w:gridSpan w:val="3"/>
            <w:tcBorders>
              <w:bottom w:val="single" w:sz="4" w:space="0" w:color="auto"/>
            </w:tcBorders>
          </w:tcPr>
          <w:p w14:paraId="4CA72BFF" w14:textId="5422390E" w:rsidR="00E71FE4" w:rsidRPr="00501EAE" w:rsidRDefault="000E7942">
            <w:pPr>
              <w:rPr>
                <w:rFonts w:asciiTheme="minorHAnsi" w:hAnsiTheme="minorHAnsi" w:cstheme="minorHAnsi"/>
                <w:sz w:val="22"/>
                <w:szCs w:val="22"/>
              </w:rPr>
            </w:pPr>
            <w:r w:rsidRPr="00501EAE">
              <w:rPr>
                <w:rFonts w:asciiTheme="minorHAnsi" w:hAnsiTheme="minorHAnsi" w:cstheme="minorHAnsi"/>
                <w:sz w:val="22"/>
                <w:szCs w:val="22"/>
              </w:rPr>
              <w:t>44.44%</w:t>
            </w:r>
          </w:p>
        </w:tc>
      </w:tr>
      <w:tr w:rsidR="004742D7" w:rsidRPr="00501EAE" w14:paraId="0897C644" w14:textId="77777777" w:rsidTr="002B2F48">
        <w:trPr>
          <w:trHeight w:val="293"/>
        </w:trPr>
        <w:tc>
          <w:tcPr>
            <w:tcW w:w="1435" w:type="dxa"/>
            <w:tcBorders>
              <w:bottom w:val="single" w:sz="4" w:space="0" w:color="auto"/>
            </w:tcBorders>
          </w:tcPr>
          <w:p w14:paraId="2B7ABDFD" w14:textId="04BDBE12"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3.8-3.11</w:t>
            </w:r>
          </w:p>
        </w:tc>
        <w:tc>
          <w:tcPr>
            <w:tcW w:w="4516" w:type="dxa"/>
            <w:gridSpan w:val="2"/>
            <w:tcBorders>
              <w:bottom w:val="single" w:sz="4" w:space="0" w:color="auto"/>
            </w:tcBorders>
          </w:tcPr>
          <w:p w14:paraId="1ED764F6" w14:textId="2EB1C71D" w:rsidR="00E71FE4" w:rsidRPr="00501EAE" w:rsidRDefault="000E7942" w:rsidP="004602F9">
            <w:pPr>
              <w:rPr>
                <w:rFonts w:asciiTheme="minorHAnsi" w:hAnsiTheme="minorHAnsi" w:cstheme="minorHAnsi"/>
                <w:sz w:val="22"/>
                <w:szCs w:val="22"/>
              </w:rPr>
            </w:pPr>
            <w:r w:rsidRPr="00501EAE">
              <w:rPr>
                <w:rFonts w:asciiTheme="minorHAnsi" w:hAnsiTheme="minorHAnsi" w:cstheme="minorHAnsi"/>
                <w:sz w:val="22"/>
                <w:szCs w:val="22"/>
              </w:rPr>
              <w:t>55.56%</w:t>
            </w:r>
          </w:p>
        </w:tc>
        <w:tc>
          <w:tcPr>
            <w:tcW w:w="3123" w:type="dxa"/>
            <w:gridSpan w:val="2"/>
            <w:tcBorders>
              <w:bottom w:val="single" w:sz="4" w:space="0" w:color="auto"/>
            </w:tcBorders>
          </w:tcPr>
          <w:p w14:paraId="4848E0DF" w14:textId="0837512A"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11.11</w:t>
            </w:r>
            <w:r w:rsidR="000E7942" w:rsidRPr="00501EAE">
              <w:rPr>
                <w:rFonts w:asciiTheme="minorHAnsi" w:hAnsiTheme="minorHAnsi" w:cstheme="minorHAnsi"/>
                <w:sz w:val="22"/>
                <w:szCs w:val="22"/>
              </w:rPr>
              <w:t>%</w:t>
            </w:r>
          </w:p>
        </w:tc>
        <w:tc>
          <w:tcPr>
            <w:tcW w:w="3876" w:type="dxa"/>
            <w:gridSpan w:val="3"/>
            <w:tcBorders>
              <w:bottom w:val="single" w:sz="4" w:space="0" w:color="auto"/>
            </w:tcBorders>
          </w:tcPr>
          <w:p w14:paraId="2EE7AAFF" w14:textId="7CAB5535"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33.33</w:t>
            </w:r>
            <w:r w:rsidR="000E7942" w:rsidRPr="00501EAE">
              <w:rPr>
                <w:rFonts w:asciiTheme="minorHAnsi" w:hAnsiTheme="minorHAnsi" w:cstheme="minorHAnsi"/>
                <w:sz w:val="22"/>
                <w:szCs w:val="22"/>
              </w:rPr>
              <w:t>%</w:t>
            </w:r>
          </w:p>
        </w:tc>
      </w:tr>
      <w:tr w:rsidR="003E7D44" w:rsidRPr="00501EAE" w14:paraId="3DECAC8A" w14:textId="77777777" w:rsidTr="002B2F48">
        <w:trPr>
          <w:trHeight w:val="293"/>
        </w:trPr>
        <w:tc>
          <w:tcPr>
            <w:tcW w:w="1435" w:type="dxa"/>
            <w:shd w:val="clear" w:color="auto" w:fill="E7E6E6" w:themeFill="background2"/>
          </w:tcPr>
          <w:p w14:paraId="5A4D5E21" w14:textId="3A1CE364" w:rsidR="003E7D44" w:rsidRPr="00501EAE" w:rsidRDefault="003E7D44">
            <w:pPr>
              <w:rPr>
                <w:rFonts w:asciiTheme="minorHAnsi" w:hAnsiTheme="minorHAnsi" w:cstheme="minorHAnsi"/>
                <w:b/>
                <w:sz w:val="22"/>
                <w:szCs w:val="22"/>
              </w:rPr>
            </w:pPr>
            <w:r w:rsidRPr="00501EAE">
              <w:rPr>
                <w:rFonts w:asciiTheme="minorHAnsi" w:hAnsiTheme="minorHAnsi" w:cstheme="minorHAnsi"/>
                <w:b/>
                <w:sz w:val="22"/>
                <w:szCs w:val="22"/>
              </w:rPr>
              <w:t>Dependency on other sections of the Temp Spec</w:t>
            </w:r>
          </w:p>
        </w:tc>
        <w:tc>
          <w:tcPr>
            <w:tcW w:w="11515" w:type="dxa"/>
            <w:gridSpan w:val="7"/>
          </w:tcPr>
          <w:p w14:paraId="6520FF3D" w14:textId="47C4D5BD" w:rsidR="003E7D44" w:rsidRPr="00501EAE" w:rsidRDefault="00EA5591">
            <w:pPr>
              <w:rPr>
                <w:rFonts w:asciiTheme="minorHAnsi" w:hAnsiTheme="minorHAnsi" w:cstheme="minorHAnsi"/>
                <w:sz w:val="22"/>
                <w:szCs w:val="22"/>
              </w:rPr>
            </w:pPr>
            <w:r w:rsidRPr="00501EAE">
              <w:rPr>
                <w:rFonts w:asciiTheme="minorHAnsi" w:hAnsiTheme="minorHAnsi" w:cstheme="minorHAnsi"/>
                <w:sz w:val="22"/>
                <w:szCs w:val="22"/>
              </w:rPr>
              <w:t>Section 4.4</w:t>
            </w:r>
          </w:p>
        </w:tc>
      </w:tr>
    </w:tbl>
    <w:p w14:paraId="582C6ED1" w14:textId="77777777" w:rsidR="007F34CC" w:rsidRPr="00501EAE" w:rsidRDefault="007F34CC">
      <w:pPr>
        <w:rPr>
          <w:rFonts w:asciiTheme="minorHAnsi" w:hAnsiTheme="minorHAnsi" w:cstheme="minorHAnsi"/>
          <w:b/>
          <w:sz w:val="22"/>
          <w:szCs w:val="22"/>
        </w:rPr>
        <w:sectPr w:rsidR="007F34CC" w:rsidRPr="00501EAE" w:rsidSect="005E2480">
          <w:footerReference w:type="even" r:id="rId7"/>
          <w:footerReference w:type="default" r:id="rId8"/>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358"/>
        <w:gridCol w:w="9592"/>
      </w:tblGrid>
      <w:tr w:rsidR="003075B7" w:rsidRPr="00501EAE" w14:paraId="514D5D64" w14:textId="77777777" w:rsidTr="003075B7">
        <w:trPr>
          <w:trHeight w:val="293"/>
        </w:trPr>
        <w:tc>
          <w:tcPr>
            <w:tcW w:w="3358" w:type="dxa"/>
            <w:shd w:val="clear" w:color="auto" w:fill="E7E6E6" w:themeFill="background2"/>
          </w:tcPr>
          <w:p w14:paraId="518437B6" w14:textId="3AAE9F92"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lastRenderedPageBreak/>
              <w:t>Related Charter Question</w:t>
            </w:r>
            <w:r w:rsidR="00D524E1" w:rsidRPr="00501EAE">
              <w:rPr>
                <w:rFonts w:asciiTheme="minorHAnsi" w:hAnsiTheme="minorHAnsi" w:cstheme="minorHAnsi"/>
                <w:b/>
                <w:sz w:val="22"/>
                <w:szCs w:val="22"/>
              </w:rPr>
              <w:t>(</w:t>
            </w:r>
            <w:r w:rsidRPr="00501EAE">
              <w:rPr>
                <w:rFonts w:asciiTheme="minorHAnsi" w:hAnsiTheme="minorHAnsi" w:cstheme="minorHAnsi"/>
                <w:b/>
                <w:sz w:val="22"/>
                <w:szCs w:val="22"/>
              </w:rPr>
              <w:t>s</w:t>
            </w:r>
            <w:r w:rsidR="00D524E1" w:rsidRPr="00501EAE">
              <w:rPr>
                <w:rFonts w:asciiTheme="minorHAnsi" w:hAnsiTheme="minorHAnsi" w:cstheme="minorHAnsi"/>
                <w:b/>
                <w:sz w:val="22"/>
                <w:szCs w:val="22"/>
              </w:rPr>
              <w:t>)</w:t>
            </w:r>
          </w:p>
        </w:tc>
        <w:tc>
          <w:tcPr>
            <w:tcW w:w="9592" w:type="dxa"/>
          </w:tcPr>
          <w:p w14:paraId="7797CF5F" w14:textId="65F4FDC9" w:rsidR="004335D3" w:rsidRPr="00501EAE" w:rsidRDefault="004335D3" w:rsidP="004335D3">
            <w:pPr>
              <w:rPr>
                <w:rFonts w:asciiTheme="minorHAnsi" w:hAnsiTheme="minorHAnsi"/>
                <w:sz w:val="22"/>
                <w:szCs w:val="22"/>
              </w:rPr>
            </w:pPr>
            <w:r w:rsidRPr="00501EAE">
              <w:rPr>
                <w:rFonts w:asciiTheme="minorHAnsi" w:hAnsiTheme="minorHAnsi"/>
                <w:sz w:val="22"/>
                <w:szCs w:val="22"/>
              </w:rPr>
              <w:t>Part 1: Purposes for Processing Registration Data</w:t>
            </w:r>
          </w:p>
          <w:p w14:paraId="15FB72F0" w14:textId="77777777" w:rsidR="004335D3" w:rsidRPr="00501EAE" w:rsidRDefault="004335D3" w:rsidP="004335D3">
            <w:pPr>
              <w:rPr>
                <w:rFonts w:asciiTheme="minorHAnsi" w:hAnsiTheme="minorHAnsi"/>
                <w:sz w:val="22"/>
                <w:szCs w:val="22"/>
              </w:rPr>
            </w:pPr>
            <w:r w:rsidRPr="00501EAE">
              <w:rPr>
                <w:rFonts w:asciiTheme="minorHAnsi" w:hAnsiTheme="minorHAnsi"/>
                <w:sz w:val="22"/>
                <w:szCs w:val="22"/>
              </w:rPr>
              <w:t>a)     Purposes outlined in Sec. 4.4.1-4.4.13 of the Temporary Specification:</w:t>
            </w:r>
          </w:p>
          <w:p w14:paraId="6A752BBD"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a1) Are the purposes enumerated in the Temporary Specification valid and legitimate?</w:t>
            </w:r>
          </w:p>
          <w:p w14:paraId="2C1BE799"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a2) Do those purposes have a corresponding legal basis?</w:t>
            </w:r>
          </w:p>
          <w:p w14:paraId="4590AEAD"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 xml:space="preserve">a3) Should any of the purposes be eliminated or adjusted? </w:t>
            </w:r>
          </w:p>
          <w:p w14:paraId="42839E1A" w14:textId="77777777" w:rsidR="003075B7" w:rsidRPr="00501EAE" w:rsidRDefault="004335D3" w:rsidP="004335D3">
            <w:pPr>
              <w:ind w:left="720"/>
              <w:rPr>
                <w:rFonts w:asciiTheme="minorHAnsi" w:hAnsiTheme="minorHAnsi"/>
                <w:sz w:val="22"/>
                <w:szCs w:val="22"/>
              </w:rPr>
            </w:pPr>
            <w:r w:rsidRPr="00501EAE">
              <w:rPr>
                <w:rFonts w:asciiTheme="minorHAnsi" w:hAnsiTheme="minorHAnsi"/>
                <w:sz w:val="22"/>
                <w:szCs w:val="22"/>
              </w:rPr>
              <w:t>a4) Should any purposes be added?</w:t>
            </w:r>
          </w:p>
          <w:p w14:paraId="4E5521E9" w14:textId="77777777" w:rsidR="004B4E76" w:rsidRPr="00501EAE" w:rsidRDefault="004B4E76" w:rsidP="004335D3">
            <w:pPr>
              <w:ind w:left="720"/>
              <w:rPr>
                <w:rFonts w:asciiTheme="minorHAnsi" w:hAnsiTheme="minorHAnsi"/>
                <w:sz w:val="22"/>
                <w:szCs w:val="22"/>
              </w:rPr>
            </w:pPr>
          </w:p>
          <w:p w14:paraId="15CB309B" w14:textId="77777777" w:rsidR="004974B7" w:rsidRPr="00501EAE" w:rsidRDefault="004974B7" w:rsidP="004974B7">
            <w:pPr>
              <w:rPr>
                <w:rFonts w:asciiTheme="minorHAnsi" w:hAnsiTheme="minorHAnsi"/>
                <w:sz w:val="22"/>
                <w:szCs w:val="22"/>
              </w:rPr>
            </w:pPr>
            <w:r w:rsidRPr="00501EAE">
              <w:rPr>
                <w:rFonts w:asciiTheme="minorHAnsi" w:hAnsiTheme="minorHAnsi"/>
                <w:sz w:val="22"/>
                <w:szCs w:val="22"/>
              </w:rPr>
              <w:t>h)     Applicability of Data Processing Requirements</w:t>
            </w:r>
          </w:p>
          <w:p w14:paraId="3F020FCA" w14:textId="445141DA"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h1) Should Registry Operators and Registrars (“Contracted Parties”) be permitted or required to differentiate between registrants on a geographic basis? </w:t>
            </w:r>
          </w:p>
          <w:p w14:paraId="10189A3A"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h2) Is there a legal basis for Contracted Parties to differentiate between registrants on a geographic basis?</w:t>
            </w:r>
          </w:p>
          <w:p w14:paraId="512111C6"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h3) Should Contracted Parties be allowed or required to treat legal and natural persons differently, and what mechanism is needed to ensure reliable determination of status?  </w:t>
            </w:r>
          </w:p>
          <w:p w14:paraId="14E3C0FC"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h4) Is there a legal basis for Contracted Parties to treat legal and natural persons differently? </w:t>
            </w:r>
          </w:p>
          <w:p w14:paraId="06F071E0" w14:textId="006F2E56" w:rsidR="004B4E76" w:rsidRPr="00501EAE" w:rsidRDefault="004974B7" w:rsidP="004974B7">
            <w:pPr>
              <w:ind w:left="720"/>
              <w:rPr>
                <w:rFonts w:asciiTheme="minorHAnsi" w:hAnsiTheme="minorHAnsi"/>
                <w:sz w:val="22"/>
                <w:szCs w:val="22"/>
              </w:rPr>
            </w:pPr>
            <w:r w:rsidRPr="00501EAE">
              <w:rPr>
                <w:rFonts w:asciiTheme="minorHAnsi" w:hAnsiTheme="minorHAnsi"/>
                <w:sz w:val="22"/>
                <w:szCs w:val="22"/>
              </w:rPr>
              <w:t>h5) What are the risks associated with differentiation of registrant status as legal or natural persons across multiple jurisdictions? (See EDPB letter of 5 July 2018)</w:t>
            </w:r>
          </w:p>
        </w:tc>
      </w:tr>
      <w:tr w:rsidR="00D524E1" w:rsidRPr="00501EAE" w14:paraId="21B75959" w14:textId="77777777" w:rsidTr="003075B7">
        <w:trPr>
          <w:trHeight w:val="293"/>
        </w:trPr>
        <w:tc>
          <w:tcPr>
            <w:tcW w:w="3358" w:type="dxa"/>
            <w:shd w:val="clear" w:color="auto" w:fill="E7E6E6" w:themeFill="background2"/>
          </w:tcPr>
          <w:p w14:paraId="066EF1B4" w14:textId="6351E5FF"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Proposed Response to Charter Question(s)</w:t>
            </w:r>
          </w:p>
        </w:tc>
        <w:tc>
          <w:tcPr>
            <w:tcW w:w="9592" w:type="dxa"/>
          </w:tcPr>
          <w:p w14:paraId="693B4447" w14:textId="77777777" w:rsidR="00D524E1" w:rsidRPr="00501EAE" w:rsidRDefault="00D524E1">
            <w:pPr>
              <w:rPr>
                <w:rFonts w:asciiTheme="minorHAnsi" w:hAnsiTheme="minorHAnsi" w:cstheme="minorHAnsi"/>
                <w:sz w:val="22"/>
                <w:szCs w:val="22"/>
              </w:rPr>
            </w:pPr>
          </w:p>
        </w:tc>
      </w:tr>
      <w:tr w:rsidR="003075B7" w:rsidRPr="00501EAE" w14:paraId="6F444DBA" w14:textId="77777777" w:rsidTr="00F553CA">
        <w:trPr>
          <w:trHeight w:val="485"/>
        </w:trPr>
        <w:tc>
          <w:tcPr>
            <w:tcW w:w="3358" w:type="dxa"/>
            <w:shd w:val="clear" w:color="auto" w:fill="E7E6E6" w:themeFill="background2"/>
          </w:tcPr>
          <w:p w14:paraId="3E58F8A4" w14:textId="28363A12"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t>DPA</w:t>
            </w:r>
            <w:r w:rsidR="00E15AFC" w:rsidRPr="00501EAE">
              <w:rPr>
                <w:rFonts w:asciiTheme="minorHAnsi" w:hAnsiTheme="minorHAnsi" w:cstheme="minorHAnsi"/>
                <w:b/>
                <w:sz w:val="22"/>
                <w:szCs w:val="22"/>
              </w:rPr>
              <w:t xml:space="preserve"> / EDPB</w:t>
            </w:r>
            <w:r w:rsidRPr="00501EAE">
              <w:rPr>
                <w:rFonts w:asciiTheme="minorHAnsi" w:hAnsiTheme="minorHAnsi" w:cstheme="minorHAnsi"/>
                <w:b/>
                <w:sz w:val="22"/>
                <w:szCs w:val="22"/>
              </w:rPr>
              <w:t xml:space="preserve"> Guidance</w:t>
            </w:r>
          </w:p>
        </w:tc>
        <w:tc>
          <w:tcPr>
            <w:tcW w:w="9592" w:type="dxa"/>
          </w:tcPr>
          <w:p w14:paraId="627CF809" w14:textId="1CDDC72B" w:rsidR="003075B7" w:rsidRPr="00501EAE" w:rsidRDefault="003075B7">
            <w:pPr>
              <w:rPr>
                <w:rFonts w:asciiTheme="minorHAnsi" w:hAnsiTheme="minorHAnsi" w:cstheme="minorHAnsi"/>
                <w:color w:val="000000" w:themeColor="text1"/>
                <w:sz w:val="20"/>
                <w:szCs w:val="20"/>
              </w:rPr>
            </w:pPr>
          </w:p>
        </w:tc>
      </w:tr>
    </w:tbl>
    <w:p w14:paraId="5A655A32" w14:textId="77777777" w:rsidR="00697E7A" w:rsidRPr="00501EAE" w:rsidRDefault="00697E7A">
      <w:pPr>
        <w:rPr>
          <w:rFonts w:asciiTheme="minorHAnsi" w:hAnsiTheme="minorHAnsi" w:cstheme="minorHAnsi"/>
          <w:b/>
          <w:sz w:val="22"/>
          <w:szCs w:val="22"/>
        </w:rPr>
        <w:sectPr w:rsidR="00697E7A" w:rsidRPr="00501EAE" w:rsidSect="005E248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358"/>
        <w:gridCol w:w="9592"/>
      </w:tblGrid>
      <w:tr w:rsidR="003075B7" w:rsidRPr="00501EAE" w14:paraId="7BF3BB41" w14:textId="77777777" w:rsidTr="003075B7">
        <w:trPr>
          <w:trHeight w:val="293"/>
        </w:trPr>
        <w:tc>
          <w:tcPr>
            <w:tcW w:w="12950" w:type="dxa"/>
            <w:gridSpan w:val="2"/>
            <w:shd w:val="clear" w:color="auto" w:fill="E7E6E6" w:themeFill="background2"/>
          </w:tcPr>
          <w:p w14:paraId="595A6579" w14:textId="2EF53F85" w:rsidR="003075B7" w:rsidRPr="00501EAE" w:rsidRDefault="003075B7" w:rsidP="00933249">
            <w:pPr>
              <w:rPr>
                <w:rFonts w:asciiTheme="minorHAnsi" w:hAnsiTheme="minorHAnsi" w:cstheme="minorHAnsi"/>
                <w:b/>
                <w:sz w:val="22"/>
                <w:szCs w:val="22"/>
              </w:rPr>
            </w:pPr>
            <w:r w:rsidRPr="00501EAE">
              <w:rPr>
                <w:rFonts w:asciiTheme="minorHAnsi" w:hAnsiTheme="minorHAnsi" w:cstheme="minorHAnsi"/>
                <w:b/>
                <w:sz w:val="22"/>
                <w:szCs w:val="22"/>
              </w:rPr>
              <w:lastRenderedPageBreak/>
              <w:t>Proposed Changes / Rationale for Change</w:t>
            </w:r>
            <w:r w:rsidR="007064B7" w:rsidRPr="00501EAE">
              <w:rPr>
                <w:rFonts w:asciiTheme="minorHAnsi" w:hAnsiTheme="minorHAnsi" w:cstheme="minorHAnsi"/>
                <w:b/>
                <w:sz w:val="22"/>
                <w:szCs w:val="22"/>
              </w:rPr>
              <w:t xml:space="preserve"> </w:t>
            </w:r>
            <w:r w:rsidR="00933249" w:rsidRPr="00501EAE">
              <w:rPr>
                <w:rFonts w:asciiTheme="minorHAnsi" w:hAnsiTheme="minorHAnsi" w:cstheme="minorHAnsi"/>
                <w:b/>
                <w:sz w:val="22"/>
                <w:szCs w:val="22"/>
              </w:rPr>
              <w:t>Preamble</w:t>
            </w:r>
          </w:p>
        </w:tc>
      </w:tr>
      <w:tr w:rsidR="00025F7C" w:rsidRPr="00501EAE" w14:paraId="7A983D93" w14:textId="77777777" w:rsidTr="007F34CC">
        <w:trPr>
          <w:trHeight w:val="293"/>
        </w:trPr>
        <w:tc>
          <w:tcPr>
            <w:tcW w:w="3358" w:type="dxa"/>
            <w:shd w:val="clear" w:color="auto" w:fill="E7E6E6" w:themeFill="background2"/>
          </w:tcPr>
          <w:p w14:paraId="5825AB0A" w14:textId="5BE96969"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0CF05276" w14:textId="54430D01" w:rsidR="00025F7C" w:rsidRPr="00501EAE" w:rsidRDefault="00E948D0">
            <w:pPr>
              <w:rPr>
                <w:rFonts w:asciiTheme="minorHAnsi" w:hAnsiTheme="minorHAnsi" w:cstheme="minorHAnsi"/>
                <w:sz w:val="22"/>
                <w:szCs w:val="22"/>
              </w:rPr>
            </w:pPr>
            <w:r w:rsidRPr="00501EAE">
              <w:rPr>
                <w:rFonts w:asciiTheme="minorHAnsi" w:hAnsiTheme="minorHAnsi" w:cstheme="minorHAnsi"/>
                <w:sz w:val="22"/>
                <w:szCs w:val="22"/>
              </w:rPr>
              <w:t xml:space="preserve">The concept of establishing the lawful basis for processing in line with Article 6 of the GDPR is important and should be discussed. It should be the task of the EPDP to re-examine this and establish the relationship of the parties throughout the Lifecycle of a domain (Processor/controller or Joint Controller). Note however that the specific contractual negotiations and requirements therein (Art 26 or Art 28) remain out of scope of the EPDP. We also caution over specific reference to the GDPR, as the ultimate policy should reflective of general data protection principles.   </w:t>
            </w:r>
          </w:p>
        </w:tc>
      </w:tr>
      <w:tr w:rsidR="00025F7C" w:rsidRPr="00501EAE" w14:paraId="07B99033" w14:textId="77777777" w:rsidTr="007F34CC">
        <w:trPr>
          <w:trHeight w:val="293"/>
        </w:trPr>
        <w:tc>
          <w:tcPr>
            <w:tcW w:w="3358" w:type="dxa"/>
            <w:shd w:val="clear" w:color="auto" w:fill="E7E6E6" w:themeFill="background2"/>
          </w:tcPr>
          <w:p w14:paraId="5E01F0FD" w14:textId="5EA39D34"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09331501" w14:textId="15DEA7B1"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Not only 'access' should be mentioned here - it is correct that processing takes place at different stages and by different parties. Collection, updating, publication, access, retention. For each of these processes, there should be a clear analysis of the purpose, and how it conforms to GDPR.</w:t>
            </w:r>
          </w:p>
        </w:tc>
      </w:tr>
      <w:tr w:rsidR="00025F7C" w:rsidRPr="00501EAE" w14:paraId="6F7A123D" w14:textId="77777777" w:rsidTr="007F34CC">
        <w:trPr>
          <w:trHeight w:val="293"/>
        </w:trPr>
        <w:tc>
          <w:tcPr>
            <w:tcW w:w="3358" w:type="dxa"/>
            <w:shd w:val="clear" w:color="auto" w:fill="E7E6E6" w:themeFill="background2"/>
          </w:tcPr>
          <w:p w14:paraId="065E5E5E" w14:textId="2B8CD53B"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5DED30E8" w14:textId="45E7D5F2"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 xml:space="preserve">The IPC supports this section however we note that the above represents some, but not necessarily all, of the bases for processing personal data.   In addition we believe that the following update should be made.     Replace “...such access will at all times comply with the requirements of the GDPR.” with “...such access will comply with the requirements of the GDPR, as applicable”.    </w:t>
            </w:r>
          </w:p>
        </w:tc>
      </w:tr>
      <w:tr w:rsidR="00025F7C" w:rsidRPr="00501EAE" w14:paraId="2793C0A2" w14:textId="77777777" w:rsidTr="007F34CC">
        <w:trPr>
          <w:trHeight w:val="293"/>
        </w:trPr>
        <w:tc>
          <w:tcPr>
            <w:tcW w:w="3358" w:type="dxa"/>
            <w:shd w:val="clear" w:color="auto" w:fill="E7E6E6" w:themeFill="background2"/>
          </w:tcPr>
          <w:p w14:paraId="6688ECF4" w14:textId="5F2EDA1D"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4D4D3FC1" w14:textId="24A8EE2D" w:rsidR="00025F7C" w:rsidRPr="00501EAE" w:rsidRDefault="00025F7C">
            <w:pPr>
              <w:rPr>
                <w:rFonts w:asciiTheme="minorHAnsi" w:hAnsiTheme="minorHAnsi" w:cstheme="minorHAnsi"/>
                <w:sz w:val="22"/>
                <w:szCs w:val="22"/>
              </w:rPr>
            </w:pPr>
          </w:p>
        </w:tc>
      </w:tr>
      <w:tr w:rsidR="00025F7C" w:rsidRPr="00501EAE" w14:paraId="70E9FA03" w14:textId="77777777" w:rsidTr="007F34CC">
        <w:trPr>
          <w:trHeight w:val="293"/>
        </w:trPr>
        <w:tc>
          <w:tcPr>
            <w:tcW w:w="3358" w:type="dxa"/>
            <w:shd w:val="clear" w:color="auto" w:fill="E7E6E6" w:themeFill="background2"/>
          </w:tcPr>
          <w:p w14:paraId="6EF3809F" w14:textId="4BD056F7"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3362D09E" w14:textId="424F9490" w:rsidR="00025F7C" w:rsidRPr="00501EAE" w:rsidRDefault="0066393C" w:rsidP="0066393C">
            <w:pPr>
              <w:tabs>
                <w:tab w:val="left" w:pos="1653"/>
              </w:tabs>
              <w:rPr>
                <w:rFonts w:asciiTheme="minorHAnsi" w:hAnsiTheme="minorHAnsi" w:cstheme="minorHAnsi"/>
                <w:b/>
                <w:sz w:val="22"/>
                <w:szCs w:val="22"/>
              </w:rPr>
            </w:pPr>
            <w:r w:rsidRPr="00501EAE">
              <w:rPr>
                <w:rFonts w:asciiTheme="minorHAnsi" w:hAnsiTheme="minorHAnsi" w:cstheme="minorHAnsi"/>
                <w:sz w:val="22"/>
                <w:szCs w:val="22"/>
              </w:rPr>
              <w:t>The paragraph is more or less just a reflection of Art. 5 GDPR, but not an accurate one. There is no added value in quoting from the law rather than just stating what articles need to be complied with.</w:t>
            </w:r>
          </w:p>
        </w:tc>
      </w:tr>
      <w:tr w:rsidR="00025F7C" w:rsidRPr="00501EAE" w14:paraId="1506ECB1" w14:textId="77777777" w:rsidTr="00933249">
        <w:trPr>
          <w:trHeight w:val="161"/>
        </w:trPr>
        <w:tc>
          <w:tcPr>
            <w:tcW w:w="3358" w:type="dxa"/>
            <w:shd w:val="clear" w:color="auto" w:fill="E7E6E6" w:themeFill="background2"/>
          </w:tcPr>
          <w:p w14:paraId="0FB42177" w14:textId="30378490"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1C6620D9" w14:textId="71BBF6B5"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The NCSG has no strong opinion on this language; however we do have some concerns regarding the contents of Appendix C.</w:t>
            </w:r>
          </w:p>
        </w:tc>
      </w:tr>
      <w:tr w:rsidR="00025F7C" w:rsidRPr="00501EAE" w14:paraId="11204010" w14:textId="77777777" w:rsidTr="007F34CC">
        <w:trPr>
          <w:trHeight w:val="293"/>
        </w:trPr>
        <w:tc>
          <w:tcPr>
            <w:tcW w:w="3358" w:type="dxa"/>
            <w:shd w:val="clear" w:color="auto" w:fill="E7E6E6" w:themeFill="background2"/>
          </w:tcPr>
          <w:p w14:paraId="3A131C90" w14:textId="27298E11"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4346E086" w14:textId="5E801E5E" w:rsidR="00025F7C" w:rsidRPr="00286E90" w:rsidRDefault="0066393C">
            <w:pPr>
              <w:rPr>
                <w:rFonts w:asciiTheme="minorHAnsi" w:hAnsiTheme="minorHAnsi" w:cstheme="minorHAnsi"/>
                <w:sz w:val="22"/>
                <w:szCs w:val="22"/>
              </w:rPr>
            </w:pPr>
            <w:r w:rsidRPr="00286E90">
              <w:rPr>
                <w:rFonts w:asciiTheme="minorHAnsi" w:hAnsiTheme="minorHAnsi" w:cstheme="minorHAnsi"/>
                <w:sz w:val="22"/>
                <w:szCs w:val="22"/>
              </w:rPr>
              <w:t>But this will no doubt change (and be enhanced) as a result of future deliberations.</w:t>
            </w:r>
          </w:p>
        </w:tc>
      </w:tr>
      <w:tr w:rsidR="00025F7C" w:rsidRPr="00501EAE" w14:paraId="7ABBBADF" w14:textId="77777777" w:rsidTr="007F34CC">
        <w:trPr>
          <w:trHeight w:val="293"/>
        </w:trPr>
        <w:tc>
          <w:tcPr>
            <w:tcW w:w="3358" w:type="dxa"/>
            <w:shd w:val="clear" w:color="auto" w:fill="E7E6E6" w:themeFill="background2"/>
          </w:tcPr>
          <w:p w14:paraId="136CAB16" w14:textId="198E7F7E"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40E7C1A" w14:textId="63E94F9A"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Suggested edit: in table, line 'Public RDDS/WHOIS', add ‘performance of a contract’ as a legal justification for Public RDDS/WHOIS gTLD processing activity (for all Registrar/Registry/ICANN roles)  Rationale: The public RDDS/WHOIS is a contractual provision and needs to be articulated as such.</w:t>
            </w:r>
          </w:p>
        </w:tc>
      </w:tr>
      <w:tr w:rsidR="00025F7C" w:rsidRPr="00501EAE" w14:paraId="35EAAF93" w14:textId="77777777" w:rsidTr="00FD3888">
        <w:trPr>
          <w:trHeight w:val="293"/>
        </w:trPr>
        <w:tc>
          <w:tcPr>
            <w:tcW w:w="3358" w:type="dxa"/>
            <w:shd w:val="clear" w:color="auto" w:fill="E7E6E6" w:themeFill="background2"/>
          </w:tcPr>
          <w:p w14:paraId="38A85FC4" w14:textId="7ED09888"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11138BE6" w14:textId="663EA7F0" w:rsidR="00025F7C" w:rsidRPr="00501EAE" w:rsidRDefault="00025F7C">
            <w:pPr>
              <w:rPr>
                <w:rFonts w:asciiTheme="minorHAnsi" w:hAnsiTheme="minorHAnsi" w:cstheme="minorHAnsi"/>
                <w:sz w:val="22"/>
                <w:szCs w:val="22"/>
              </w:rPr>
            </w:pPr>
          </w:p>
        </w:tc>
      </w:tr>
      <w:tr w:rsidR="00FD3888" w:rsidRPr="00501EAE" w14:paraId="5B30BCFA" w14:textId="77777777" w:rsidTr="00BD7330">
        <w:trPr>
          <w:trHeight w:val="293"/>
        </w:trPr>
        <w:tc>
          <w:tcPr>
            <w:tcW w:w="3358" w:type="dxa"/>
            <w:tcBorders>
              <w:bottom w:val="single" w:sz="4" w:space="0" w:color="auto"/>
            </w:tcBorders>
            <w:shd w:val="clear" w:color="auto" w:fill="E7E6E6" w:themeFill="background2"/>
          </w:tcPr>
          <w:p w14:paraId="3138DAA7" w14:textId="0FE46486" w:rsidR="00FD3888" w:rsidRPr="00501EAE" w:rsidRDefault="00FD3888">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w:t>
            </w:r>
            <w:r w:rsidR="00012015" w:rsidRPr="00501EAE">
              <w:rPr>
                <w:rFonts w:asciiTheme="minorHAnsi" w:hAnsiTheme="minorHAnsi" w:cstheme="minorHAnsi"/>
                <w:b/>
                <w:sz w:val="22"/>
                <w:szCs w:val="22"/>
              </w:rPr>
              <w:t xml:space="preserve"> and/or recommendation(s)</w:t>
            </w:r>
          </w:p>
        </w:tc>
        <w:tc>
          <w:tcPr>
            <w:tcW w:w="9592" w:type="dxa"/>
            <w:tcBorders>
              <w:bottom w:val="single" w:sz="4" w:space="0" w:color="auto"/>
            </w:tcBorders>
          </w:tcPr>
          <w:p w14:paraId="6D290EFC" w14:textId="648944E8" w:rsidR="00FD3888" w:rsidRPr="00501EAE" w:rsidRDefault="00FD3888">
            <w:pPr>
              <w:rPr>
                <w:rFonts w:asciiTheme="minorHAnsi" w:hAnsiTheme="minorHAnsi" w:cstheme="minorHAnsi"/>
                <w:sz w:val="22"/>
                <w:szCs w:val="22"/>
              </w:rPr>
            </w:pPr>
          </w:p>
        </w:tc>
      </w:tr>
    </w:tbl>
    <w:p w14:paraId="0861BF7D" w14:textId="77777777" w:rsidR="00825447" w:rsidRPr="00501EAE" w:rsidRDefault="00825447" w:rsidP="007F34CC">
      <w:pPr>
        <w:rPr>
          <w:rFonts w:asciiTheme="minorHAnsi" w:hAnsiTheme="minorHAnsi" w:cstheme="minorHAnsi"/>
          <w:b/>
          <w:sz w:val="22"/>
          <w:szCs w:val="22"/>
        </w:rPr>
      </w:pPr>
    </w:p>
    <w:p w14:paraId="5A4084B7" w14:textId="77777777" w:rsidR="003826D4" w:rsidRPr="00501EAE" w:rsidRDefault="003826D4"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501EAE" w14:paraId="016602D1" w14:textId="77777777" w:rsidTr="007F34CC">
        <w:trPr>
          <w:trHeight w:val="293"/>
        </w:trPr>
        <w:tc>
          <w:tcPr>
            <w:tcW w:w="12950" w:type="dxa"/>
            <w:gridSpan w:val="2"/>
            <w:shd w:val="clear" w:color="auto" w:fill="E7E6E6" w:themeFill="background2"/>
          </w:tcPr>
          <w:p w14:paraId="7E11869C" w14:textId="73F09004" w:rsidR="007064B7" w:rsidRPr="00501EAE" w:rsidRDefault="007064B7" w:rsidP="0066393C">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66393C" w:rsidRPr="00501EAE">
              <w:rPr>
                <w:rFonts w:asciiTheme="minorHAnsi" w:hAnsiTheme="minorHAnsi" w:cstheme="minorHAnsi"/>
                <w:b/>
                <w:sz w:val="22"/>
                <w:szCs w:val="22"/>
              </w:rPr>
              <w:t>1 – 1.6 Principles for Processing</w:t>
            </w:r>
            <w:r w:rsidR="00797421" w:rsidRPr="00501EAE">
              <w:rPr>
                <w:rFonts w:asciiTheme="minorHAnsi" w:hAnsiTheme="minorHAnsi" w:cstheme="minorHAnsi"/>
                <w:b/>
                <w:sz w:val="22"/>
                <w:szCs w:val="22"/>
              </w:rPr>
              <w:t xml:space="preserve"> </w:t>
            </w:r>
          </w:p>
        </w:tc>
      </w:tr>
      <w:tr w:rsidR="007064B7" w:rsidRPr="00501EAE" w14:paraId="24F8F494" w14:textId="77777777" w:rsidTr="007F34CC">
        <w:trPr>
          <w:trHeight w:val="293"/>
        </w:trPr>
        <w:tc>
          <w:tcPr>
            <w:tcW w:w="3358" w:type="dxa"/>
            <w:shd w:val="clear" w:color="auto" w:fill="E7E6E6" w:themeFill="background2"/>
          </w:tcPr>
          <w:p w14:paraId="4186AE05"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66CEC218" w14:textId="2A7B5094"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The GDPR is based upon specific principles that this section attempts to capture.  Understanding that the consensus policy is meant to develop practices that are inherently GDPR (and other principle-based privacy law) compliant, the principles should be embedded in any processes or policies we develop as a </w:t>
            </w:r>
            <w:r w:rsidRPr="003826D4">
              <w:rPr>
                <w:rFonts w:asciiTheme="minorHAnsi" w:eastAsia="Times New Roman" w:hAnsiTheme="minorHAnsi"/>
                <w:color w:val="000000"/>
                <w:sz w:val="22"/>
                <w:szCs w:val="22"/>
              </w:rPr>
              <w:lastRenderedPageBreak/>
              <w:t xml:space="preserve">PDP.   There is no disagreement that the concepts of this section should be discussed and included in the consensus policy; however, the EPDP team should be called upon to consider and refine the Temp Spec specific language that should not transfer to ensure unintended consequences, or overly onerous requirements.    </w:t>
            </w:r>
          </w:p>
        </w:tc>
      </w:tr>
      <w:tr w:rsidR="007064B7" w:rsidRPr="00501EAE" w14:paraId="169C1818" w14:textId="77777777" w:rsidTr="007F34CC">
        <w:trPr>
          <w:trHeight w:val="293"/>
        </w:trPr>
        <w:tc>
          <w:tcPr>
            <w:tcW w:w="3358" w:type="dxa"/>
            <w:shd w:val="clear" w:color="auto" w:fill="E7E6E6" w:themeFill="background2"/>
          </w:tcPr>
          <w:p w14:paraId="7DCB8DC8"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050B1E75" w14:textId="2FF4B7E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7064B7" w:rsidRPr="00501EAE" w14:paraId="544DA2D0" w14:textId="77777777" w:rsidTr="007F34CC">
        <w:trPr>
          <w:trHeight w:val="293"/>
        </w:trPr>
        <w:tc>
          <w:tcPr>
            <w:tcW w:w="3358" w:type="dxa"/>
            <w:shd w:val="clear" w:color="auto" w:fill="E7E6E6" w:themeFill="background2"/>
          </w:tcPr>
          <w:p w14:paraId="7D54FCE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4077F061" w14:textId="2D56D4F1"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IPC agrees with the bulk of this section but strongly disagrees with the lead in language to this section, which makes the obligations subject to applicable laws.  All obligations are subject to applicable laws, but for the sake of certainty, it is important that the obligations be clear and certain, and not subject to any one party’s view of what applicable laws require.  There is an existing consensus policy and Process to govern conflicts between WHOIS obligations and National Data Protection Laws, and that will govern dealing with any conflict between those laws and such obligations.  The language above appears to allow circumvention of that policy and process, and creates uncertainty.  Therefore, in Section 1 the phrase “except as required by applicable laws and regulations” should be deleted, as it is unnecessary.    </w:t>
            </w:r>
          </w:p>
        </w:tc>
      </w:tr>
      <w:tr w:rsidR="007064B7" w:rsidRPr="00501EAE" w14:paraId="74AE8592" w14:textId="77777777" w:rsidTr="007F34CC">
        <w:trPr>
          <w:trHeight w:val="293"/>
        </w:trPr>
        <w:tc>
          <w:tcPr>
            <w:tcW w:w="3358" w:type="dxa"/>
            <w:shd w:val="clear" w:color="auto" w:fill="E7E6E6" w:themeFill="background2"/>
          </w:tcPr>
          <w:p w14:paraId="416BDCC7"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6201A89D" w14:textId="1E04FD9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BC can agree with this section if references to “obligations subject to local laws” are changed to instead reference the existing consensus policy and process which already governs conflicts between WhoIs obligations and national data protection laws.  The language above   creates uncertainty by failing both to reference the existing consensus policy and by leaving applicability of local law subject to each party’s interpretations.</w:t>
            </w:r>
          </w:p>
        </w:tc>
      </w:tr>
      <w:tr w:rsidR="007064B7" w:rsidRPr="00501EAE" w14:paraId="3F532581" w14:textId="77777777" w:rsidTr="007F34CC">
        <w:trPr>
          <w:trHeight w:val="293"/>
        </w:trPr>
        <w:tc>
          <w:tcPr>
            <w:tcW w:w="3358" w:type="dxa"/>
            <w:shd w:val="clear" w:color="auto" w:fill="E7E6E6" w:themeFill="background2"/>
          </w:tcPr>
          <w:p w14:paraId="66471983"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50AAB0F2" w14:textId="717DC50A"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This clause is more or less a reflection of Art. 6 I f GDPR, but that suggests that this is the only legal basis that can be applied for processing. Therefore, it is not comprehensive and therefore potentially misleading.</w:t>
            </w:r>
          </w:p>
        </w:tc>
      </w:tr>
      <w:tr w:rsidR="007064B7" w:rsidRPr="00501EAE" w14:paraId="6D1D98CB" w14:textId="77777777" w:rsidTr="007F34CC">
        <w:trPr>
          <w:trHeight w:val="293"/>
        </w:trPr>
        <w:tc>
          <w:tcPr>
            <w:tcW w:w="3358" w:type="dxa"/>
            <w:shd w:val="clear" w:color="auto" w:fill="E7E6E6" w:themeFill="background2"/>
          </w:tcPr>
          <w:p w14:paraId="73D2ADC9"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7461F5BF" w14:textId="1543158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While including language from the GDPR on data processing requirements is useful insofar as it defines the standards that must be met, this Specification lacks detail about precisely how ICANN, the contracted parties, and other participants in the ecosystem are intended to uphold these principles. Moreover, while all parties are collectively expected to adhere to these principles at all times, there are no clear avenues prescribed for how ICANN will be informed if and when registries, registrars, their agents, or any other parties or interests (including those in section 4 referenced in this appendix, to which NCSG objected to in a previous survey) receive complaints about improper data handling practices. The process for receiving and handling such requests should be clearly defined, along with processes for escalation and opportunities for recourse / remedy for individuals who have had their rights violated.</w:t>
            </w:r>
          </w:p>
        </w:tc>
      </w:tr>
      <w:tr w:rsidR="007064B7" w:rsidRPr="00501EAE" w14:paraId="24F50B3A" w14:textId="77777777" w:rsidTr="007F34CC">
        <w:trPr>
          <w:trHeight w:val="293"/>
        </w:trPr>
        <w:tc>
          <w:tcPr>
            <w:tcW w:w="3358" w:type="dxa"/>
            <w:shd w:val="clear" w:color="auto" w:fill="E7E6E6" w:themeFill="background2"/>
          </w:tcPr>
          <w:p w14:paraId="237BA00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ALAC</w:t>
            </w:r>
          </w:p>
        </w:tc>
        <w:tc>
          <w:tcPr>
            <w:tcW w:w="9592" w:type="dxa"/>
          </w:tcPr>
          <w:p w14:paraId="58B7F9BF" w14:textId="4F539ACD" w:rsidR="007064B7" w:rsidRPr="00501EAE" w:rsidRDefault="0066393C" w:rsidP="007F34CC">
            <w:pPr>
              <w:rPr>
                <w:rFonts w:asciiTheme="minorHAnsi" w:hAnsiTheme="minorHAnsi" w:cstheme="minorHAnsi"/>
                <w:sz w:val="22"/>
                <w:szCs w:val="22"/>
              </w:rPr>
            </w:pPr>
            <w:r w:rsidRPr="00501EAE">
              <w:rPr>
                <w:rFonts w:asciiTheme="minorHAnsi" w:hAnsiTheme="minorHAnsi" w:cstheme="minorHAnsi"/>
                <w:sz w:val="22"/>
                <w:szCs w:val="22"/>
              </w:rPr>
              <w:t>Will no doubt be subject to change as we move forward.</w:t>
            </w:r>
          </w:p>
        </w:tc>
      </w:tr>
      <w:tr w:rsidR="007064B7" w:rsidRPr="00501EAE" w14:paraId="773E7133" w14:textId="77777777" w:rsidTr="007F34CC">
        <w:trPr>
          <w:trHeight w:val="293"/>
        </w:trPr>
        <w:tc>
          <w:tcPr>
            <w:tcW w:w="3358" w:type="dxa"/>
            <w:shd w:val="clear" w:color="auto" w:fill="E7E6E6" w:themeFill="background2"/>
          </w:tcPr>
          <w:p w14:paraId="67BC66B1"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1BC7E1A" w14:textId="77777777" w:rsidR="007064B7" w:rsidRPr="00501EAE" w:rsidRDefault="007064B7" w:rsidP="007F34CC">
            <w:pPr>
              <w:rPr>
                <w:rFonts w:asciiTheme="minorHAnsi" w:hAnsiTheme="minorHAnsi" w:cstheme="minorHAnsi"/>
                <w:b/>
                <w:sz w:val="22"/>
                <w:szCs w:val="22"/>
              </w:rPr>
            </w:pPr>
          </w:p>
        </w:tc>
      </w:tr>
      <w:tr w:rsidR="007064B7" w:rsidRPr="00501EAE" w14:paraId="55D3A76D" w14:textId="77777777" w:rsidTr="007F34CC">
        <w:trPr>
          <w:trHeight w:val="293"/>
        </w:trPr>
        <w:tc>
          <w:tcPr>
            <w:tcW w:w="3358" w:type="dxa"/>
            <w:shd w:val="clear" w:color="auto" w:fill="E7E6E6" w:themeFill="background2"/>
          </w:tcPr>
          <w:p w14:paraId="3189B5DA"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B123DA5" w14:textId="77777777" w:rsidR="007064B7" w:rsidRPr="00501EAE" w:rsidRDefault="007064B7" w:rsidP="007F34CC">
            <w:pPr>
              <w:rPr>
                <w:rFonts w:asciiTheme="minorHAnsi" w:hAnsiTheme="minorHAnsi" w:cstheme="minorHAnsi"/>
                <w:sz w:val="22"/>
                <w:szCs w:val="22"/>
              </w:rPr>
            </w:pPr>
          </w:p>
        </w:tc>
      </w:tr>
      <w:tr w:rsidR="007064B7" w:rsidRPr="00501EAE" w14:paraId="3BAEE1B8" w14:textId="77777777" w:rsidTr="007F34CC">
        <w:trPr>
          <w:trHeight w:val="293"/>
        </w:trPr>
        <w:tc>
          <w:tcPr>
            <w:tcW w:w="3358" w:type="dxa"/>
            <w:tcBorders>
              <w:bottom w:val="single" w:sz="4" w:space="0" w:color="auto"/>
            </w:tcBorders>
            <w:shd w:val="clear" w:color="auto" w:fill="E7E6E6" w:themeFill="background2"/>
          </w:tcPr>
          <w:p w14:paraId="33CADB30"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08478B12" w14:textId="77777777" w:rsidR="007064B7" w:rsidRPr="00501EAE" w:rsidRDefault="007064B7" w:rsidP="007F34CC">
            <w:pPr>
              <w:rPr>
                <w:rFonts w:asciiTheme="minorHAnsi" w:hAnsiTheme="minorHAnsi" w:cstheme="minorHAnsi"/>
                <w:sz w:val="22"/>
                <w:szCs w:val="22"/>
              </w:rPr>
            </w:pPr>
          </w:p>
        </w:tc>
      </w:tr>
    </w:tbl>
    <w:p w14:paraId="5F8D44B0" w14:textId="77777777" w:rsidR="007064B7" w:rsidRPr="00501EAE" w:rsidRDefault="007064B7"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501EAE" w14:paraId="171CDEBB" w14:textId="77777777" w:rsidTr="007F34CC">
        <w:trPr>
          <w:trHeight w:val="293"/>
        </w:trPr>
        <w:tc>
          <w:tcPr>
            <w:tcW w:w="12950" w:type="dxa"/>
            <w:gridSpan w:val="2"/>
            <w:shd w:val="clear" w:color="auto" w:fill="E7E6E6" w:themeFill="background2"/>
          </w:tcPr>
          <w:p w14:paraId="04B10BC3" w14:textId="0C6E810D" w:rsidR="007064B7" w:rsidRPr="00501EAE" w:rsidRDefault="007064B7" w:rsidP="00B91E92">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B91E92" w:rsidRPr="00501EAE">
              <w:rPr>
                <w:rFonts w:asciiTheme="minorHAnsi" w:hAnsiTheme="minorHAnsi" w:cstheme="minorHAnsi"/>
                <w:b/>
                <w:sz w:val="22"/>
                <w:szCs w:val="22"/>
              </w:rPr>
              <w:t xml:space="preserve">2 </w:t>
            </w:r>
            <w:r w:rsidR="00B91E92" w:rsidRPr="00501EAE">
              <w:rPr>
                <w:rFonts w:asciiTheme="minorHAnsi" w:hAnsiTheme="minorHAnsi" w:cstheme="minorHAnsi"/>
                <w:b/>
                <w:color w:val="000000" w:themeColor="text1"/>
                <w:sz w:val="22"/>
                <w:szCs w:val="22"/>
              </w:rPr>
              <w:t>Lawfulness of Processing</w:t>
            </w:r>
          </w:p>
        </w:tc>
      </w:tr>
      <w:tr w:rsidR="007064B7" w:rsidRPr="00501EAE" w14:paraId="77437A1D" w14:textId="77777777" w:rsidTr="007F34CC">
        <w:trPr>
          <w:trHeight w:val="293"/>
        </w:trPr>
        <w:tc>
          <w:tcPr>
            <w:tcW w:w="3358" w:type="dxa"/>
            <w:shd w:val="clear" w:color="auto" w:fill="E7E6E6" w:themeFill="background2"/>
          </w:tcPr>
          <w:p w14:paraId="499969D3"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1D7D9ED8" w14:textId="3B95D597"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The concept of establishing the lawful basis for processing in line with Article 6 of the GDPR is important and should be discussed by the EPDP team. The discussion of all of the concepts in Appendix C will require the PDP to re-examine and establish the Joint Controller, Controller, Processor relationship(s) that exists through the domain name life cycle   Each of the Appendix C issues should transfer to the consensus policy discussion, but likely require redrafting.     Clarity as to the concept of ‘legitimate interest’ is also required. It should be also noted the EPDP cannot state categorically what a 'legitimate interest is, rather we must state the reasons grounding our belief that our legal basis for processing woul</w:t>
            </w:r>
            <w:r w:rsidRPr="00501EAE">
              <w:rPr>
                <w:rFonts w:asciiTheme="minorHAnsi" w:eastAsia="Times New Roman" w:hAnsiTheme="minorHAnsi"/>
                <w:color w:val="000000"/>
                <w:sz w:val="22"/>
                <w:szCs w:val="22"/>
              </w:rPr>
              <w:t xml:space="preserve">d be considered as legitimate, </w:t>
            </w:r>
            <w:r w:rsidRPr="00B91E92">
              <w:rPr>
                <w:rFonts w:asciiTheme="minorHAnsi" w:eastAsia="Times New Roman" w:hAnsiTheme="minorHAnsi"/>
                <w:color w:val="000000"/>
                <w:sz w:val="22"/>
                <w:szCs w:val="22"/>
              </w:rPr>
              <w:t xml:space="preserve">were such processing to be tested by the relevant authorities. The EPDP may consider submission of its stated / agreed upon legitimate interests as part of an Art 40 Code of conduct referral, as engaging in such a process could provide our outputs with </w:t>
            </w:r>
            <w:r w:rsidRPr="00501EAE">
              <w:rPr>
                <w:rFonts w:asciiTheme="minorHAnsi" w:eastAsia="Times New Roman" w:hAnsiTheme="minorHAnsi"/>
                <w:color w:val="000000"/>
                <w:sz w:val="22"/>
                <w:szCs w:val="22"/>
              </w:rPr>
              <w:t>much higher degree of certainty</w:t>
            </w:r>
            <w:r w:rsidRPr="00B91E92">
              <w:rPr>
                <w:rFonts w:asciiTheme="minorHAnsi" w:eastAsia="Times New Roman" w:hAnsiTheme="minorHAnsi"/>
                <w:color w:val="000000"/>
                <w:sz w:val="22"/>
                <w:szCs w:val="22"/>
              </w:rPr>
              <w:t xml:space="preserve">.    </w:t>
            </w:r>
          </w:p>
        </w:tc>
      </w:tr>
      <w:tr w:rsidR="007064B7" w:rsidRPr="00501EAE" w14:paraId="74519926" w14:textId="77777777" w:rsidTr="007F34CC">
        <w:trPr>
          <w:trHeight w:val="293"/>
        </w:trPr>
        <w:tc>
          <w:tcPr>
            <w:tcW w:w="3358" w:type="dxa"/>
            <w:shd w:val="clear" w:color="auto" w:fill="E7E6E6" w:themeFill="background2"/>
          </w:tcPr>
          <w:p w14:paraId="72B0ACD5"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7EE362C8" w14:textId="17C79230"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Reference should not be limited to 'legitimate interest' here, as there are other issues to consider, such as necessity for fulfilment of the contract etc.    Furthermore, the document should clearly state the identity of the Data Controller(s) for the WHOIS.    How would it be possible for anyone to tell whether the data subject is a child, when there is no field to reflect such information in the current data set?</w:t>
            </w:r>
          </w:p>
        </w:tc>
      </w:tr>
      <w:tr w:rsidR="007064B7" w:rsidRPr="00501EAE" w14:paraId="352894C4" w14:textId="77777777" w:rsidTr="007F34CC">
        <w:trPr>
          <w:trHeight w:val="293"/>
        </w:trPr>
        <w:tc>
          <w:tcPr>
            <w:tcW w:w="3358" w:type="dxa"/>
            <w:shd w:val="clear" w:color="auto" w:fill="E7E6E6" w:themeFill="background2"/>
          </w:tcPr>
          <w:p w14:paraId="796D48CD"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708EE65E" w14:textId="2B4EE256"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As we have stated previously (See IPCs answer to Question 8 of Part 1 of the </w:t>
            </w:r>
            <w:r w:rsidRPr="00501EAE">
              <w:rPr>
                <w:rFonts w:asciiTheme="minorHAnsi" w:eastAsia="Times New Roman" w:hAnsiTheme="minorHAnsi"/>
                <w:color w:val="000000"/>
                <w:sz w:val="22"/>
                <w:szCs w:val="22"/>
              </w:rPr>
              <w:t>Triage)</w:t>
            </w:r>
            <w:r w:rsidRPr="00B91E92">
              <w:rPr>
                <w:rFonts w:asciiTheme="minorHAnsi" w:eastAsia="Times New Roman" w:hAnsiTheme="minorHAnsi"/>
                <w:color w:val="000000"/>
                <w:sz w:val="22"/>
                <w:szCs w:val="22"/>
              </w:rPr>
              <w:t xml:space="preserve">, this provision wrongfully assumes that data will be processed on the basis of a legitimate interest not overridden by the interests or fundamental rights and freedoms of the data subject. This Article 6 Section 1(f) basis is merely one lawful basis for processing WHOIS data among many potentially lawful bases for processing WHOIS data.    </w:t>
            </w:r>
          </w:p>
        </w:tc>
      </w:tr>
      <w:tr w:rsidR="007064B7" w:rsidRPr="00501EAE" w14:paraId="0ED2013A" w14:textId="77777777" w:rsidTr="007F34CC">
        <w:trPr>
          <w:trHeight w:val="293"/>
        </w:trPr>
        <w:tc>
          <w:tcPr>
            <w:tcW w:w="3358" w:type="dxa"/>
            <w:shd w:val="clear" w:color="auto" w:fill="E7E6E6" w:themeFill="background2"/>
          </w:tcPr>
          <w:p w14:paraId="70DFFD57"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5C06E026" w14:textId="5AF7770D"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“Except where such interests are overridden by the interests or fundamental rights and freedoms of the data subject which require protection of Personal Data” should be qualified by the statement “as may be required under GDPR”, because not all processing is subject to the balancing test.  </w:t>
            </w:r>
          </w:p>
        </w:tc>
      </w:tr>
      <w:tr w:rsidR="007064B7" w:rsidRPr="00501EAE" w14:paraId="4B38F838" w14:textId="77777777" w:rsidTr="007F34CC">
        <w:trPr>
          <w:trHeight w:val="293"/>
        </w:trPr>
        <w:tc>
          <w:tcPr>
            <w:tcW w:w="3358" w:type="dxa"/>
            <w:shd w:val="clear" w:color="auto" w:fill="E7E6E6" w:themeFill="background2"/>
          </w:tcPr>
          <w:p w14:paraId="2985C55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0BF182F0" w14:textId="7B19B55D"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As above, basic principles of GDPR (Art. 32) are cited or paraphrased. That is of limited value.  </w:t>
            </w:r>
          </w:p>
        </w:tc>
      </w:tr>
      <w:tr w:rsidR="007064B7" w:rsidRPr="00501EAE" w14:paraId="0DDA47D9" w14:textId="77777777" w:rsidTr="007F34CC">
        <w:trPr>
          <w:trHeight w:val="293"/>
        </w:trPr>
        <w:tc>
          <w:tcPr>
            <w:tcW w:w="3358" w:type="dxa"/>
            <w:shd w:val="clear" w:color="auto" w:fill="E7E6E6" w:themeFill="background2"/>
          </w:tcPr>
          <w:p w14:paraId="63975DA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NCSG</w:t>
            </w:r>
          </w:p>
        </w:tc>
        <w:tc>
          <w:tcPr>
            <w:tcW w:w="9592" w:type="dxa"/>
          </w:tcPr>
          <w:p w14:paraId="40F18DD0" w14:textId="3132F510"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It is not clear that this section adds any value. Detail is required. Identities of the holders of domains which inherently have political, religious, or racial implications also qualify for protection as sensitive data (e.g. womensreproductiverights.com, minersagainsttrump.com) so using the example of a child here only raises questions about how to apply this overall principle.</w:t>
            </w:r>
          </w:p>
        </w:tc>
      </w:tr>
      <w:tr w:rsidR="007064B7" w:rsidRPr="00501EAE" w14:paraId="7EA56528" w14:textId="77777777" w:rsidTr="007F34CC">
        <w:trPr>
          <w:trHeight w:val="293"/>
        </w:trPr>
        <w:tc>
          <w:tcPr>
            <w:tcW w:w="3358" w:type="dxa"/>
            <w:shd w:val="clear" w:color="auto" w:fill="E7E6E6" w:themeFill="background2"/>
          </w:tcPr>
          <w:p w14:paraId="0A02F6C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2EC2B4F8" w14:textId="1B24C17A" w:rsidR="007064B7" w:rsidRPr="00501EAE" w:rsidRDefault="00B91E92" w:rsidP="007F34CC">
            <w:pPr>
              <w:rPr>
                <w:rFonts w:asciiTheme="minorHAnsi" w:hAnsiTheme="minorHAnsi" w:cstheme="minorHAnsi"/>
                <w:sz w:val="22"/>
                <w:szCs w:val="22"/>
              </w:rPr>
            </w:pPr>
            <w:r w:rsidRPr="00501EAE">
              <w:rPr>
                <w:rFonts w:asciiTheme="minorHAnsi" w:hAnsiTheme="minorHAnsi" w:cstheme="minorHAnsi"/>
                <w:sz w:val="22"/>
                <w:szCs w:val="22"/>
              </w:rPr>
              <w:t>"Legitimate" may need to be further defined.</w:t>
            </w:r>
          </w:p>
        </w:tc>
      </w:tr>
      <w:tr w:rsidR="007064B7" w:rsidRPr="00501EAE" w14:paraId="6C9343A2" w14:textId="77777777" w:rsidTr="007F34CC">
        <w:trPr>
          <w:trHeight w:val="293"/>
        </w:trPr>
        <w:tc>
          <w:tcPr>
            <w:tcW w:w="3358" w:type="dxa"/>
            <w:shd w:val="clear" w:color="auto" w:fill="E7E6E6" w:themeFill="background2"/>
          </w:tcPr>
          <w:p w14:paraId="2A26B248"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29924CA6" w14:textId="40C67947"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Paragraph does not mention other bases for processing in addition to legal basis (Performance of a Contract, Public Task including maintenance of public order, protection of life). Balancing test in this section (as reflected from Art. 6.1 of the GDPR) does not apply to “processing carried out by public authorities in the performance of their tasks.” Art. 6.1(f)</w:t>
            </w:r>
          </w:p>
        </w:tc>
      </w:tr>
      <w:tr w:rsidR="007064B7" w:rsidRPr="00501EAE" w14:paraId="1E3B501D" w14:textId="77777777" w:rsidTr="007F34CC">
        <w:trPr>
          <w:trHeight w:val="293"/>
        </w:trPr>
        <w:tc>
          <w:tcPr>
            <w:tcW w:w="3358" w:type="dxa"/>
            <w:shd w:val="clear" w:color="auto" w:fill="E7E6E6" w:themeFill="background2"/>
          </w:tcPr>
          <w:p w14:paraId="68969B0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74C75601" w14:textId="77777777" w:rsidR="007064B7" w:rsidRPr="00501EAE" w:rsidRDefault="007064B7" w:rsidP="007F34CC">
            <w:pPr>
              <w:rPr>
                <w:rFonts w:asciiTheme="minorHAnsi" w:hAnsiTheme="minorHAnsi" w:cstheme="minorHAnsi"/>
                <w:sz w:val="22"/>
                <w:szCs w:val="22"/>
              </w:rPr>
            </w:pPr>
          </w:p>
        </w:tc>
      </w:tr>
      <w:tr w:rsidR="007064B7" w:rsidRPr="00501EAE" w14:paraId="5B95C6DB" w14:textId="77777777" w:rsidTr="007F34CC">
        <w:trPr>
          <w:trHeight w:val="293"/>
        </w:trPr>
        <w:tc>
          <w:tcPr>
            <w:tcW w:w="3358" w:type="dxa"/>
            <w:tcBorders>
              <w:bottom w:val="single" w:sz="4" w:space="0" w:color="auto"/>
            </w:tcBorders>
            <w:shd w:val="clear" w:color="auto" w:fill="E7E6E6" w:themeFill="background2"/>
          </w:tcPr>
          <w:p w14:paraId="647D23CD"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2FD36350" w14:textId="77777777" w:rsidR="007064B7" w:rsidRPr="00501EAE" w:rsidRDefault="007064B7" w:rsidP="007F34CC">
            <w:pPr>
              <w:rPr>
                <w:rFonts w:asciiTheme="minorHAnsi" w:hAnsiTheme="minorHAnsi" w:cstheme="minorHAnsi"/>
                <w:sz w:val="22"/>
                <w:szCs w:val="22"/>
              </w:rPr>
            </w:pPr>
          </w:p>
        </w:tc>
      </w:tr>
    </w:tbl>
    <w:p w14:paraId="5996EA99" w14:textId="3BA987FB" w:rsidR="007064B7" w:rsidRPr="00501EAE" w:rsidRDefault="007064B7"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30C860DC" w14:textId="77777777" w:rsidTr="007F34CC">
        <w:trPr>
          <w:trHeight w:val="293"/>
        </w:trPr>
        <w:tc>
          <w:tcPr>
            <w:tcW w:w="12950" w:type="dxa"/>
            <w:gridSpan w:val="2"/>
            <w:shd w:val="clear" w:color="auto" w:fill="E7E6E6" w:themeFill="background2"/>
          </w:tcPr>
          <w:p w14:paraId="33E9F0D1" w14:textId="598D759D" w:rsidR="00A14B4D" w:rsidRPr="00501EAE" w:rsidRDefault="00A14B4D" w:rsidP="00B91E92">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B91E92" w:rsidRPr="00501EAE">
              <w:rPr>
                <w:rFonts w:asciiTheme="minorHAnsi" w:hAnsiTheme="minorHAnsi" w:cstheme="minorHAnsi"/>
                <w:b/>
                <w:sz w:val="22"/>
                <w:szCs w:val="22"/>
              </w:rPr>
              <w:t>3-3.1.6</w:t>
            </w:r>
            <w:r w:rsidR="00B91E92" w:rsidRPr="00501EAE">
              <w:rPr>
                <w:rFonts w:asciiTheme="minorHAnsi" w:hAnsiTheme="minorHAnsi" w:cstheme="minorHAnsi"/>
                <w:sz w:val="22"/>
                <w:szCs w:val="22"/>
              </w:rPr>
              <w:t xml:space="preserve"> </w:t>
            </w:r>
            <w:r w:rsidR="00B91E92" w:rsidRPr="00501EAE">
              <w:rPr>
                <w:rFonts w:asciiTheme="minorHAnsi" w:hAnsiTheme="minorHAnsi" w:cstheme="minorHAnsi"/>
                <w:b/>
                <w:sz w:val="22"/>
                <w:szCs w:val="22"/>
              </w:rPr>
              <w:t>Specific Controller Processing requirements</w:t>
            </w:r>
          </w:p>
        </w:tc>
      </w:tr>
      <w:tr w:rsidR="00A14B4D" w:rsidRPr="00501EAE" w14:paraId="04997438" w14:textId="77777777" w:rsidTr="007F34CC">
        <w:trPr>
          <w:trHeight w:val="293"/>
        </w:trPr>
        <w:tc>
          <w:tcPr>
            <w:tcW w:w="3358" w:type="dxa"/>
            <w:shd w:val="clear" w:color="auto" w:fill="E7E6E6" w:themeFill="background2"/>
          </w:tcPr>
          <w:p w14:paraId="1238B715"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24D46E55" w14:textId="47DEC43A"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The concepts here are all standard with regard to security requirements of the GDPR (resiliency and reliability of systems, etc) and should be discussed in the pdp.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w:t>
            </w:r>
            <w:r w:rsidR="005014E2">
              <w:rPr>
                <w:rFonts w:ascii="Calibri" w:eastAsia="Times New Roman" w:hAnsi="Calibri"/>
                <w:color w:val="000000"/>
                <w:sz w:val="22"/>
                <w:szCs w:val="22"/>
              </w:rPr>
              <w:t xml:space="preserve"> discussion and refinement.  </w:t>
            </w:r>
            <w:r>
              <w:rPr>
                <w:rFonts w:ascii="Calibri" w:eastAsia="Times New Roman" w:hAnsi="Calibri"/>
                <w:color w:val="000000"/>
                <w:sz w:val="22"/>
                <w:szCs w:val="22"/>
              </w:rPr>
              <w:t xml:space="preserve">How the relationship between parties is agreed will impact how these concepts are considered and included in a consensus policy.  (Noting, however, that if a joint controller agreement is appropriate, the drafting of that agreement between the parties (ICANN, RYs, and Rrs) and the associated data processing terms would be outside the scope of the EPDP, per the picket fence).  </w:t>
            </w:r>
          </w:p>
        </w:tc>
      </w:tr>
      <w:tr w:rsidR="00A14B4D" w:rsidRPr="00501EAE" w14:paraId="484A48E4" w14:textId="77777777" w:rsidTr="007F34CC">
        <w:trPr>
          <w:trHeight w:val="293"/>
        </w:trPr>
        <w:tc>
          <w:tcPr>
            <w:tcW w:w="3358" w:type="dxa"/>
            <w:shd w:val="clear" w:color="auto" w:fill="E7E6E6" w:themeFill="background2"/>
          </w:tcPr>
          <w:p w14:paraId="0E0C4ACF"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089E9F19" w14:textId="408DA3F0" w:rsidR="00A14B4D" w:rsidRPr="00501EAE" w:rsidRDefault="000F7C8D" w:rsidP="007F34CC">
            <w:pPr>
              <w:rPr>
                <w:rFonts w:asciiTheme="minorHAnsi" w:hAnsiTheme="minorHAnsi" w:cstheme="minorHAnsi"/>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A14B4D" w:rsidRPr="00501EAE" w14:paraId="653DD3B4" w14:textId="77777777" w:rsidTr="007F34CC">
        <w:trPr>
          <w:trHeight w:val="293"/>
        </w:trPr>
        <w:tc>
          <w:tcPr>
            <w:tcW w:w="3358" w:type="dxa"/>
            <w:shd w:val="clear" w:color="auto" w:fill="E7E6E6" w:themeFill="background2"/>
          </w:tcPr>
          <w:p w14:paraId="64DB1F41"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454AE4F1" w14:textId="77777777" w:rsidR="00A14B4D" w:rsidRPr="00501EAE" w:rsidRDefault="00A14B4D" w:rsidP="007F34CC">
            <w:pPr>
              <w:rPr>
                <w:rFonts w:asciiTheme="minorHAnsi" w:hAnsiTheme="minorHAnsi" w:cstheme="minorHAnsi"/>
                <w:b/>
                <w:sz w:val="22"/>
                <w:szCs w:val="22"/>
              </w:rPr>
            </w:pPr>
          </w:p>
        </w:tc>
      </w:tr>
      <w:tr w:rsidR="00A14B4D" w:rsidRPr="00501EAE" w14:paraId="58CB1B0F" w14:textId="77777777" w:rsidTr="007F34CC">
        <w:trPr>
          <w:trHeight w:val="293"/>
        </w:trPr>
        <w:tc>
          <w:tcPr>
            <w:tcW w:w="3358" w:type="dxa"/>
            <w:shd w:val="clear" w:color="auto" w:fill="E7E6E6" w:themeFill="background2"/>
          </w:tcPr>
          <w:p w14:paraId="0FEF9EA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76A5FC40" w14:textId="44FFC5D1"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BC agrees with this section.   We also suggest the following topic for discussion:   To ensure that processes successfully improve security, stability and privacy without excessive or unpredictable burden on contracted parties, BC suggests that the panel consider RSEP as an example of a similar policy.</w:t>
            </w:r>
          </w:p>
        </w:tc>
      </w:tr>
      <w:tr w:rsidR="00A14B4D" w:rsidRPr="00501EAE" w14:paraId="6B56E00C" w14:textId="77777777" w:rsidTr="007F34CC">
        <w:trPr>
          <w:trHeight w:val="293"/>
        </w:trPr>
        <w:tc>
          <w:tcPr>
            <w:tcW w:w="3358" w:type="dxa"/>
            <w:shd w:val="clear" w:color="auto" w:fill="E7E6E6" w:themeFill="background2"/>
          </w:tcPr>
          <w:p w14:paraId="02D9F960"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25412AEF" w14:textId="77777777" w:rsidR="000031F2" w:rsidRDefault="000031F2" w:rsidP="000031F2">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7F409311" w14:textId="5018E146" w:rsidR="00A14B4D" w:rsidRPr="00501EAE" w:rsidRDefault="000F7C8D" w:rsidP="007F34CC">
            <w:pPr>
              <w:rPr>
                <w:rFonts w:asciiTheme="minorHAnsi" w:eastAsia="Times New Roman" w:hAnsiTheme="minorHAnsi"/>
                <w:color w:val="000000"/>
                <w:sz w:val="22"/>
                <w:szCs w:val="22"/>
              </w:rPr>
            </w:pPr>
            <w:r w:rsidRPr="000F7C8D">
              <w:rPr>
                <w:rFonts w:asciiTheme="minorHAnsi" w:eastAsia="Times New Roman" w:hAnsiTheme="minorHAnsi"/>
                <w:color w:val="000000"/>
                <w:sz w:val="22"/>
                <w:szCs w:val="22"/>
              </w:rPr>
              <w:lastRenderedPageBreak/>
              <w:t xml:space="preserve">Additionally, informing data subjects adequately requires information about other processing activities and not only those between registries and registrars, namely Escrow, ICANN and EBERO. Information on that needs to be provided by ICANN to be included in the information duties. </w:t>
            </w:r>
          </w:p>
        </w:tc>
      </w:tr>
      <w:tr w:rsidR="00A14B4D" w:rsidRPr="00501EAE" w14:paraId="6D81CC8F" w14:textId="77777777" w:rsidTr="007F34CC">
        <w:trPr>
          <w:trHeight w:val="293"/>
        </w:trPr>
        <w:tc>
          <w:tcPr>
            <w:tcW w:w="3358" w:type="dxa"/>
            <w:shd w:val="clear" w:color="auto" w:fill="E7E6E6" w:themeFill="background2"/>
          </w:tcPr>
          <w:p w14:paraId="7EDE1A47"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29A3019E" w14:textId="77777777" w:rsidR="00A14B4D" w:rsidRPr="00501EAE" w:rsidRDefault="00A14B4D" w:rsidP="007F34CC">
            <w:pPr>
              <w:rPr>
                <w:rFonts w:asciiTheme="minorHAnsi" w:hAnsiTheme="minorHAnsi" w:cstheme="minorHAnsi"/>
                <w:b/>
                <w:sz w:val="22"/>
                <w:szCs w:val="22"/>
              </w:rPr>
            </w:pPr>
          </w:p>
        </w:tc>
      </w:tr>
      <w:tr w:rsidR="00A14B4D" w:rsidRPr="00501EAE" w14:paraId="5C201875" w14:textId="77777777" w:rsidTr="007F34CC">
        <w:trPr>
          <w:trHeight w:val="293"/>
        </w:trPr>
        <w:tc>
          <w:tcPr>
            <w:tcW w:w="3358" w:type="dxa"/>
            <w:shd w:val="clear" w:color="auto" w:fill="E7E6E6" w:themeFill="background2"/>
          </w:tcPr>
          <w:p w14:paraId="279172B3"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11EA1479" w14:textId="3548D631"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3.1.2 may need to have "necessary or appropriate" better defined.    3.1.5 while a good idea, it is not clear how this could be done other than hiring benevolent hackers to test your defenses.</w:t>
            </w:r>
          </w:p>
        </w:tc>
      </w:tr>
      <w:tr w:rsidR="00A14B4D" w:rsidRPr="00501EAE" w14:paraId="36496022" w14:textId="77777777" w:rsidTr="007F34CC">
        <w:trPr>
          <w:trHeight w:val="293"/>
        </w:trPr>
        <w:tc>
          <w:tcPr>
            <w:tcW w:w="3358" w:type="dxa"/>
            <w:shd w:val="clear" w:color="auto" w:fill="E7E6E6" w:themeFill="background2"/>
          </w:tcPr>
          <w:p w14:paraId="56572AAD"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690D1772" w14:textId="2612A254" w:rsidR="00A14B4D" w:rsidRPr="00501EAE" w:rsidRDefault="00A14B4D" w:rsidP="007F34CC">
            <w:pPr>
              <w:rPr>
                <w:rFonts w:asciiTheme="minorHAnsi" w:eastAsia="Times New Roman" w:hAnsiTheme="minorHAnsi"/>
                <w:color w:val="000000"/>
                <w:sz w:val="22"/>
                <w:szCs w:val="22"/>
              </w:rPr>
            </w:pPr>
          </w:p>
        </w:tc>
      </w:tr>
      <w:tr w:rsidR="00A14B4D" w:rsidRPr="00501EAE" w14:paraId="2A3CF214" w14:textId="77777777" w:rsidTr="007F34CC">
        <w:trPr>
          <w:trHeight w:val="293"/>
        </w:trPr>
        <w:tc>
          <w:tcPr>
            <w:tcW w:w="3358" w:type="dxa"/>
            <w:shd w:val="clear" w:color="auto" w:fill="E7E6E6" w:themeFill="background2"/>
          </w:tcPr>
          <w:p w14:paraId="37F9CB8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5019EFD" w14:textId="77777777" w:rsidR="00A14B4D" w:rsidRPr="00501EAE" w:rsidRDefault="00A14B4D" w:rsidP="007F34CC">
            <w:pPr>
              <w:rPr>
                <w:rFonts w:asciiTheme="minorHAnsi" w:hAnsiTheme="minorHAnsi" w:cstheme="minorHAnsi"/>
                <w:sz w:val="22"/>
                <w:szCs w:val="22"/>
              </w:rPr>
            </w:pPr>
          </w:p>
        </w:tc>
      </w:tr>
      <w:tr w:rsidR="00A14B4D" w:rsidRPr="00501EAE" w14:paraId="48C045D8" w14:textId="77777777" w:rsidTr="007F34CC">
        <w:trPr>
          <w:trHeight w:val="293"/>
        </w:trPr>
        <w:tc>
          <w:tcPr>
            <w:tcW w:w="3358" w:type="dxa"/>
            <w:tcBorders>
              <w:bottom w:val="single" w:sz="4" w:space="0" w:color="auto"/>
            </w:tcBorders>
            <w:shd w:val="clear" w:color="auto" w:fill="E7E6E6" w:themeFill="background2"/>
          </w:tcPr>
          <w:p w14:paraId="7F1FBC82"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7F8FBFDC" w14:textId="77777777" w:rsidR="00A14B4D" w:rsidRPr="00501EAE" w:rsidRDefault="00A14B4D" w:rsidP="007F34CC">
            <w:pPr>
              <w:rPr>
                <w:rFonts w:asciiTheme="minorHAnsi" w:hAnsiTheme="minorHAnsi" w:cstheme="minorHAnsi"/>
                <w:sz w:val="22"/>
                <w:szCs w:val="22"/>
              </w:rPr>
            </w:pPr>
          </w:p>
        </w:tc>
      </w:tr>
    </w:tbl>
    <w:p w14:paraId="71D2829F" w14:textId="5CAB504C" w:rsidR="00A14B4D" w:rsidRPr="00501EAE" w:rsidRDefault="00A14B4D"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752B0A11" w14:textId="77777777" w:rsidTr="007F34CC">
        <w:trPr>
          <w:trHeight w:val="293"/>
        </w:trPr>
        <w:tc>
          <w:tcPr>
            <w:tcW w:w="12950" w:type="dxa"/>
            <w:gridSpan w:val="2"/>
            <w:shd w:val="clear" w:color="auto" w:fill="E7E6E6" w:themeFill="background2"/>
          </w:tcPr>
          <w:p w14:paraId="7C26BCEF" w14:textId="3F303575" w:rsidR="00A14B4D" w:rsidRPr="00501EAE" w:rsidRDefault="00A14B4D" w:rsidP="00501EAE">
            <w:pPr>
              <w:rPr>
                <w:rFonts w:asciiTheme="minorHAnsi" w:hAnsiTheme="minorHAnsi" w:cstheme="minorHAnsi"/>
                <w:b/>
                <w:sz w:val="22"/>
                <w:szCs w:val="22"/>
              </w:rPr>
            </w:pPr>
            <w:r w:rsidRPr="00501EAE">
              <w:rPr>
                <w:rFonts w:asciiTheme="minorHAnsi" w:hAnsiTheme="minorHAnsi" w:cstheme="minorHAnsi"/>
                <w:b/>
                <w:sz w:val="22"/>
                <w:szCs w:val="22"/>
              </w:rPr>
              <w:t xml:space="preserve">Proposed </w:t>
            </w:r>
            <w:r w:rsidR="00501EAE">
              <w:rPr>
                <w:rFonts w:asciiTheme="minorHAnsi" w:hAnsiTheme="minorHAnsi" w:cstheme="minorHAnsi"/>
                <w:b/>
                <w:sz w:val="22"/>
                <w:szCs w:val="22"/>
              </w:rPr>
              <w:t xml:space="preserve">Changes / Rationale for Change </w:t>
            </w:r>
            <w:r w:rsidR="00501EAE" w:rsidRPr="00501EAE">
              <w:rPr>
                <w:rFonts w:asciiTheme="minorHAnsi" w:hAnsiTheme="minorHAnsi" w:cstheme="minorHAnsi"/>
                <w:b/>
                <w:sz w:val="22"/>
                <w:szCs w:val="22"/>
              </w:rPr>
              <w:t>3.2-3.7</w:t>
            </w:r>
            <w:r w:rsidR="00797421" w:rsidRPr="00501EAE">
              <w:rPr>
                <w:rFonts w:asciiTheme="minorHAnsi" w:hAnsiTheme="minorHAnsi" w:cstheme="minorHAnsi"/>
                <w:b/>
                <w:sz w:val="22"/>
                <w:szCs w:val="22"/>
              </w:rPr>
              <w:t xml:space="preserve"> </w:t>
            </w:r>
            <w:r w:rsidR="00501EAE">
              <w:rPr>
                <w:rFonts w:asciiTheme="minorHAnsi" w:hAnsiTheme="minorHAnsi" w:cstheme="minorHAnsi"/>
                <w:b/>
                <w:sz w:val="22"/>
                <w:szCs w:val="22"/>
              </w:rPr>
              <w:t>Specific Controller Processing requirements</w:t>
            </w:r>
          </w:p>
        </w:tc>
      </w:tr>
      <w:tr w:rsidR="00A14B4D" w:rsidRPr="00501EAE" w14:paraId="299BB517" w14:textId="77777777" w:rsidTr="007F34CC">
        <w:trPr>
          <w:trHeight w:val="293"/>
        </w:trPr>
        <w:tc>
          <w:tcPr>
            <w:tcW w:w="3358" w:type="dxa"/>
            <w:shd w:val="clear" w:color="auto" w:fill="E7E6E6" w:themeFill="background2"/>
          </w:tcPr>
          <w:p w14:paraId="0F2E281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78C49BD8" w14:textId="564BD86F" w:rsidR="00A14B4D" w:rsidRPr="00A07B87" w:rsidRDefault="00A07B87" w:rsidP="007F34CC">
            <w:pPr>
              <w:rPr>
                <w:rFonts w:ascii="Calibri" w:eastAsia="Times New Roman" w:hAnsi="Calibri"/>
                <w:color w:val="000000"/>
                <w:sz w:val="22"/>
                <w:szCs w:val="22"/>
              </w:rPr>
            </w:pPr>
            <w:r>
              <w:rPr>
                <w:rFonts w:ascii="Calibri" w:eastAsia="Times New Roman" w:hAnsi="Calibri"/>
                <w:color w:val="000000"/>
                <w:sz w:val="22"/>
                <w:szCs w:val="22"/>
              </w:rPr>
              <w:t xml:space="preserve">The concepts here are all standard with regard to security requirements of the GDPR (resiliency and reliability of systems, etc) and should be discussed in the pdp.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agrement is appropriate, the drafting of that agreement between the parties (ICANN, RYs, and Rrs) and the associated data processing terms would be outside the scope of the ePDP, per the picket fence).  </w:t>
            </w:r>
          </w:p>
        </w:tc>
      </w:tr>
      <w:tr w:rsidR="00A14B4D" w:rsidRPr="00501EAE" w14:paraId="1DB9D7D1" w14:textId="77777777" w:rsidTr="007F34CC">
        <w:trPr>
          <w:trHeight w:val="293"/>
        </w:trPr>
        <w:tc>
          <w:tcPr>
            <w:tcW w:w="3358" w:type="dxa"/>
            <w:shd w:val="clear" w:color="auto" w:fill="E7E6E6" w:themeFill="background2"/>
          </w:tcPr>
          <w:p w14:paraId="557F0480"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04DC97D7" w14:textId="36D72742" w:rsidR="00A14B4D" w:rsidRPr="00501EAE" w:rsidRDefault="000031F2" w:rsidP="007F34CC">
            <w:pPr>
              <w:rPr>
                <w:rFonts w:asciiTheme="minorHAnsi" w:hAnsiTheme="minorHAnsi" w:cstheme="minorHAnsi"/>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A14B4D" w:rsidRPr="00501EAE" w14:paraId="2D519339" w14:textId="77777777" w:rsidTr="007F34CC">
        <w:trPr>
          <w:trHeight w:val="293"/>
        </w:trPr>
        <w:tc>
          <w:tcPr>
            <w:tcW w:w="3358" w:type="dxa"/>
            <w:shd w:val="clear" w:color="auto" w:fill="E7E6E6" w:themeFill="background2"/>
          </w:tcPr>
          <w:p w14:paraId="7D99360D"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79BB9BB6" w14:textId="77777777" w:rsidR="00A14B4D" w:rsidRPr="00501EAE" w:rsidRDefault="00A14B4D" w:rsidP="007F34CC">
            <w:pPr>
              <w:rPr>
                <w:rFonts w:asciiTheme="minorHAnsi" w:hAnsiTheme="minorHAnsi" w:cstheme="minorHAnsi"/>
                <w:b/>
                <w:sz w:val="22"/>
                <w:szCs w:val="22"/>
              </w:rPr>
            </w:pPr>
          </w:p>
        </w:tc>
      </w:tr>
      <w:tr w:rsidR="00A14B4D" w:rsidRPr="00501EAE" w14:paraId="71F0DA6A" w14:textId="77777777" w:rsidTr="007F34CC">
        <w:trPr>
          <w:trHeight w:val="293"/>
        </w:trPr>
        <w:tc>
          <w:tcPr>
            <w:tcW w:w="3358" w:type="dxa"/>
            <w:shd w:val="clear" w:color="auto" w:fill="E7E6E6" w:themeFill="background2"/>
          </w:tcPr>
          <w:p w14:paraId="2D89C029"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189D9F31" w14:textId="6482D6AF" w:rsidR="00A14B4D" w:rsidRPr="00A07B87" w:rsidRDefault="00A07B87" w:rsidP="007F34CC">
            <w:pPr>
              <w:rPr>
                <w:rFonts w:ascii="Calibri" w:eastAsia="Times New Roman" w:hAnsi="Calibri"/>
                <w:color w:val="000000"/>
                <w:sz w:val="22"/>
                <w:szCs w:val="22"/>
              </w:rPr>
            </w:pPr>
            <w:r>
              <w:rPr>
                <w:rFonts w:ascii="Calibri" w:eastAsia="Times New Roman" w:hAnsi="Calibri"/>
                <w:color w:val="000000"/>
                <w:sz w:val="22"/>
                <w:szCs w:val="22"/>
              </w:rPr>
              <w:t>BC agrees with this section.  We also suggest the following add</w:t>
            </w:r>
            <w:r w:rsidR="00AB25B7">
              <w:rPr>
                <w:rFonts w:ascii="Calibri" w:eastAsia="Times New Roman" w:hAnsi="Calibri"/>
                <w:color w:val="000000"/>
                <w:sz w:val="22"/>
                <w:szCs w:val="22"/>
              </w:rPr>
              <w:t xml:space="preserve">itional topic for discussion:  </w:t>
            </w:r>
            <w:r>
              <w:rPr>
                <w:rFonts w:ascii="Calibri" w:eastAsia="Times New Roman" w:hAnsi="Calibri"/>
                <w:color w:val="000000"/>
                <w:sz w:val="22"/>
                <w:szCs w:val="22"/>
              </w:rPr>
              <w:t>Similar to the language of the RAA,  ICANN should develop and propose standard language that could be used as guidance to the contracted parties to meet the transparency requirements in 3.5.1 with regard to the use of WHOIS contact data.</w:t>
            </w:r>
          </w:p>
        </w:tc>
      </w:tr>
      <w:tr w:rsidR="00A14B4D" w:rsidRPr="00501EAE" w14:paraId="1FD87BD6" w14:textId="77777777" w:rsidTr="007F34CC">
        <w:trPr>
          <w:trHeight w:val="293"/>
        </w:trPr>
        <w:tc>
          <w:tcPr>
            <w:tcW w:w="3358" w:type="dxa"/>
            <w:shd w:val="clear" w:color="auto" w:fill="E7E6E6" w:themeFill="background2"/>
          </w:tcPr>
          <w:p w14:paraId="3FF7F684"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79AE3CFD" w14:textId="77777777" w:rsidR="00A07B87" w:rsidRDefault="00A07B87" w:rsidP="00A07B87">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26B8EFE9" w14:textId="2C66B3DE" w:rsidR="00A14B4D" w:rsidRPr="00501EAE" w:rsidRDefault="00A07B87" w:rsidP="00A07B87">
            <w:pPr>
              <w:rPr>
                <w:rFonts w:asciiTheme="minorHAnsi" w:hAnsiTheme="minorHAnsi" w:cstheme="minorHAnsi"/>
                <w:sz w:val="22"/>
                <w:szCs w:val="22"/>
              </w:rPr>
            </w:pPr>
            <w:r w:rsidRPr="000F7C8D">
              <w:rPr>
                <w:rFonts w:asciiTheme="minorHAnsi" w:eastAsia="Times New Roman" w:hAnsiTheme="minorHAnsi"/>
                <w:color w:val="000000"/>
                <w:sz w:val="22"/>
                <w:szCs w:val="22"/>
              </w:rPr>
              <w:lastRenderedPageBreak/>
              <w:t>Additionally, informing data subjects adequately requires information about other processing activities and not only those between registries and registrars, namely Escrow, ICANN and EBERO. Information on that needs to be provided by ICANN to be included in the information duties.</w:t>
            </w:r>
          </w:p>
        </w:tc>
      </w:tr>
      <w:tr w:rsidR="00A14B4D" w:rsidRPr="00501EAE" w14:paraId="15F57634" w14:textId="77777777" w:rsidTr="007F34CC">
        <w:trPr>
          <w:trHeight w:val="293"/>
        </w:trPr>
        <w:tc>
          <w:tcPr>
            <w:tcW w:w="3358" w:type="dxa"/>
            <w:shd w:val="clear" w:color="auto" w:fill="E7E6E6" w:themeFill="background2"/>
          </w:tcPr>
          <w:p w14:paraId="4F139170"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3CBF6794" w14:textId="1010D6C2"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The NCSG believes that more detail is required in this section in terms of how privacy-by-design ought to be implemented.</w:t>
            </w:r>
          </w:p>
        </w:tc>
      </w:tr>
      <w:tr w:rsidR="00A14B4D" w:rsidRPr="00501EAE" w14:paraId="5D919A5C" w14:textId="77777777" w:rsidTr="009D3C15">
        <w:trPr>
          <w:trHeight w:val="323"/>
        </w:trPr>
        <w:tc>
          <w:tcPr>
            <w:tcW w:w="3358" w:type="dxa"/>
            <w:shd w:val="clear" w:color="auto" w:fill="E7E6E6" w:themeFill="background2"/>
          </w:tcPr>
          <w:p w14:paraId="04C46FC7"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7F00D252" w14:textId="77777777" w:rsidR="00A14B4D" w:rsidRPr="00501EAE" w:rsidRDefault="00A14B4D" w:rsidP="007F34CC">
            <w:pPr>
              <w:rPr>
                <w:rFonts w:asciiTheme="minorHAnsi" w:hAnsiTheme="minorHAnsi" w:cstheme="minorHAnsi"/>
                <w:b/>
                <w:sz w:val="22"/>
                <w:szCs w:val="22"/>
              </w:rPr>
            </w:pPr>
          </w:p>
        </w:tc>
      </w:tr>
      <w:tr w:rsidR="009D3C15" w:rsidRPr="00501EAE" w14:paraId="605430CB" w14:textId="77777777" w:rsidTr="007F34CC">
        <w:trPr>
          <w:trHeight w:val="293"/>
        </w:trPr>
        <w:tc>
          <w:tcPr>
            <w:tcW w:w="3358" w:type="dxa"/>
            <w:shd w:val="clear" w:color="auto" w:fill="E7E6E6" w:themeFill="background2"/>
          </w:tcPr>
          <w:p w14:paraId="35DB9DF4"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5476E03" w14:textId="5B243114" w:rsidR="009D3C15" w:rsidRPr="00501EAE" w:rsidRDefault="009D3C15" w:rsidP="007F34CC">
            <w:pPr>
              <w:rPr>
                <w:rFonts w:asciiTheme="minorHAnsi" w:hAnsiTheme="minorHAnsi" w:cstheme="minorHAnsi"/>
                <w:b/>
                <w:sz w:val="22"/>
                <w:szCs w:val="22"/>
              </w:rPr>
            </w:pPr>
            <w:r w:rsidRPr="000F7C8D">
              <w:rPr>
                <w:rFonts w:asciiTheme="minorHAnsi" w:eastAsia="Times New Roman" w:hAnsiTheme="minorHAnsi"/>
                <w:color w:val="000000"/>
                <w:sz w:val="22"/>
                <w:szCs w:val="22"/>
              </w:rPr>
              <w:t xml:space="preserve">Section 3.5: before the GAC can confirm whether to support this section or not, it remains to be clarified whether this section is intended to cover disclosure of actual law enforcement requests for personal data.  </w:t>
            </w:r>
          </w:p>
        </w:tc>
      </w:tr>
      <w:tr w:rsidR="009D3C15" w:rsidRPr="00501EAE" w14:paraId="4022A92E" w14:textId="77777777" w:rsidTr="007F34CC">
        <w:trPr>
          <w:trHeight w:val="293"/>
        </w:trPr>
        <w:tc>
          <w:tcPr>
            <w:tcW w:w="3358" w:type="dxa"/>
            <w:shd w:val="clear" w:color="auto" w:fill="E7E6E6" w:themeFill="background2"/>
          </w:tcPr>
          <w:p w14:paraId="18E0D56F"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468B634" w14:textId="77777777" w:rsidR="009D3C15" w:rsidRPr="00501EAE" w:rsidRDefault="009D3C15" w:rsidP="007F34CC">
            <w:pPr>
              <w:rPr>
                <w:rFonts w:asciiTheme="minorHAnsi" w:hAnsiTheme="minorHAnsi" w:cstheme="minorHAnsi"/>
                <w:sz w:val="22"/>
                <w:szCs w:val="22"/>
              </w:rPr>
            </w:pPr>
          </w:p>
        </w:tc>
      </w:tr>
      <w:tr w:rsidR="009D3C15" w:rsidRPr="00501EAE" w14:paraId="1E774C1D" w14:textId="77777777" w:rsidTr="007F34CC">
        <w:trPr>
          <w:trHeight w:val="293"/>
        </w:trPr>
        <w:tc>
          <w:tcPr>
            <w:tcW w:w="3358" w:type="dxa"/>
            <w:tcBorders>
              <w:bottom w:val="single" w:sz="4" w:space="0" w:color="auto"/>
            </w:tcBorders>
            <w:shd w:val="clear" w:color="auto" w:fill="E7E6E6" w:themeFill="background2"/>
          </w:tcPr>
          <w:p w14:paraId="0CC11DB6"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679D73FB" w14:textId="77777777" w:rsidR="009D3C15" w:rsidRPr="00501EAE" w:rsidRDefault="009D3C15" w:rsidP="007F34CC">
            <w:pPr>
              <w:rPr>
                <w:rFonts w:asciiTheme="minorHAnsi" w:hAnsiTheme="minorHAnsi" w:cstheme="minorHAnsi"/>
                <w:sz w:val="22"/>
                <w:szCs w:val="22"/>
              </w:rPr>
            </w:pPr>
          </w:p>
        </w:tc>
      </w:tr>
    </w:tbl>
    <w:p w14:paraId="12ACC1E3" w14:textId="77777777" w:rsidR="009F4D83" w:rsidRPr="00501EAE" w:rsidRDefault="009F4D83"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7C79EAF8" w14:textId="77777777" w:rsidTr="007F34CC">
        <w:trPr>
          <w:trHeight w:val="293"/>
        </w:trPr>
        <w:tc>
          <w:tcPr>
            <w:tcW w:w="12950" w:type="dxa"/>
            <w:gridSpan w:val="2"/>
            <w:shd w:val="clear" w:color="auto" w:fill="E7E6E6" w:themeFill="background2"/>
          </w:tcPr>
          <w:p w14:paraId="2B8084F8" w14:textId="67BBA73E"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AB25B7" w:rsidRPr="00501EAE">
              <w:rPr>
                <w:rFonts w:asciiTheme="minorHAnsi" w:hAnsiTheme="minorHAnsi" w:cstheme="minorHAnsi"/>
                <w:b/>
                <w:sz w:val="22"/>
                <w:szCs w:val="22"/>
              </w:rPr>
              <w:t>3.8-3.11</w:t>
            </w:r>
            <w:r w:rsidR="00AB25B7" w:rsidRPr="00501EAE">
              <w:rPr>
                <w:rFonts w:asciiTheme="minorHAnsi" w:hAnsiTheme="minorHAnsi" w:cstheme="minorHAnsi"/>
                <w:sz w:val="22"/>
                <w:szCs w:val="22"/>
              </w:rPr>
              <w:t xml:space="preserve"> </w:t>
            </w:r>
            <w:r w:rsidR="00AB25B7">
              <w:rPr>
                <w:rFonts w:asciiTheme="minorHAnsi" w:hAnsiTheme="minorHAnsi" w:cstheme="minorHAnsi"/>
                <w:b/>
                <w:sz w:val="22"/>
                <w:szCs w:val="22"/>
              </w:rPr>
              <w:t>Specific Controller Processing requirements</w:t>
            </w:r>
          </w:p>
        </w:tc>
      </w:tr>
      <w:tr w:rsidR="00A14B4D" w:rsidRPr="00501EAE" w14:paraId="61AF7822" w14:textId="77777777" w:rsidTr="007F34CC">
        <w:trPr>
          <w:trHeight w:val="293"/>
        </w:trPr>
        <w:tc>
          <w:tcPr>
            <w:tcW w:w="3358" w:type="dxa"/>
            <w:shd w:val="clear" w:color="auto" w:fill="E7E6E6" w:themeFill="background2"/>
          </w:tcPr>
          <w:p w14:paraId="6C3813DE"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3E5F1B84" w14:textId="1D6045C0" w:rsidR="00A14B4D" w:rsidRPr="00AB25B7" w:rsidRDefault="00AB25B7" w:rsidP="007F34CC">
            <w:pPr>
              <w:rPr>
                <w:rFonts w:ascii="Calibri" w:eastAsia="Times New Roman" w:hAnsi="Calibri"/>
                <w:color w:val="000000"/>
                <w:sz w:val="22"/>
                <w:szCs w:val="22"/>
              </w:rPr>
            </w:pPr>
            <w:r>
              <w:rPr>
                <w:rFonts w:ascii="Calibri" w:eastAsia="Times New Roman" w:hAnsi="Calibri"/>
                <w:color w:val="000000"/>
                <w:sz w:val="22"/>
                <w:szCs w:val="22"/>
              </w:rPr>
              <w:t>The concepts here are all standard with regard to security requirements of the GDPR (resiliency and reliability of systems, etc) and should be discussed in the pdp.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deemed appropriate, the drafting of that agreement between the parties (ICANN, RYs, and Rrs) and the associated data processing terms would be outside the scope of the EPDP, as per the picket fence).    Further, specifying the technical standards for security, unless required for interoperability among the parties, is not necessary as GDPR does not require specific or "best in class" security. The requirement is for the security measures to fit the sensitivity of the data.</w:t>
            </w:r>
          </w:p>
        </w:tc>
      </w:tr>
      <w:tr w:rsidR="00A14B4D" w:rsidRPr="00501EAE" w14:paraId="0D40BB71" w14:textId="77777777" w:rsidTr="007F34CC">
        <w:trPr>
          <w:trHeight w:val="293"/>
        </w:trPr>
        <w:tc>
          <w:tcPr>
            <w:tcW w:w="3358" w:type="dxa"/>
            <w:shd w:val="clear" w:color="auto" w:fill="E7E6E6" w:themeFill="background2"/>
          </w:tcPr>
          <w:p w14:paraId="23A0A0BF"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RrSG</w:t>
            </w:r>
          </w:p>
        </w:tc>
        <w:tc>
          <w:tcPr>
            <w:tcW w:w="9592" w:type="dxa"/>
          </w:tcPr>
          <w:p w14:paraId="6443848B" w14:textId="2448DC18" w:rsidR="00A14B4D" w:rsidRPr="00B41DEC" w:rsidRDefault="00B41DEC" w:rsidP="007F34CC">
            <w:pPr>
              <w:rPr>
                <w:rFonts w:ascii="Calibri" w:eastAsia="Times New Roman" w:hAnsi="Calibri"/>
                <w:color w:val="000000"/>
                <w:sz w:val="22"/>
                <w:szCs w:val="22"/>
              </w:rPr>
            </w:pPr>
            <w:r>
              <w:rPr>
                <w:rFonts w:ascii="Calibri" w:eastAsia="Times New Roman" w:hAnsi="Calibri"/>
                <w:color w:val="000000"/>
                <w:sz w:val="22"/>
                <w:szCs w:val="22"/>
              </w:rPr>
              <w:t>The RrSG understands that this section is reiterating Art 32 GDPR. However, the specific examples (3.8.1-3.8.8) should not be referenced in the specification, because they are not mandatory. They are overly specific and will q</w:t>
            </w:r>
            <w:r w:rsidR="000D6CCD">
              <w:rPr>
                <w:rFonts w:ascii="Calibri" w:eastAsia="Times New Roman" w:hAnsi="Calibri"/>
                <w:color w:val="000000"/>
                <w:sz w:val="22"/>
                <w:szCs w:val="22"/>
              </w:rPr>
              <w:t xml:space="preserve">uickly become out of date, and </w:t>
            </w:r>
            <w:r>
              <w:rPr>
                <w:rFonts w:ascii="Calibri" w:eastAsia="Times New Roman" w:hAnsi="Calibri"/>
                <w:color w:val="000000"/>
                <w:sz w:val="22"/>
                <w:szCs w:val="22"/>
              </w:rPr>
              <w:t>may set up unrealistic expectations in the event of a regulatory intervention.  ICANN is welcome to publish non-binding guidance to help registrars comply, but each registrar is different, with diverse of</w:t>
            </w:r>
            <w:r w:rsidR="000D6CCD">
              <w:rPr>
                <w:rFonts w:ascii="Calibri" w:eastAsia="Times New Roman" w:hAnsi="Calibri"/>
                <w:color w:val="000000"/>
                <w:sz w:val="22"/>
                <w:szCs w:val="22"/>
              </w:rPr>
              <w:t xml:space="preserve">ferings and business models.   </w:t>
            </w:r>
            <w:r>
              <w:rPr>
                <w:rFonts w:ascii="Calibri" w:eastAsia="Times New Roman" w:hAnsi="Calibri"/>
                <w:color w:val="000000"/>
                <w:sz w:val="22"/>
                <w:szCs w:val="22"/>
              </w:rPr>
              <w:t xml:space="preserve">Breach notification is an area where, potentially, ICANN could helpfully play a coordinating role and offer support. This section 3.9 </w:t>
            </w:r>
            <w:r>
              <w:rPr>
                <w:rFonts w:ascii="Calibri" w:eastAsia="Times New Roman" w:hAnsi="Calibri"/>
                <w:color w:val="000000"/>
                <w:sz w:val="22"/>
                <w:szCs w:val="22"/>
              </w:rPr>
              <w:lastRenderedPageBreak/>
              <w:t>could lay the foundation of a richer process that is outside of the Temp Spec.    3.10 -  There should be some carve out for transfers of data that are necessary for the fulfilment of the contract of registration.</w:t>
            </w:r>
          </w:p>
        </w:tc>
      </w:tr>
      <w:tr w:rsidR="00A14B4D" w:rsidRPr="00501EAE" w14:paraId="3D028B35" w14:textId="77777777" w:rsidTr="007F34CC">
        <w:trPr>
          <w:trHeight w:val="293"/>
        </w:trPr>
        <w:tc>
          <w:tcPr>
            <w:tcW w:w="3358" w:type="dxa"/>
            <w:shd w:val="clear" w:color="auto" w:fill="E7E6E6" w:themeFill="background2"/>
          </w:tcPr>
          <w:p w14:paraId="07638398"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0FBC11C6" w14:textId="46B66AF2" w:rsidR="00A14B4D" w:rsidRPr="00C32136" w:rsidRDefault="00C32136" w:rsidP="007F34CC">
            <w:pPr>
              <w:rPr>
                <w:rFonts w:ascii="Calibri" w:eastAsia="Times New Roman" w:hAnsi="Calibri"/>
                <w:color w:val="000000"/>
                <w:sz w:val="22"/>
                <w:szCs w:val="22"/>
              </w:rPr>
            </w:pPr>
            <w:r>
              <w:rPr>
                <w:rFonts w:ascii="Calibri" w:eastAsia="Times New Roman" w:hAnsi="Calibri"/>
                <w:color w:val="000000"/>
                <w:sz w:val="22"/>
                <w:szCs w:val="22"/>
              </w:rPr>
              <w:t xml:space="preserve">The IPC agrees with the substance of this question however the following updates should be made.     In section 3.8 the term “natural persons” should be </w:t>
            </w:r>
            <w:r w:rsidR="00921650">
              <w:rPr>
                <w:rFonts w:ascii="Calibri" w:eastAsia="Times New Roman" w:hAnsi="Calibri"/>
                <w:color w:val="000000"/>
                <w:sz w:val="22"/>
                <w:szCs w:val="22"/>
              </w:rPr>
              <w:t xml:space="preserve">replaced by “data subjects” </w:t>
            </w:r>
            <w:r>
              <w:rPr>
                <w:rFonts w:ascii="Calibri" w:eastAsia="Times New Roman" w:hAnsi="Calibri"/>
                <w:color w:val="000000"/>
                <w:sz w:val="22"/>
                <w:szCs w:val="22"/>
              </w:rPr>
              <w:t>In section 3.10 there is a typo that should be fixed. “compliance with the terms *of* this Section 3.10,</w:t>
            </w:r>
          </w:p>
        </w:tc>
      </w:tr>
      <w:tr w:rsidR="00A14B4D" w:rsidRPr="00501EAE" w14:paraId="69DE3663" w14:textId="77777777" w:rsidTr="007F34CC">
        <w:trPr>
          <w:trHeight w:val="293"/>
        </w:trPr>
        <w:tc>
          <w:tcPr>
            <w:tcW w:w="3358" w:type="dxa"/>
            <w:shd w:val="clear" w:color="auto" w:fill="E7E6E6" w:themeFill="background2"/>
          </w:tcPr>
          <w:p w14:paraId="25A3458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03AEF449" w14:textId="77777777" w:rsidR="00A14B4D" w:rsidRPr="00501EAE" w:rsidRDefault="00A14B4D" w:rsidP="007F34CC">
            <w:pPr>
              <w:rPr>
                <w:rFonts w:asciiTheme="minorHAnsi" w:hAnsiTheme="minorHAnsi" w:cstheme="minorHAnsi"/>
                <w:b/>
                <w:sz w:val="22"/>
                <w:szCs w:val="22"/>
              </w:rPr>
            </w:pPr>
          </w:p>
        </w:tc>
      </w:tr>
      <w:tr w:rsidR="00AB25B7" w:rsidRPr="00501EAE" w14:paraId="53E33BEE" w14:textId="77777777" w:rsidTr="007F34CC">
        <w:trPr>
          <w:trHeight w:val="293"/>
        </w:trPr>
        <w:tc>
          <w:tcPr>
            <w:tcW w:w="3358" w:type="dxa"/>
            <w:shd w:val="clear" w:color="auto" w:fill="E7E6E6" w:themeFill="background2"/>
          </w:tcPr>
          <w:p w14:paraId="0CD951B4" w14:textId="77777777" w:rsidR="00AB25B7" w:rsidRPr="00501EAE" w:rsidRDefault="00AB25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4EACA6AC" w14:textId="77777777" w:rsidR="000D6CCD" w:rsidRDefault="000D6CCD" w:rsidP="000D6CCD">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082022C9" w14:textId="5082F24B" w:rsidR="00AB25B7" w:rsidRPr="00501EAE" w:rsidRDefault="000D6CCD" w:rsidP="000D6CCD">
            <w:pPr>
              <w:rPr>
                <w:rFonts w:asciiTheme="minorHAnsi" w:hAnsiTheme="minorHAnsi" w:cstheme="minorHAnsi"/>
                <w:sz w:val="22"/>
                <w:szCs w:val="22"/>
              </w:rPr>
            </w:pPr>
            <w:r w:rsidRPr="000F7C8D">
              <w:rPr>
                <w:rFonts w:asciiTheme="minorHAnsi" w:eastAsia="Times New Roman" w:hAnsiTheme="minorHAnsi"/>
                <w:color w:val="000000"/>
                <w:sz w:val="22"/>
                <w:szCs w:val="22"/>
              </w:rPr>
              <w:t>Additionally, informing data subjects adequately requires information about other processing activities and not only those between registries and registrars, namely Escrow, ICANN and EBERO. Information on that needs to be provided by ICANN to be included in the information duties.</w:t>
            </w:r>
          </w:p>
        </w:tc>
      </w:tr>
      <w:tr w:rsidR="00AB25B7" w:rsidRPr="00501EAE" w14:paraId="3C75DBDA" w14:textId="77777777" w:rsidTr="007F34CC">
        <w:trPr>
          <w:trHeight w:val="293"/>
        </w:trPr>
        <w:tc>
          <w:tcPr>
            <w:tcW w:w="3358" w:type="dxa"/>
            <w:shd w:val="clear" w:color="auto" w:fill="E7E6E6" w:themeFill="background2"/>
          </w:tcPr>
          <w:p w14:paraId="4F7EFB2B" w14:textId="77777777" w:rsidR="00AB25B7" w:rsidRPr="00501EAE" w:rsidRDefault="00AB25B7"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55767510" w14:textId="4ADC723C" w:rsidR="00AB25B7" w:rsidRPr="00921650" w:rsidRDefault="00921650" w:rsidP="007F34CC">
            <w:pPr>
              <w:rPr>
                <w:rFonts w:ascii="Calibri" w:eastAsia="Times New Roman" w:hAnsi="Calibri"/>
                <w:color w:val="000000"/>
                <w:sz w:val="22"/>
                <w:szCs w:val="22"/>
              </w:rPr>
            </w:pPr>
            <w:r>
              <w:rPr>
                <w:rFonts w:ascii="Calibri" w:eastAsia="Times New Roman" w:hAnsi="Calibri"/>
                <w:color w:val="000000"/>
                <w:sz w:val="22"/>
                <w:szCs w:val="22"/>
              </w:rPr>
              <w:t>The NCSG finds section 3.9 to be too vague to be useful. More details about the respective roles of ICANN, the registrar, the reseller, and/or other data processors need to be provided. The GDPR has a 72-hour notification requirement in the event of a data breach. Regarding section 3.10, the NCSG is unclear as to which international organizations are in question.</w:t>
            </w:r>
          </w:p>
        </w:tc>
      </w:tr>
      <w:tr w:rsidR="00A14B4D" w:rsidRPr="00501EAE" w14:paraId="4DD73077" w14:textId="77777777" w:rsidTr="007F34CC">
        <w:trPr>
          <w:trHeight w:val="293"/>
        </w:trPr>
        <w:tc>
          <w:tcPr>
            <w:tcW w:w="3358" w:type="dxa"/>
            <w:shd w:val="clear" w:color="auto" w:fill="E7E6E6" w:themeFill="background2"/>
          </w:tcPr>
          <w:p w14:paraId="1080096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1AF5414F" w14:textId="77777777" w:rsidR="00A14B4D" w:rsidRPr="00501EAE" w:rsidRDefault="00A14B4D" w:rsidP="007F34CC">
            <w:pPr>
              <w:rPr>
                <w:rFonts w:asciiTheme="minorHAnsi" w:hAnsiTheme="minorHAnsi" w:cstheme="minorHAnsi"/>
                <w:b/>
                <w:sz w:val="22"/>
                <w:szCs w:val="22"/>
              </w:rPr>
            </w:pPr>
          </w:p>
        </w:tc>
      </w:tr>
      <w:tr w:rsidR="00A14B4D" w:rsidRPr="00501EAE" w14:paraId="710A009F" w14:textId="77777777" w:rsidTr="007F34CC">
        <w:trPr>
          <w:trHeight w:val="293"/>
        </w:trPr>
        <w:tc>
          <w:tcPr>
            <w:tcW w:w="3358" w:type="dxa"/>
            <w:shd w:val="clear" w:color="auto" w:fill="E7E6E6" w:themeFill="background2"/>
          </w:tcPr>
          <w:p w14:paraId="536B2AFB"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515CD2A6" w14:textId="77777777" w:rsidR="00A14B4D" w:rsidRPr="00501EAE" w:rsidRDefault="00A14B4D" w:rsidP="007F34CC">
            <w:pPr>
              <w:rPr>
                <w:rFonts w:asciiTheme="minorHAnsi" w:hAnsiTheme="minorHAnsi" w:cstheme="minorHAnsi"/>
                <w:b/>
                <w:sz w:val="22"/>
                <w:szCs w:val="22"/>
              </w:rPr>
            </w:pPr>
          </w:p>
        </w:tc>
      </w:tr>
      <w:tr w:rsidR="00A14B4D" w:rsidRPr="00501EAE" w14:paraId="6A1B5EA9" w14:textId="77777777" w:rsidTr="007F34CC">
        <w:trPr>
          <w:trHeight w:val="293"/>
        </w:trPr>
        <w:tc>
          <w:tcPr>
            <w:tcW w:w="3358" w:type="dxa"/>
            <w:shd w:val="clear" w:color="auto" w:fill="E7E6E6" w:themeFill="background2"/>
          </w:tcPr>
          <w:p w14:paraId="27C6B732"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D6EAE24" w14:textId="5411E7EB" w:rsidR="00A14B4D" w:rsidRPr="00B41DEC" w:rsidRDefault="00B41DEC" w:rsidP="007F34CC">
            <w:pPr>
              <w:rPr>
                <w:rFonts w:ascii="Calibri" w:eastAsia="Times New Roman" w:hAnsi="Calibri"/>
                <w:color w:val="000000"/>
                <w:sz w:val="22"/>
                <w:szCs w:val="22"/>
              </w:rPr>
            </w:pPr>
            <w:r>
              <w:rPr>
                <w:rFonts w:ascii="Calibri" w:eastAsia="Times New Roman" w:hAnsi="Calibri"/>
                <w:color w:val="000000"/>
                <w:sz w:val="22"/>
                <w:szCs w:val="22"/>
              </w:rPr>
              <w:t>Technical standards improve over time. This is reflected in the generic wording of GDPR Article 32. The interpretation is too proscriptive, for example 3.8.5 that mandates a particular cryptosystem.    This section is weakened in its entirety because 3.8 states "Appropriate ... measures ... MAY include". The word 'SHOULD' would be a better choice, per rfc2119.</w:t>
            </w:r>
          </w:p>
        </w:tc>
      </w:tr>
      <w:tr w:rsidR="00A14B4D" w:rsidRPr="00501EAE" w14:paraId="6A360FF7" w14:textId="77777777" w:rsidTr="007F34CC">
        <w:trPr>
          <w:trHeight w:val="293"/>
        </w:trPr>
        <w:tc>
          <w:tcPr>
            <w:tcW w:w="3358" w:type="dxa"/>
            <w:tcBorders>
              <w:bottom w:val="single" w:sz="4" w:space="0" w:color="auto"/>
            </w:tcBorders>
            <w:shd w:val="clear" w:color="auto" w:fill="E7E6E6" w:themeFill="background2"/>
          </w:tcPr>
          <w:p w14:paraId="370B7374"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4D58FEDC" w14:textId="77777777" w:rsidR="00A14B4D" w:rsidRPr="00501EAE" w:rsidRDefault="00A14B4D" w:rsidP="007F34CC">
            <w:pPr>
              <w:rPr>
                <w:rFonts w:asciiTheme="minorHAnsi" w:hAnsiTheme="minorHAnsi" w:cstheme="minorHAnsi"/>
                <w:sz w:val="22"/>
                <w:szCs w:val="22"/>
              </w:rPr>
            </w:pPr>
          </w:p>
        </w:tc>
      </w:tr>
    </w:tbl>
    <w:p w14:paraId="3BBE5C84" w14:textId="7C1805C5" w:rsidR="00C221CA" w:rsidRDefault="00C221CA"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93125" w:rsidRPr="00501EAE" w14:paraId="33A9E155" w14:textId="77777777" w:rsidTr="00963828">
        <w:trPr>
          <w:trHeight w:val="293"/>
        </w:trPr>
        <w:tc>
          <w:tcPr>
            <w:tcW w:w="3358" w:type="dxa"/>
            <w:tcBorders>
              <w:bottom w:val="single" w:sz="4" w:space="0" w:color="auto"/>
            </w:tcBorders>
            <w:shd w:val="clear" w:color="auto" w:fill="E7E6E6" w:themeFill="background2"/>
          </w:tcPr>
          <w:p w14:paraId="2D3E2874" w14:textId="7BA561DE" w:rsidR="00A93125" w:rsidRPr="00501EAE" w:rsidRDefault="00A93125" w:rsidP="00963828">
            <w:pPr>
              <w:rPr>
                <w:rFonts w:asciiTheme="minorHAnsi" w:hAnsiTheme="minorHAnsi" w:cstheme="minorHAnsi"/>
                <w:b/>
                <w:sz w:val="22"/>
                <w:szCs w:val="22"/>
              </w:rPr>
            </w:pPr>
            <w:r>
              <w:rPr>
                <w:rFonts w:asciiTheme="minorHAnsi" w:hAnsiTheme="minorHAnsi" w:cstheme="minorHAnsi"/>
                <w:b/>
                <w:sz w:val="22"/>
                <w:szCs w:val="22"/>
              </w:rPr>
              <w:t>Early Input Feedback</w:t>
            </w:r>
          </w:p>
        </w:tc>
        <w:tc>
          <w:tcPr>
            <w:tcW w:w="9592" w:type="dxa"/>
            <w:tcBorders>
              <w:bottom w:val="single" w:sz="4" w:space="0" w:color="auto"/>
            </w:tcBorders>
          </w:tcPr>
          <w:p w14:paraId="17CA1377" w14:textId="266BA60A" w:rsidR="00A93125" w:rsidRPr="00A93125" w:rsidRDefault="00A93125" w:rsidP="00A93125">
            <w:pPr>
              <w:rPr>
                <w:rFonts w:ascii="Calibri" w:hAnsi="Calibri"/>
                <w:sz w:val="22"/>
                <w:szCs w:val="22"/>
              </w:rPr>
            </w:pPr>
            <w:r w:rsidRPr="00A93125">
              <w:rPr>
                <w:rFonts w:ascii="Calibri" w:hAnsi="Calibri"/>
                <w:b/>
                <w:sz w:val="22"/>
                <w:szCs w:val="22"/>
              </w:rPr>
              <w:t>IPC</w:t>
            </w:r>
            <w:r w:rsidRPr="00A93125">
              <w:rPr>
                <w:rFonts w:ascii="Calibri" w:hAnsi="Calibri"/>
                <w:sz w:val="22"/>
                <w:szCs w:val="22"/>
              </w:rPr>
              <w:t xml:space="preserve">: Appendix C.1 of the Temporary Specification lists several principles to govern the processing of personal data in the WHOIS system, “except as required by applicable laws or regulations.” We note that all obligations are subject to applicable laws, therefore, for the sake of certainty, it is important that the obligations be clear and certain, and not subject to any one party’s view of what applicable laws require. There is an existing policy and process to govern conflicts between WHOIS obligations and National Data Protection Laws, that must govern any conflict between those laws and such obligations. The language above appears to allow circumvention of that policy and process and creates uncertainty. Because of this uncertainty, the IPC recommends that equivalent language in the EPDP final Consensus Policy should be modified to ensure certainty. For example, the phrase “except as required by applicable laws </w:t>
            </w:r>
            <w:r w:rsidRPr="00A93125">
              <w:rPr>
                <w:rFonts w:ascii="Calibri" w:hAnsi="Calibri"/>
                <w:sz w:val="22"/>
                <w:szCs w:val="22"/>
              </w:rPr>
              <w:lastRenderedPageBreak/>
              <w:t xml:space="preserve">and regulations” should be deleted, as it is unnecessary and creates confusion as to the applicability of the WHOIS Conflicts procedure.  </w:t>
            </w:r>
          </w:p>
          <w:p w14:paraId="3E598955" w14:textId="77777777" w:rsidR="00A93125" w:rsidRPr="00A93125" w:rsidRDefault="00A93125" w:rsidP="00A93125">
            <w:pPr>
              <w:rPr>
                <w:rFonts w:ascii="Calibri" w:hAnsi="Calibri"/>
                <w:sz w:val="22"/>
                <w:szCs w:val="22"/>
              </w:rPr>
            </w:pPr>
            <w:r w:rsidRPr="00A93125">
              <w:rPr>
                <w:rFonts w:ascii="Calibri" w:hAnsi="Calibri"/>
                <w:b/>
                <w:sz w:val="22"/>
                <w:szCs w:val="22"/>
              </w:rPr>
              <w:t xml:space="preserve">GAC:  </w:t>
            </w:r>
            <w:r w:rsidRPr="00A93125">
              <w:rPr>
                <w:rFonts w:ascii="Calibri" w:hAnsi="Calibri"/>
                <w:sz w:val="22"/>
                <w:szCs w:val="22"/>
              </w:rPr>
              <w:t>Introduction: Suggested edit: add ‘performance of a contract’ as a legal justification for Public RDDS/WHOIS gTLD processing activity (for all Registrar/Registry/ICANN roles) Rationale: The public RDDS/WHOIS is a contractual provision and needs to be articulated as such.</w:t>
            </w:r>
          </w:p>
          <w:p w14:paraId="0BF65833" w14:textId="77777777" w:rsidR="00A93125" w:rsidRPr="00A93125" w:rsidRDefault="00A93125" w:rsidP="00A93125">
            <w:pPr>
              <w:rPr>
                <w:rFonts w:ascii="Calibri" w:hAnsi="Calibri"/>
                <w:sz w:val="22"/>
                <w:szCs w:val="22"/>
              </w:rPr>
            </w:pPr>
          </w:p>
          <w:p w14:paraId="04A25999" w14:textId="77777777" w:rsidR="00A93125" w:rsidRPr="00A93125" w:rsidRDefault="00A93125" w:rsidP="00A93125">
            <w:pPr>
              <w:rPr>
                <w:rFonts w:ascii="Calibri" w:hAnsi="Calibri"/>
                <w:sz w:val="22"/>
                <w:szCs w:val="22"/>
              </w:rPr>
            </w:pPr>
            <w:r w:rsidRPr="00A93125">
              <w:rPr>
                <w:rFonts w:ascii="Calibri" w:hAnsi="Calibri"/>
                <w:sz w:val="22"/>
                <w:szCs w:val="22"/>
              </w:rPr>
              <w:t>2: Paragraph does not mention legal basis for processing in addition to legitimate interest (Performance of a Contract, Public Task including maintenance of public order, protection of life). Balancing test in this section (as reflected from Art. 6.1 of the GDPR) does not apply to “processing carried out by public authorities in the performance of their tasks.” Art. 6.1(f)</w:t>
            </w:r>
          </w:p>
          <w:p w14:paraId="6353F77B" w14:textId="77777777" w:rsidR="00A93125" w:rsidRPr="00A93125" w:rsidRDefault="00A93125" w:rsidP="00A93125">
            <w:pPr>
              <w:rPr>
                <w:rFonts w:ascii="Calibri" w:hAnsi="Calibri"/>
                <w:sz w:val="22"/>
                <w:szCs w:val="22"/>
              </w:rPr>
            </w:pPr>
          </w:p>
          <w:p w14:paraId="274A0CAA" w14:textId="77777777" w:rsidR="00A93125" w:rsidRPr="00A93125" w:rsidRDefault="00A93125" w:rsidP="00A93125">
            <w:pPr>
              <w:rPr>
                <w:rFonts w:ascii="Calibri" w:hAnsi="Calibri"/>
                <w:sz w:val="22"/>
                <w:szCs w:val="22"/>
              </w:rPr>
            </w:pPr>
            <w:r w:rsidRPr="00A93125">
              <w:rPr>
                <w:rFonts w:ascii="Calibri" w:hAnsi="Calibri"/>
                <w:sz w:val="22"/>
                <w:szCs w:val="22"/>
              </w:rPr>
              <w:t>3.5: Section 3.5: before the GAC can confirm whether to support this sections or not, it remains to be clarified whether this section is intended to cover disclosure of actual law enforcement requests for personal data.</w:t>
            </w:r>
          </w:p>
          <w:p w14:paraId="5ED4AD92" w14:textId="77777777" w:rsidR="00A93125" w:rsidRPr="00A93125" w:rsidRDefault="00A93125" w:rsidP="00A93125">
            <w:pPr>
              <w:pBdr>
                <w:bottom w:val="single" w:sz="12" w:space="1" w:color="auto"/>
              </w:pBdr>
              <w:rPr>
                <w:rFonts w:ascii="Calibri" w:hAnsi="Calibri"/>
                <w:sz w:val="22"/>
                <w:szCs w:val="22"/>
              </w:rPr>
            </w:pPr>
          </w:p>
          <w:p w14:paraId="2013B5BF" w14:textId="77777777" w:rsidR="00A93125" w:rsidRPr="00A93125" w:rsidRDefault="00A93125" w:rsidP="00A93125">
            <w:pPr>
              <w:rPr>
                <w:rFonts w:ascii="Calibri" w:hAnsi="Calibri"/>
                <w:sz w:val="22"/>
                <w:szCs w:val="22"/>
              </w:rPr>
            </w:pPr>
          </w:p>
          <w:p w14:paraId="2F3035F5" w14:textId="77777777" w:rsidR="00A93125" w:rsidRPr="00A93125" w:rsidRDefault="00A93125" w:rsidP="00A93125">
            <w:pPr>
              <w:rPr>
                <w:rFonts w:ascii="Calibri" w:hAnsi="Calibri"/>
                <w:sz w:val="22"/>
                <w:szCs w:val="22"/>
              </w:rPr>
            </w:pPr>
            <w:r w:rsidRPr="00A93125">
              <w:rPr>
                <w:rFonts w:ascii="Calibri" w:hAnsi="Calibri"/>
                <w:b/>
                <w:sz w:val="22"/>
                <w:szCs w:val="22"/>
              </w:rPr>
              <w:t>RySG</w:t>
            </w:r>
            <w:r w:rsidRPr="00A93125">
              <w:rPr>
                <w:rFonts w:ascii="Calibri" w:hAnsi="Calibri"/>
                <w:sz w:val="22"/>
                <w:szCs w:val="22"/>
              </w:rPr>
              <w:t>: The RySG considers certain issues such as SLAs, reporting requirements, operationalizing data escrow requirements, and the specific language of contractual provisions to be contractual matters that should not be in the Temporary Specification and that the WG should exclude from its policy recommendations.  (§§ 5.2, 5.3, 5.7, 6.3; App. B; App. C).</w:t>
            </w:r>
          </w:p>
          <w:p w14:paraId="6792BC1D" w14:textId="77777777" w:rsidR="00A93125" w:rsidRPr="00A93125" w:rsidRDefault="00A93125" w:rsidP="00A93125">
            <w:pPr>
              <w:rPr>
                <w:rFonts w:ascii="Calibri" w:hAnsi="Calibri"/>
                <w:sz w:val="22"/>
                <w:szCs w:val="22"/>
              </w:rPr>
            </w:pPr>
          </w:p>
          <w:p w14:paraId="44A2C69A" w14:textId="6DCA1926" w:rsidR="00A93125" w:rsidRPr="00501EAE" w:rsidRDefault="00A93125" w:rsidP="00A93125">
            <w:pPr>
              <w:rPr>
                <w:rFonts w:asciiTheme="minorHAnsi" w:hAnsiTheme="minorHAnsi" w:cstheme="minorHAnsi"/>
                <w:sz w:val="22"/>
                <w:szCs w:val="22"/>
              </w:rPr>
            </w:pPr>
            <w:r w:rsidRPr="00A93125">
              <w:rPr>
                <w:rFonts w:ascii="Calibri" w:hAnsi="Calibri"/>
                <w:sz w:val="22"/>
                <w:szCs w:val="22"/>
              </w:rPr>
              <w:t xml:space="preserve">Appendix C should be removed from the scope of the EPDP WG’s consideration. Appendix C contains terms intended to be contractual in nature, outside the Picket Fence, and not appropriate for consensus policy. The WG should recommend that ICANN must engage with the Contracted Parties to put in place the legally required instruments (such as a Data Processing Agreement (Art. 28) or Joint Controller Agreement (Art. 26), as appropriate) without further delay. The WG should further recommend that such a review of contracts (for the purposes of data protection arrangements), must extend to those other service providers, which are equally essential to the DNS ecosystem, including, but not limited to EBERO providers, Data Escrow agents and the RPM, UDRP and URS providers.  Contracted Parties have provided a full analysis and comment regarding Appendix C (see </w:t>
            </w:r>
            <w:hyperlink r:id="rId9" w:history="1">
              <w:r w:rsidRPr="00A93125">
                <w:rPr>
                  <w:rStyle w:val="Hyperlink"/>
                  <w:rFonts w:ascii="Calibri" w:hAnsi="Calibri"/>
                  <w:sz w:val="22"/>
                  <w:szCs w:val="22"/>
                </w:rPr>
                <w:t>here</w:t>
              </w:r>
            </w:hyperlink>
            <w:r w:rsidRPr="00A93125">
              <w:rPr>
                <w:rFonts w:ascii="Calibri" w:hAnsi="Calibri"/>
                <w:sz w:val="22"/>
                <w:szCs w:val="22"/>
              </w:rPr>
              <w:t xml:space="preserve"> for further details</w:t>
            </w:r>
            <w:r w:rsidRPr="00A93125">
              <w:rPr>
                <w:rFonts w:ascii="Calibri" w:hAnsi="Calibri"/>
                <w:sz w:val="22"/>
                <w:szCs w:val="22"/>
              </w:rPr>
              <w:t>)</w:t>
            </w:r>
          </w:p>
        </w:tc>
      </w:tr>
    </w:tbl>
    <w:p w14:paraId="40A24BAE" w14:textId="77777777" w:rsidR="00A93125" w:rsidRDefault="00A93125" w:rsidP="007F34CC">
      <w:pPr>
        <w:rPr>
          <w:rFonts w:asciiTheme="minorHAnsi" w:hAnsiTheme="minorHAnsi" w:cstheme="minorHAnsi"/>
          <w:b/>
          <w:sz w:val="22"/>
          <w:szCs w:val="22"/>
        </w:rPr>
      </w:pPr>
    </w:p>
    <w:p w14:paraId="4DEF496D" w14:textId="3B02D45A" w:rsidR="00FF43A7" w:rsidRDefault="00FF43A7" w:rsidP="007F34CC">
      <w:pPr>
        <w:rPr>
          <w:rFonts w:asciiTheme="minorHAnsi" w:hAnsiTheme="minorHAnsi" w:cstheme="minorHAnsi"/>
          <w:b/>
          <w:sz w:val="22"/>
          <w:szCs w:val="22"/>
        </w:rPr>
      </w:pPr>
    </w:p>
    <w:p w14:paraId="76994C99" w14:textId="721C7A7F" w:rsidR="00190231" w:rsidRDefault="00190231" w:rsidP="007F34CC">
      <w:pPr>
        <w:rPr>
          <w:rFonts w:asciiTheme="minorHAnsi" w:hAnsiTheme="minorHAnsi" w:cstheme="minorHAnsi"/>
          <w:b/>
          <w:sz w:val="22"/>
          <w:szCs w:val="22"/>
        </w:rPr>
      </w:pPr>
    </w:p>
    <w:p w14:paraId="49945026" w14:textId="77777777" w:rsidR="00190231" w:rsidRDefault="00190231"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2950"/>
      </w:tblGrid>
      <w:tr w:rsidR="00610F45" w:rsidRPr="002B2F48" w14:paraId="3AA8A857" w14:textId="77777777" w:rsidTr="00016919">
        <w:trPr>
          <w:trHeight w:val="293"/>
        </w:trPr>
        <w:tc>
          <w:tcPr>
            <w:tcW w:w="12950" w:type="dxa"/>
            <w:tcBorders>
              <w:bottom w:val="single" w:sz="4" w:space="0" w:color="auto"/>
            </w:tcBorders>
            <w:shd w:val="clear" w:color="auto" w:fill="E7E6E6" w:themeFill="background2"/>
          </w:tcPr>
          <w:p w14:paraId="43DAC447" w14:textId="2AA4B6CC" w:rsidR="00610F45" w:rsidRPr="002B2F48" w:rsidRDefault="00610F45" w:rsidP="00016919">
            <w:pPr>
              <w:rPr>
                <w:rFonts w:asciiTheme="minorHAnsi" w:hAnsiTheme="minorHAnsi" w:cstheme="minorHAnsi"/>
                <w:b/>
                <w:sz w:val="22"/>
                <w:szCs w:val="22"/>
              </w:rPr>
            </w:pPr>
            <w:r w:rsidRPr="002B2F48">
              <w:rPr>
                <w:rFonts w:asciiTheme="minorHAnsi" w:hAnsiTheme="minorHAnsi" w:cstheme="minorHAnsi"/>
                <w:b/>
                <w:sz w:val="22"/>
                <w:szCs w:val="22"/>
              </w:rPr>
              <w:lastRenderedPageBreak/>
              <w:t>Proposal from RySG</w:t>
            </w:r>
          </w:p>
        </w:tc>
      </w:tr>
      <w:tr w:rsidR="00610F45" w:rsidRPr="002B2F48" w14:paraId="372F54A1" w14:textId="77777777" w:rsidTr="00016919">
        <w:trPr>
          <w:trHeight w:val="293"/>
        </w:trPr>
        <w:tc>
          <w:tcPr>
            <w:tcW w:w="12950" w:type="dxa"/>
            <w:tcBorders>
              <w:bottom w:val="single" w:sz="4" w:space="0" w:color="auto"/>
            </w:tcBorders>
            <w:shd w:val="clear" w:color="auto" w:fill="auto"/>
          </w:tcPr>
          <w:p w14:paraId="4FDA53B0" w14:textId="021283B1" w:rsidR="00610F45"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Registries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Stakeholder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Group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“RySG”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proposes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removal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Temporary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Specification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from</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scope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consideration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our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view</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drafted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emergency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substitute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GDPR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mandated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protection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between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Accordingly</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should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address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subject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matter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via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separate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negotiations</w:t>
            </w:r>
            <w:r w:rsidR="00016919" w:rsidRPr="002B2F48">
              <w:rPr>
                <w:rFonts w:asciiTheme="minorHAnsi" w:hAnsiTheme="minorHAnsi" w:cstheme="minorHAnsi"/>
                <w:color w:val="000000" w:themeColor="text1"/>
                <w:sz w:val="22"/>
                <w:szCs w:val="22"/>
              </w:rPr>
              <w:t xml:space="preserve">. </w:t>
            </w:r>
          </w:p>
          <w:p w14:paraId="43BA4B66" w14:textId="77777777" w:rsidR="00016919" w:rsidRPr="002B2F48" w:rsidRDefault="00016919" w:rsidP="00610F45">
            <w:pPr>
              <w:autoSpaceDE w:val="0"/>
              <w:autoSpaceDN w:val="0"/>
              <w:adjustRightInd w:val="0"/>
              <w:rPr>
                <w:rFonts w:asciiTheme="minorHAnsi" w:hAnsiTheme="minorHAnsi" w:cstheme="minorHAnsi"/>
                <w:color w:val="000000" w:themeColor="text1"/>
                <w:sz w:val="22"/>
                <w:szCs w:val="22"/>
              </w:rPr>
            </w:pPr>
          </w:p>
          <w:p w14:paraId="308506B8" w14:textId="6240F4EC" w:rsidR="00610F45"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From</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point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view</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one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most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important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elements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pre</w:t>
            </w:r>
            <w:r w:rsidR="00016919"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GDPR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preparation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was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execution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protection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between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016919" w:rsidRPr="002B2F48">
              <w:rPr>
                <w:rFonts w:asciiTheme="minorHAnsi" w:hAnsiTheme="minorHAnsi" w:cstheme="minorHAnsi"/>
                <w:color w:val="000000" w:themeColor="text1"/>
                <w:sz w:val="22"/>
                <w:szCs w:val="22"/>
              </w:rPr>
              <w:t xml:space="preserve"> </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e</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g</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Joint</w:t>
            </w:r>
          </w:p>
          <w:p w14:paraId="6D97C25D" w14:textId="77777777" w:rsidR="00BA0D5C"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Controller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Industry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Code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Conduct</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GDPR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explicitly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requires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written</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set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out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relationship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obligations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instructions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processing</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between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E85683" w:rsidRPr="002B2F48">
              <w:rPr>
                <w:rFonts w:asciiTheme="minorHAnsi" w:hAnsiTheme="minorHAnsi" w:cstheme="minorHAnsi"/>
                <w:color w:val="000000" w:themeColor="text1"/>
                <w:sz w:val="22"/>
                <w:szCs w:val="22"/>
              </w:rPr>
              <w:t xml:space="preserve">. </w:t>
            </w:r>
          </w:p>
          <w:p w14:paraId="46FF4A48" w14:textId="77777777" w:rsidR="00BA0D5C" w:rsidRPr="002B2F48" w:rsidRDefault="00BA0D5C" w:rsidP="00610F45">
            <w:pPr>
              <w:autoSpaceDE w:val="0"/>
              <w:autoSpaceDN w:val="0"/>
              <w:adjustRightInd w:val="0"/>
              <w:rPr>
                <w:rFonts w:asciiTheme="minorHAnsi" w:hAnsiTheme="minorHAnsi" w:cstheme="minorHAnsi"/>
                <w:color w:val="000000" w:themeColor="text1"/>
                <w:sz w:val="22"/>
                <w:szCs w:val="22"/>
              </w:rPr>
            </w:pPr>
          </w:p>
          <w:p w14:paraId="3E68CDD3" w14:textId="77777777" w:rsidR="00BA0D5C"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Unfortunately</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approach</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implementing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GDPR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compliance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did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include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amendment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develop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execute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these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E85683" w:rsidRPr="002B2F48">
              <w:rPr>
                <w:rFonts w:asciiTheme="minorHAnsi" w:hAnsiTheme="minorHAnsi" w:cstheme="minorHAnsi"/>
                <w:color w:val="000000" w:themeColor="text1"/>
                <w:sz w:val="22"/>
                <w:szCs w:val="22"/>
              </w:rPr>
              <w:t xml:space="preserve">. </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Instead</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principles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normally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found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these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included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BA0D5C"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Despite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their</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presence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Temporary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Specification</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these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issues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remain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nature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should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handle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them</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bilateral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manner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with</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BA0D5C"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Moreover</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as</w:t>
            </w:r>
            <w:r w:rsidR="00BA0D5C"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matter</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these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issues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neither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inclusion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GNSO</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policy</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within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scope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w:t>
            </w:r>
            <w:r w:rsidR="00BA0D5C" w:rsidRPr="002B2F48">
              <w:rPr>
                <w:rFonts w:asciiTheme="minorHAnsi" w:hAnsiTheme="minorHAnsi" w:cstheme="minorHAnsi"/>
                <w:color w:val="000000" w:themeColor="text1"/>
                <w:sz w:val="22"/>
                <w:szCs w:val="22"/>
              </w:rPr>
              <w:t>P</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discussed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number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occasions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thus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far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outside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Picket</w:t>
            </w:r>
            <w:r w:rsidR="00BA0D5C"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Fence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consensus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policy</w:t>
            </w:r>
            <w:r w:rsidR="00BA0D5C" w:rsidRPr="002B2F48">
              <w:rPr>
                <w:rFonts w:asciiTheme="minorHAnsi" w:hAnsiTheme="minorHAnsi" w:cstheme="minorHAnsi"/>
                <w:color w:val="000000" w:themeColor="text1"/>
                <w:sz w:val="22"/>
                <w:szCs w:val="22"/>
              </w:rPr>
              <w:t>.</w:t>
            </w:r>
          </w:p>
          <w:p w14:paraId="0DB4B12D" w14:textId="77777777" w:rsidR="00BA0D5C" w:rsidRPr="002B2F48" w:rsidRDefault="00BA0D5C" w:rsidP="00610F45">
            <w:pPr>
              <w:autoSpaceDE w:val="0"/>
              <w:autoSpaceDN w:val="0"/>
              <w:adjustRightInd w:val="0"/>
              <w:rPr>
                <w:rFonts w:asciiTheme="minorHAnsi" w:hAnsiTheme="minorHAnsi" w:cstheme="minorHAnsi"/>
                <w:color w:val="000000" w:themeColor="text1"/>
                <w:sz w:val="22"/>
                <w:szCs w:val="22"/>
              </w:rPr>
            </w:pPr>
          </w:p>
          <w:p w14:paraId="3DE0B762" w14:textId="64D6562C" w:rsidR="00E85683"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However</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RySG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does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recognize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that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determinations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regarding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key</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elements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Temporary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Specification</w:t>
            </w:r>
            <w:r w:rsidR="00016919" w:rsidRPr="002B2F48">
              <w:rPr>
                <w:rFonts w:asciiTheme="minorHAnsi" w:hAnsiTheme="minorHAnsi" w:cstheme="minorHAnsi"/>
                <w:color w:val="000000" w:themeColor="text1"/>
                <w:sz w:val="22"/>
                <w:szCs w:val="22"/>
              </w:rPr>
              <w:t xml:space="preserve"> </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e</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g</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identifying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elements</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roles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responsibilities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purposes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processing</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will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inform</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development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between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These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decisions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may</w:t>
            </w:r>
            <w:r w:rsidR="00BA0D5C"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also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help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determine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whether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Joint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Controller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Code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Conduct</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most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format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given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roles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responsibilities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identified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00E85683" w:rsidRPr="002B2F48">
              <w:rPr>
                <w:rFonts w:asciiTheme="minorHAnsi" w:hAnsiTheme="minorHAnsi" w:cstheme="minorHAnsi"/>
                <w:color w:val="000000" w:themeColor="text1"/>
                <w:sz w:val="22"/>
                <w:szCs w:val="22"/>
              </w:rPr>
              <w:t>.</w:t>
            </w:r>
          </w:p>
          <w:p w14:paraId="3E253B65" w14:textId="43E8325B" w:rsidR="00610F45" w:rsidRPr="002B2F48" w:rsidRDefault="00016919"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 xml:space="preserve"> </w:t>
            </w:r>
          </w:p>
          <w:p w14:paraId="712CAF7E" w14:textId="299C4C10" w:rsidR="00610F45" w:rsidRPr="002B2F48" w:rsidRDefault="00610F45" w:rsidP="00610F45">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Further</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RySG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does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believe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that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removal</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from</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scope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way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diminishes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discussions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regarding</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third</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party</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access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registration</w:t>
            </w:r>
            <w:r w:rsidR="00E85683"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data</w:t>
            </w:r>
            <w:r w:rsidR="00E85683"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reference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“Disclosure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non</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public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RDDS</w:t>
            </w:r>
            <w:r w:rsidR="00E85683" w:rsidRPr="002B2F48">
              <w:rPr>
                <w:rFonts w:asciiTheme="minorHAnsi" w:hAnsiTheme="minorHAnsi" w:cstheme="minorHAnsi"/>
                <w:color w:val="000000" w:themeColor="text1"/>
                <w:sz w:val="22"/>
                <w:szCs w:val="22"/>
              </w:rPr>
              <w:t>/</w:t>
            </w:r>
            <w:r w:rsidRPr="002B2F48">
              <w:rPr>
                <w:rFonts w:asciiTheme="minorHAnsi" w:hAnsiTheme="minorHAnsi" w:cstheme="minorHAnsi"/>
                <w:color w:val="000000" w:themeColor="text1"/>
                <w:sz w:val="22"/>
                <w:szCs w:val="22"/>
              </w:rPr>
              <w:t>WHOIS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third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p>
          <w:p w14:paraId="0CE1D294" w14:textId="77777777" w:rsidR="00BA0D5C" w:rsidRPr="002B2F48" w:rsidRDefault="00610F45" w:rsidP="00AB7D9D">
            <w:pPr>
              <w:autoSpaceDE w:val="0"/>
              <w:autoSpaceDN w:val="0"/>
              <w:adjustRightInd w:val="0"/>
              <w:rPr>
                <w:rFonts w:asciiTheme="minorHAnsi" w:hAnsiTheme="minorHAnsi" w:cstheme="minorHAnsi"/>
                <w:color w:val="000000" w:themeColor="text1"/>
                <w:sz w:val="22"/>
                <w:szCs w:val="22"/>
              </w:rPr>
            </w:pPr>
            <w:r w:rsidRPr="002B2F48">
              <w:rPr>
                <w:rFonts w:asciiTheme="minorHAnsi" w:hAnsiTheme="minorHAnsi" w:cstheme="minorHAnsi"/>
                <w:color w:val="000000" w:themeColor="text1"/>
                <w:sz w:val="22"/>
                <w:szCs w:val="22"/>
              </w:rPr>
              <w:t>Appendix</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table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not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independent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source</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right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access</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third</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00AB7D9D" w:rsidRPr="002B2F48">
              <w:rPr>
                <w:rFonts w:asciiTheme="minorHAnsi" w:hAnsiTheme="minorHAnsi" w:cstheme="minorHAnsi"/>
                <w:color w:val="000000" w:themeColor="text1"/>
                <w:sz w:val="22"/>
                <w:szCs w:val="22"/>
              </w:rPr>
              <w:t>.</w:t>
            </w:r>
            <w:r w:rsidR="00016919"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table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is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only</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reflection</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of</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roles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rights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obligations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of</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ICANN</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Contracted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Parties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found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elsewhere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in</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Temporary</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Specification</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other</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applicable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consensus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policies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Those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other</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sources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e</w:t>
            </w:r>
            <w:r w:rsidR="00AB7D9D" w:rsidRPr="002B2F48">
              <w:rPr>
                <w:rFonts w:asciiTheme="minorHAnsi" w:hAnsiTheme="minorHAnsi" w:cstheme="minorHAnsi"/>
                <w:color w:val="000000" w:themeColor="text1"/>
                <w:sz w:val="22"/>
                <w:szCs w:val="22"/>
              </w:rPr>
              <w:t>.</w:t>
            </w:r>
            <w:r w:rsidR="00AB7D9D" w:rsidRPr="002B2F48">
              <w:rPr>
                <w:rFonts w:asciiTheme="minorHAnsi" w:hAnsiTheme="minorHAnsi" w:cstheme="minorHAnsi"/>
                <w:color w:val="000000" w:themeColor="text1"/>
                <w:sz w:val="22"/>
                <w:szCs w:val="22"/>
              </w:rPr>
              <w:t>g</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Appendix</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Section</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4</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are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more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appropriate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places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to</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discuss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determine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scope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of</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third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party</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access</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and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are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not</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impacted</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by</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the</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removal</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of</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Appendix</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C</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from</w:t>
            </w:r>
            <w:r w:rsidR="00AB7D9D" w:rsidRPr="002B2F48">
              <w:rPr>
                <w:rFonts w:asciiTheme="minorHAnsi" w:hAnsiTheme="minorHAnsi" w:cstheme="minorHAnsi"/>
                <w:color w:val="000000" w:themeColor="text1"/>
                <w:sz w:val="22"/>
                <w:szCs w:val="22"/>
              </w:rPr>
              <w:t xml:space="preserve"> </w:t>
            </w:r>
            <w:r w:rsidR="00AB7D9D" w:rsidRPr="002B2F48">
              <w:rPr>
                <w:rFonts w:asciiTheme="minorHAnsi" w:hAnsiTheme="minorHAnsi" w:cstheme="minorHAnsi"/>
                <w:color w:val="000000" w:themeColor="text1"/>
                <w:sz w:val="22"/>
                <w:szCs w:val="22"/>
              </w:rPr>
              <w:t>discussion</w:t>
            </w:r>
            <w:r w:rsidR="00AB7D9D" w:rsidRPr="002B2F48">
              <w:rPr>
                <w:rFonts w:asciiTheme="minorHAnsi" w:hAnsiTheme="minorHAnsi" w:cstheme="minorHAnsi"/>
                <w:color w:val="000000" w:themeColor="text1"/>
                <w:sz w:val="22"/>
                <w:szCs w:val="22"/>
              </w:rPr>
              <w:t xml:space="preserve">. </w:t>
            </w:r>
          </w:p>
          <w:p w14:paraId="26C4E39A" w14:textId="77777777" w:rsidR="00BA0D5C" w:rsidRPr="002B2F48" w:rsidRDefault="00BA0D5C" w:rsidP="00AB7D9D">
            <w:pPr>
              <w:autoSpaceDE w:val="0"/>
              <w:autoSpaceDN w:val="0"/>
              <w:adjustRightInd w:val="0"/>
              <w:rPr>
                <w:rFonts w:asciiTheme="minorHAnsi" w:hAnsiTheme="minorHAnsi" w:cstheme="minorHAnsi"/>
                <w:color w:val="000000" w:themeColor="text1"/>
                <w:sz w:val="22"/>
                <w:szCs w:val="22"/>
              </w:rPr>
            </w:pPr>
          </w:p>
          <w:p w14:paraId="734EF58F" w14:textId="4E58265F" w:rsidR="00610F45" w:rsidRPr="002B2F48" w:rsidRDefault="00AB7D9D" w:rsidP="00AB7D9D">
            <w:pPr>
              <w:autoSpaceDE w:val="0"/>
              <w:autoSpaceDN w:val="0"/>
              <w:adjustRightInd w:val="0"/>
              <w:rPr>
                <w:rFonts w:asciiTheme="minorHAnsi" w:hAnsiTheme="minorHAnsi" w:cstheme="minorHAnsi"/>
                <w:sz w:val="22"/>
                <w:szCs w:val="22"/>
              </w:rPr>
            </w:pPr>
            <w:r w:rsidRPr="002B2F48">
              <w:rPr>
                <w:rFonts w:asciiTheme="minorHAnsi" w:hAnsiTheme="minorHAnsi" w:cstheme="minorHAnsi"/>
                <w:color w:val="000000" w:themeColor="text1"/>
                <w:sz w:val="22"/>
                <w:szCs w:val="22"/>
              </w:rPr>
              <w:t>For</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reasons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stated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above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RySG</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proposes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that</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adopt</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formal</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recommendation</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GNSO</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that</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address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Appendix</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outside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of</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process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This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approach</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allows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ICANN</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Contracted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Parties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to</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benefit</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from</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decisions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and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policy</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developed</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by</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EPDP</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while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still</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ensuring</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that</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appropriate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contractual</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partners</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develop</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the</w:t>
            </w:r>
            <w:r w:rsidRPr="002B2F48">
              <w:rPr>
                <w:rFonts w:asciiTheme="minorHAnsi" w:hAnsiTheme="minorHAnsi" w:cstheme="minorHAnsi"/>
                <w:color w:val="000000" w:themeColor="text1"/>
                <w:sz w:val="22"/>
                <w:szCs w:val="22"/>
              </w:rPr>
              <w:t xml:space="preserve"> </w:t>
            </w:r>
            <w:r w:rsidRPr="002B2F48">
              <w:rPr>
                <w:rFonts w:asciiTheme="minorHAnsi" w:hAnsiTheme="minorHAnsi" w:cstheme="minorHAnsi"/>
                <w:color w:val="000000" w:themeColor="text1"/>
                <w:sz w:val="22"/>
                <w:szCs w:val="22"/>
              </w:rPr>
              <w:t>agreements</w:t>
            </w:r>
            <w:r w:rsidRPr="002B2F48">
              <w:rPr>
                <w:rFonts w:asciiTheme="minorHAnsi" w:hAnsiTheme="minorHAnsi" w:cstheme="minorHAnsi"/>
                <w:color w:val="000000" w:themeColor="text1"/>
                <w:sz w:val="22"/>
                <w:szCs w:val="22"/>
              </w:rPr>
              <w:t>.</w:t>
            </w:r>
          </w:p>
        </w:tc>
      </w:tr>
    </w:tbl>
    <w:p w14:paraId="302E0750" w14:textId="5715C745" w:rsidR="00610F45" w:rsidRDefault="00610F45"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2950"/>
      </w:tblGrid>
      <w:tr w:rsidR="00BA0D5C" w:rsidRPr="00501EAE" w14:paraId="4B6BCDC1" w14:textId="77777777" w:rsidTr="00963828">
        <w:trPr>
          <w:trHeight w:val="293"/>
        </w:trPr>
        <w:tc>
          <w:tcPr>
            <w:tcW w:w="12950" w:type="dxa"/>
            <w:tcBorders>
              <w:bottom w:val="single" w:sz="4" w:space="0" w:color="auto"/>
            </w:tcBorders>
            <w:shd w:val="clear" w:color="auto" w:fill="E7E6E6" w:themeFill="background2"/>
          </w:tcPr>
          <w:p w14:paraId="537505C9" w14:textId="30E22517" w:rsidR="00BA0D5C" w:rsidRPr="00501EAE" w:rsidRDefault="00BA0D5C" w:rsidP="00963828">
            <w:pPr>
              <w:rPr>
                <w:rFonts w:asciiTheme="minorHAnsi" w:hAnsiTheme="minorHAnsi" w:cstheme="minorHAnsi"/>
                <w:b/>
                <w:sz w:val="22"/>
                <w:szCs w:val="22"/>
              </w:rPr>
            </w:pPr>
            <w:r>
              <w:rPr>
                <w:rFonts w:asciiTheme="minorHAnsi" w:hAnsiTheme="minorHAnsi" w:cstheme="minorHAnsi"/>
                <w:b/>
                <w:sz w:val="22"/>
                <w:szCs w:val="22"/>
              </w:rPr>
              <w:lastRenderedPageBreak/>
              <w:t>Proposal from Margie Milam</w:t>
            </w:r>
          </w:p>
        </w:tc>
      </w:tr>
      <w:tr w:rsidR="00BA0D5C" w:rsidRPr="00501EAE" w14:paraId="6EEEF8EC" w14:textId="77777777" w:rsidTr="00963828">
        <w:trPr>
          <w:trHeight w:val="293"/>
        </w:trPr>
        <w:tc>
          <w:tcPr>
            <w:tcW w:w="12950" w:type="dxa"/>
            <w:tcBorders>
              <w:bottom w:val="single" w:sz="4" w:space="0" w:color="auto"/>
            </w:tcBorders>
            <w:shd w:val="clear" w:color="auto" w:fill="auto"/>
          </w:tcPr>
          <w:p w14:paraId="6DFD6CA7" w14:textId="77777777" w:rsidR="00354EC4" w:rsidRDefault="00354EC4" w:rsidP="00354EC4">
            <w:pPr>
              <w:rPr>
                <w:rFonts w:ascii="Calibri" w:hAnsi="Calibri" w:cs="Calibri"/>
                <w:color w:val="000000"/>
              </w:rPr>
            </w:pPr>
            <w:r>
              <w:rPr>
                <w:rFonts w:ascii="Calibri" w:hAnsi="Calibri" w:cs="Calibri"/>
                <w:b/>
                <w:bCs/>
                <w:color w:val="000000"/>
                <w:sz w:val="22"/>
                <w:szCs w:val="22"/>
              </w:rPr>
              <w:t>Rationale for Retention of Appendix C</w:t>
            </w:r>
          </w:p>
          <w:p w14:paraId="2E3E3460" w14:textId="77777777" w:rsidR="00354EC4" w:rsidRDefault="00354EC4" w:rsidP="00354EC4">
            <w:pPr>
              <w:rPr>
                <w:rFonts w:ascii="Calibri" w:hAnsi="Calibri" w:cs="Calibri"/>
                <w:color w:val="000000"/>
              </w:rPr>
            </w:pPr>
            <w:r>
              <w:rPr>
                <w:rFonts w:ascii="Calibri" w:hAnsi="Calibri" w:cs="Calibri"/>
                <w:color w:val="000000"/>
                <w:sz w:val="22"/>
                <w:szCs w:val="22"/>
              </w:rPr>
              <w:t> </w:t>
            </w:r>
          </w:p>
          <w:p w14:paraId="236BFFBF" w14:textId="77777777" w:rsidR="00354EC4" w:rsidRDefault="00354EC4" w:rsidP="00354EC4">
            <w:pPr>
              <w:rPr>
                <w:rFonts w:ascii="Calibri" w:hAnsi="Calibri" w:cs="Calibri"/>
                <w:color w:val="000000"/>
              </w:rPr>
            </w:pPr>
            <w:r>
              <w:rPr>
                <w:rFonts w:ascii="Calibri" w:hAnsi="Calibri" w:cs="Calibri"/>
                <w:color w:val="000000"/>
                <w:sz w:val="22"/>
                <w:szCs w:val="22"/>
              </w:rPr>
              <w:t>In general, Appendix C contains a commitment to processing personal data in accordance with the principles laid out in the Appendix that are not included elsewhere in the Temporary Specification.  Some of these sections provide the specificity needed to apply GDPR to the different activities identified in the matrix.   It’s not sufficient to say that the Appendix is not needed because the controllers/processors will simply comply with GDPR, because there are different interpretations of how GDPR applies to RDDS/WHOIS data.  Keeping Appendix C will ensure that there is transparency and accountability for the broader ICANN community, as well as the registrants, regarding what is expected by controllers, processors, and third party accessors with legitimate purposes. </w:t>
            </w:r>
            <w:r>
              <w:rPr>
                <w:rStyle w:val="apple-converted-space"/>
                <w:rFonts w:ascii="Calibri" w:hAnsi="Calibri" w:cs="Calibri"/>
                <w:color w:val="000000"/>
                <w:sz w:val="22"/>
                <w:szCs w:val="22"/>
              </w:rPr>
              <w:t> </w:t>
            </w:r>
          </w:p>
          <w:p w14:paraId="013F170F" w14:textId="77777777" w:rsidR="00354EC4" w:rsidRDefault="00354EC4" w:rsidP="00354EC4">
            <w:pPr>
              <w:rPr>
                <w:rFonts w:ascii="Calibri" w:hAnsi="Calibri" w:cs="Calibri"/>
                <w:color w:val="000000"/>
              </w:rPr>
            </w:pPr>
            <w:r>
              <w:rPr>
                <w:rFonts w:ascii="Calibri" w:hAnsi="Calibri" w:cs="Calibri"/>
                <w:color w:val="000000"/>
                <w:sz w:val="22"/>
                <w:szCs w:val="22"/>
              </w:rPr>
              <w:t> </w:t>
            </w:r>
          </w:p>
          <w:p w14:paraId="6C6457AA" w14:textId="77777777" w:rsidR="00354EC4" w:rsidRDefault="00354EC4" w:rsidP="00354EC4">
            <w:pPr>
              <w:rPr>
                <w:rFonts w:ascii="Calibri" w:hAnsi="Calibri" w:cs="Calibri"/>
                <w:color w:val="000000"/>
              </w:rPr>
            </w:pPr>
            <w:r>
              <w:rPr>
                <w:rFonts w:ascii="Calibri" w:hAnsi="Calibri" w:cs="Calibri"/>
                <w:b/>
                <w:bCs/>
                <w:color w:val="000000"/>
                <w:sz w:val="22"/>
                <w:szCs w:val="22"/>
              </w:rPr>
              <w:t>Sections to Delete or Rewrite to be More Specific:</w:t>
            </w:r>
          </w:p>
          <w:p w14:paraId="6083FDF5" w14:textId="083C816B" w:rsidR="00354EC4" w:rsidRDefault="00354EC4" w:rsidP="00354EC4">
            <w:pPr>
              <w:rPr>
                <w:rFonts w:ascii="Calibri" w:hAnsi="Calibri" w:cs="Calibri"/>
                <w:color w:val="000000"/>
              </w:rPr>
            </w:pPr>
            <w:r>
              <w:rPr>
                <w:rFonts w:ascii="Calibri" w:hAnsi="Calibri" w:cs="Calibri"/>
                <w:color w:val="000000"/>
                <w:sz w:val="22"/>
                <w:szCs w:val="22"/>
              </w:rPr>
              <w:t>I agree with James that some sections in Appendix C lack sufficient detail for how GDPR applies to RDDS/WHOIS, and seem to be merely recitals of GDPR.   These could be deleted or be rewritten to be more specific.  Examples are:  Sections 3.1.1-3.1.6, 3.2, 3.3, 3.6, 3.7., 3.10 &amp; 3.11.</w:t>
            </w:r>
          </w:p>
          <w:p w14:paraId="42B28648" w14:textId="77777777" w:rsidR="00354EC4" w:rsidRDefault="00354EC4" w:rsidP="00354EC4">
            <w:pPr>
              <w:rPr>
                <w:rFonts w:ascii="Calibri" w:hAnsi="Calibri" w:cs="Calibri"/>
                <w:color w:val="000000"/>
              </w:rPr>
            </w:pPr>
            <w:r>
              <w:rPr>
                <w:rFonts w:ascii="Calibri" w:hAnsi="Calibri" w:cs="Calibri"/>
                <w:color w:val="000000"/>
                <w:sz w:val="22"/>
                <w:szCs w:val="22"/>
              </w:rPr>
              <w:t> </w:t>
            </w:r>
          </w:p>
          <w:p w14:paraId="55D64FAC" w14:textId="77777777" w:rsidR="00354EC4" w:rsidRDefault="00354EC4" w:rsidP="00354EC4">
            <w:pPr>
              <w:rPr>
                <w:rFonts w:ascii="Calibri" w:hAnsi="Calibri" w:cs="Calibri"/>
                <w:color w:val="000000"/>
              </w:rPr>
            </w:pPr>
            <w:r>
              <w:rPr>
                <w:rFonts w:ascii="Calibri" w:hAnsi="Calibri" w:cs="Calibri"/>
                <w:b/>
                <w:bCs/>
                <w:color w:val="000000"/>
                <w:sz w:val="22"/>
                <w:szCs w:val="22"/>
              </w:rPr>
              <w:t>Sections to Retain: </w:t>
            </w:r>
            <w:r>
              <w:rPr>
                <w:rStyle w:val="apple-converted-space"/>
                <w:rFonts w:ascii="Calibri" w:hAnsi="Calibri" w:cs="Calibri"/>
                <w:b/>
                <w:bCs/>
                <w:color w:val="000000"/>
                <w:sz w:val="22"/>
                <w:szCs w:val="22"/>
              </w:rPr>
              <w:t> </w:t>
            </w:r>
          </w:p>
          <w:p w14:paraId="19BB5952" w14:textId="77777777" w:rsidR="00354EC4" w:rsidRDefault="00354EC4" w:rsidP="00354EC4">
            <w:pPr>
              <w:numPr>
                <w:ilvl w:val="0"/>
                <w:numId w:val="6"/>
              </w:numPr>
              <w:rPr>
                <w:rFonts w:ascii="Calibri" w:hAnsi="Calibri" w:cs="Calibri"/>
                <w:color w:val="000000"/>
              </w:rPr>
            </w:pPr>
            <w:r>
              <w:rPr>
                <w:rFonts w:ascii="Calibri" w:hAnsi="Calibri" w:cs="Calibri"/>
                <w:color w:val="000000"/>
                <w:sz w:val="22"/>
                <w:szCs w:val="22"/>
              </w:rPr>
              <w:t>Section 1</w:t>
            </w:r>
          </w:p>
          <w:p w14:paraId="435E5E7A" w14:textId="77777777" w:rsidR="00354EC4" w:rsidRDefault="00354EC4" w:rsidP="00354EC4">
            <w:pPr>
              <w:numPr>
                <w:ilvl w:val="0"/>
                <w:numId w:val="6"/>
              </w:numPr>
              <w:rPr>
                <w:rFonts w:ascii="Calibri" w:hAnsi="Calibri" w:cs="Calibri"/>
                <w:color w:val="000000"/>
              </w:rPr>
            </w:pPr>
            <w:r>
              <w:rPr>
                <w:rFonts w:ascii="Calibri" w:hAnsi="Calibri" w:cs="Calibri"/>
                <w:color w:val="000000"/>
                <w:sz w:val="22"/>
                <w:szCs w:val="22"/>
              </w:rPr>
              <w:t>Section 2 – Replace it with something like – “processing will take place in accordance with the purposes described in Section 4 of the Temp. Spec.”</w:t>
            </w:r>
          </w:p>
          <w:p w14:paraId="165B574C" w14:textId="77777777" w:rsidR="00354EC4" w:rsidRDefault="00354EC4" w:rsidP="00354EC4">
            <w:pPr>
              <w:numPr>
                <w:ilvl w:val="0"/>
                <w:numId w:val="6"/>
              </w:numPr>
              <w:rPr>
                <w:rFonts w:ascii="Calibri" w:hAnsi="Calibri" w:cs="Calibri"/>
                <w:color w:val="000000"/>
              </w:rPr>
            </w:pPr>
            <w:r>
              <w:rPr>
                <w:rFonts w:ascii="Calibri" w:hAnsi="Calibri" w:cs="Calibri"/>
                <w:color w:val="000000"/>
                <w:sz w:val="22"/>
                <w:szCs w:val="22"/>
              </w:rPr>
              <w:t>Section 3 –   </w:t>
            </w:r>
          </w:p>
          <w:p w14:paraId="4930C471" w14:textId="77777777" w:rsidR="00354EC4" w:rsidRDefault="00354EC4" w:rsidP="00354EC4">
            <w:pPr>
              <w:numPr>
                <w:ilvl w:val="1"/>
                <w:numId w:val="6"/>
              </w:numPr>
              <w:rPr>
                <w:rFonts w:ascii="Calibri" w:hAnsi="Calibri" w:cs="Calibri"/>
                <w:color w:val="000000"/>
              </w:rPr>
            </w:pPr>
            <w:r>
              <w:rPr>
                <w:rFonts w:ascii="Calibri" w:hAnsi="Calibri" w:cs="Calibri"/>
                <w:color w:val="000000"/>
                <w:sz w:val="22"/>
                <w:szCs w:val="22"/>
              </w:rPr>
              <w:t>3.1 &amp; 3.9: Replace references to GDPR with “applicable data protection law”</w:t>
            </w:r>
          </w:p>
          <w:p w14:paraId="6EED07FA" w14:textId="77777777" w:rsidR="00354EC4" w:rsidRDefault="00354EC4" w:rsidP="00354EC4">
            <w:pPr>
              <w:numPr>
                <w:ilvl w:val="1"/>
                <w:numId w:val="6"/>
              </w:numPr>
              <w:rPr>
                <w:rFonts w:ascii="Calibri" w:hAnsi="Calibri" w:cs="Calibri"/>
                <w:color w:val="000000"/>
              </w:rPr>
            </w:pPr>
            <w:r>
              <w:rPr>
                <w:rFonts w:ascii="Calibri" w:hAnsi="Calibri" w:cs="Calibri"/>
                <w:color w:val="000000"/>
                <w:sz w:val="22"/>
                <w:szCs w:val="22"/>
              </w:rPr>
              <w:t>Section 3.4 – ICANN should clarify what types of records should be maintained with regard to RDDS/WHOIS records</w:t>
            </w:r>
          </w:p>
          <w:p w14:paraId="1657F55D" w14:textId="30C171EE" w:rsidR="00354EC4" w:rsidRDefault="00354EC4" w:rsidP="00354EC4">
            <w:pPr>
              <w:numPr>
                <w:ilvl w:val="1"/>
                <w:numId w:val="6"/>
              </w:numPr>
              <w:rPr>
                <w:rFonts w:ascii="Calibri" w:hAnsi="Calibri" w:cs="Calibri"/>
                <w:color w:val="000000"/>
              </w:rPr>
            </w:pPr>
            <w:r>
              <w:rPr>
                <w:rFonts w:ascii="Calibri" w:hAnsi="Calibri" w:cs="Calibri"/>
                <w:color w:val="000000"/>
                <w:sz w:val="22"/>
                <w:szCs w:val="22"/>
              </w:rPr>
              <w:t>Section 3.5 – Replace with a commitment to provide a standard notice to be developed by ICANN that is concise, transparent, plain language, etc. for RDDS/WHOIS.</w:t>
            </w:r>
          </w:p>
          <w:p w14:paraId="476CA7DB" w14:textId="77777777" w:rsidR="00354EC4" w:rsidRDefault="00354EC4" w:rsidP="00354EC4">
            <w:pPr>
              <w:numPr>
                <w:ilvl w:val="0"/>
                <w:numId w:val="6"/>
              </w:numPr>
              <w:rPr>
                <w:rFonts w:ascii="Calibri" w:hAnsi="Calibri" w:cs="Calibri"/>
                <w:color w:val="000000"/>
              </w:rPr>
            </w:pPr>
            <w:r>
              <w:rPr>
                <w:rFonts w:ascii="Calibri" w:hAnsi="Calibri" w:cs="Calibri"/>
                <w:color w:val="000000"/>
                <w:sz w:val="22"/>
                <w:szCs w:val="22"/>
              </w:rPr>
              <w:t>Section 3.8 – Delete the specific operational details in 3.8.1, but retain the high level principles in the first few sentences, ending the paragraph with “….alteration or disclosure.”  In the implementation stage, ICANN should identify specific operational requirements appropriate for the RDDS/WHOIS data, and include them in the applicable contract.</w:t>
            </w:r>
          </w:p>
          <w:p w14:paraId="2E7069CE" w14:textId="77777777" w:rsidR="00354EC4" w:rsidRDefault="00354EC4" w:rsidP="00354EC4">
            <w:pPr>
              <w:rPr>
                <w:rFonts w:ascii="Calibri" w:hAnsi="Calibri" w:cs="Calibri"/>
                <w:color w:val="000000"/>
              </w:rPr>
            </w:pPr>
            <w:r>
              <w:rPr>
                <w:rFonts w:ascii="Calibri" w:hAnsi="Calibri" w:cs="Calibri"/>
                <w:color w:val="000000"/>
                <w:sz w:val="22"/>
                <w:szCs w:val="22"/>
              </w:rPr>
              <w:t> </w:t>
            </w:r>
          </w:p>
          <w:p w14:paraId="01C147DF" w14:textId="287878DD" w:rsidR="00BA0D5C" w:rsidRPr="002B2F48" w:rsidRDefault="00354EC4" w:rsidP="00963828">
            <w:pPr>
              <w:rPr>
                <w:rFonts w:ascii="Calibri" w:hAnsi="Calibri" w:cs="Calibri"/>
                <w:color w:val="000000"/>
              </w:rPr>
            </w:pPr>
            <w:r>
              <w:rPr>
                <w:rFonts w:ascii="Calibri" w:hAnsi="Calibri" w:cs="Calibri"/>
                <w:b/>
                <w:bCs/>
                <w:color w:val="000000"/>
                <w:sz w:val="22"/>
                <w:szCs w:val="22"/>
              </w:rPr>
              <w:t>Additional Terms for Appendix C:</w:t>
            </w:r>
            <w:r>
              <w:rPr>
                <w:rStyle w:val="apple-converted-space"/>
                <w:rFonts w:ascii="Calibri" w:hAnsi="Calibri" w:cs="Calibri"/>
                <w:b/>
                <w:bCs/>
                <w:color w:val="000000"/>
                <w:sz w:val="22"/>
                <w:szCs w:val="22"/>
              </w:rPr>
              <w:t> </w:t>
            </w:r>
            <w:r>
              <w:rPr>
                <w:rFonts w:ascii="Calibri" w:hAnsi="Calibri" w:cs="Calibri"/>
                <w:color w:val="000000"/>
                <w:sz w:val="22"/>
                <w:szCs w:val="22"/>
              </w:rPr>
              <w:t> There should be standard terms applicable to the Third parties who access non-public data, similar to requirements in Section 1.  Just like RAA Section 3.7.7’s requirements for registration agreements with registrants, standard access agreement terms should be specified in the RAA to apply to the 3</w:t>
            </w:r>
            <w:r>
              <w:rPr>
                <w:rFonts w:ascii="Calibri" w:hAnsi="Calibri" w:cs="Calibri"/>
                <w:color w:val="000000"/>
                <w:sz w:val="22"/>
                <w:szCs w:val="22"/>
                <w:vertAlign w:val="superscript"/>
              </w:rPr>
              <w:t>rd</w:t>
            </w:r>
            <w:r>
              <w:rPr>
                <w:rStyle w:val="apple-converted-space"/>
                <w:rFonts w:ascii="Calibri" w:hAnsi="Calibri" w:cs="Calibri"/>
                <w:color w:val="000000"/>
                <w:sz w:val="22"/>
                <w:szCs w:val="22"/>
              </w:rPr>
              <w:t> </w:t>
            </w:r>
            <w:r>
              <w:rPr>
                <w:rFonts w:ascii="Calibri" w:hAnsi="Calibri" w:cs="Calibri"/>
                <w:color w:val="000000"/>
                <w:sz w:val="22"/>
                <w:szCs w:val="22"/>
              </w:rPr>
              <w:t>parties who access the data (specify their legitimate purposes for accessing the data, agree that they won’t use that data in a manner incompatible with those purposes, etc.).   Without standard T&amp;Cs, each controller/processer could come up with its own access agreement that is either too lax or too onerous</w:t>
            </w:r>
          </w:p>
        </w:tc>
      </w:tr>
    </w:tbl>
    <w:p w14:paraId="798A8DF6" w14:textId="77777777" w:rsidR="00BA0D5C" w:rsidRPr="00501EAE" w:rsidRDefault="00BA0D5C" w:rsidP="007F34CC">
      <w:pPr>
        <w:rPr>
          <w:rFonts w:asciiTheme="minorHAnsi" w:hAnsiTheme="minorHAnsi" w:cstheme="minorHAnsi"/>
          <w:b/>
          <w:sz w:val="22"/>
          <w:szCs w:val="22"/>
        </w:rPr>
      </w:pPr>
    </w:p>
    <w:p w14:paraId="342156F3" w14:textId="77777777" w:rsidR="007064B7" w:rsidRPr="00501EAE" w:rsidRDefault="007064B7" w:rsidP="007F34CC">
      <w:pPr>
        <w:rPr>
          <w:rFonts w:asciiTheme="minorHAnsi" w:hAnsiTheme="minorHAnsi" w:cstheme="minorHAnsi"/>
          <w:b/>
          <w:sz w:val="22"/>
          <w:szCs w:val="22"/>
        </w:rPr>
      </w:pPr>
    </w:p>
    <w:p w14:paraId="270DB727" w14:textId="70E8F58F" w:rsidR="007064B7" w:rsidRPr="00501EAE" w:rsidRDefault="007064B7" w:rsidP="007F34CC">
      <w:pPr>
        <w:rPr>
          <w:rFonts w:asciiTheme="minorHAnsi" w:hAnsiTheme="minorHAnsi" w:cstheme="minorHAnsi"/>
          <w:b/>
          <w:sz w:val="22"/>
          <w:szCs w:val="22"/>
        </w:rPr>
        <w:sectPr w:rsidR="007064B7" w:rsidRPr="00501EAE" w:rsidSect="005E248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BD7330" w:rsidRPr="00501EAE" w14:paraId="2CA9C142" w14:textId="77777777" w:rsidTr="00BD7330">
        <w:trPr>
          <w:trHeight w:val="293"/>
        </w:trPr>
        <w:tc>
          <w:tcPr>
            <w:tcW w:w="12950" w:type="dxa"/>
            <w:tcBorders>
              <w:bottom w:val="single" w:sz="4" w:space="0" w:color="auto"/>
            </w:tcBorders>
            <w:shd w:val="clear" w:color="auto" w:fill="E7E6E6" w:themeFill="background2"/>
          </w:tcPr>
          <w:p w14:paraId="70314179" w14:textId="676BA109" w:rsidR="00BD7330" w:rsidRPr="00501EAE" w:rsidRDefault="00BD7330" w:rsidP="007F34CC">
            <w:pPr>
              <w:rPr>
                <w:rFonts w:asciiTheme="minorHAnsi" w:hAnsiTheme="minorHAnsi" w:cstheme="minorHAnsi"/>
                <w:b/>
                <w:sz w:val="22"/>
                <w:szCs w:val="22"/>
              </w:rPr>
            </w:pPr>
            <w:r w:rsidRPr="00501EAE">
              <w:rPr>
                <w:rFonts w:asciiTheme="minorHAnsi" w:hAnsiTheme="minorHAnsi" w:cstheme="minorHAnsi"/>
                <w:b/>
                <w:sz w:val="22"/>
                <w:szCs w:val="22"/>
              </w:rPr>
              <w:t>Proposed modification of text (if appropriate)</w:t>
            </w:r>
          </w:p>
        </w:tc>
      </w:tr>
      <w:tr w:rsidR="00BD7330" w:rsidRPr="00501EAE" w14:paraId="25EFD97D" w14:textId="77777777" w:rsidTr="00825447">
        <w:trPr>
          <w:trHeight w:val="293"/>
        </w:trPr>
        <w:tc>
          <w:tcPr>
            <w:tcW w:w="12950" w:type="dxa"/>
            <w:tcBorders>
              <w:bottom w:val="single" w:sz="4" w:space="0" w:color="auto"/>
            </w:tcBorders>
            <w:shd w:val="clear" w:color="auto" w:fill="auto"/>
          </w:tcPr>
          <w:p w14:paraId="7FB0350B" w14:textId="512B25EF" w:rsidR="00BD7330" w:rsidRPr="00501EAE" w:rsidRDefault="00825447">
            <w:pPr>
              <w:rPr>
                <w:rFonts w:asciiTheme="minorHAnsi" w:hAnsiTheme="minorHAnsi" w:cstheme="minorHAnsi"/>
                <w:sz w:val="22"/>
                <w:szCs w:val="22"/>
              </w:rPr>
            </w:pPr>
            <w:r w:rsidRPr="00501EAE">
              <w:rPr>
                <w:rFonts w:asciiTheme="minorHAnsi" w:hAnsiTheme="minorHAnsi" w:cstheme="minorHAnsi"/>
                <w:sz w:val="22"/>
                <w:szCs w:val="22"/>
              </w:rPr>
              <w:t>[Include proposed modifications to the text, if applicable]</w:t>
            </w:r>
          </w:p>
        </w:tc>
      </w:tr>
      <w:tr w:rsidR="00BD7330" w:rsidRPr="00501EAE" w14:paraId="215A573B" w14:textId="77777777" w:rsidTr="00825447">
        <w:trPr>
          <w:trHeight w:val="293"/>
        </w:trPr>
        <w:tc>
          <w:tcPr>
            <w:tcW w:w="12950" w:type="dxa"/>
            <w:shd w:val="clear" w:color="auto" w:fill="E7E6E6" w:themeFill="background2"/>
          </w:tcPr>
          <w:p w14:paraId="032E46AF" w14:textId="7E2BC661" w:rsidR="00BD7330" w:rsidRPr="00501EAE" w:rsidRDefault="00BD7330">
            <w:pPr>
              <w:rPr>
                <w:rFonts w:asciiTheme="minorHAnsi" w:hAnsiTheme="minorHAnsi" w:cstheme="minorHAnsi"/>
                <w:b/>
                <w:sz w:val="22"/>
                <w:szCs w:val="22"/>
              </w:rPr>
            </w:pPr>
            <w:r w:rsidRPr="00501EAE">
              <w:rPr>
                <w:rFonts w:asciiTheme="minorHAnsi" w:hAnsiTheme="minorHAnsi" w:cstheme="minorHAnsi"/>
                <w:b/>
                <w:sz w:val="22"/>
                <w:szCs w:val="22"/>
              </w:rPr>
              <w:t>Level of Support</w:t>
            </w:r>
          </w:p>
        </w:tc>
      </w:tr>
      <w:tr w:rsidR="00BD7330" w:rsidRPr="00501EAE" w14:paraId="6194C6CA" w14:textId="77777777" w:rsidTr="00BD7330">
        <w:trPr>
          <w:trHeight w:val="293"/>
        </w:trPr>
        <w:tc>
          <w:tcPr>
            <w:tcW w:w="12950" w:type="dxa"/>
            <w:shd w:val="clear" w:color="auto" w:fill="auto"/>
          </w:tcPr>
          <w:p w14:paraId="25770202" w14:textId="5DB04A9B" w:rsidR="00BD7330" w:rsidRPr="00501EAE" w:rsidRDefault="00825447">
            <w:pPr>
              <w:rPr>
                <w:rFonts w:asciiTheme="minorHAnsi" w:hAnsiTheme="minorHAnsi" w:cstheme="minorHAnsi"/>
                <w:sz w:val="22"/>
                <w:szCs w:val="22"/>
              </w:rPr>
            </w:pPr>
            <w:r w:rsidRPr="00501EAE">
              <w:rPr>
                <w:rFonts w:asciiTheme="minorHAnsi" w:hAnsiTheme="minorHAnsi" w:cstheme="minorHAnsi"/>
                <w:sz w:val="22"/>
                <w:szCs w:val="22"/>
              </w:rPr>
              <w:t>[Indicate level of support for proposed modification, per designations in the charter]</w:t>
            </w:r>
          </w:p>
        </w:tc>
      </w:tr>
    </w:tbl>
    <w:p w14:paraId="74001F5C" w14:textId="77777777" w:rsidR="005E2480" w:rsidRPr="00501EAE" w:rsidRDefault="005E2480">
      <w:pPr>
        <w:rPr>
          <w:rFonts w:asciiTheme="minorHAnsi" w:hAnsiTheme="minorHAnsi" w:cstheme="minorHAnsi"/>
          <w:b/>
          <w:sz w:val="22"/>
          <w:szCs w:val="22"/>
        </w:rPr>
      </w:pPr>
    </w:p>
    <w:sectPr w:rsidR="005E2480" w:rsidRPr="00501EAE" w:rsidSect="0082544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D82A7" w14:textId="77777777" w:rsidR="00766C5D" w:rsidRDefault="00766C5D" w:rsidP="004B19AE">
      <w:r>
        <w:separator/>
      </w:r>
    </w:p>
  </w:endnote>
  <w:endnote w:type="continuationSeparator" w:id="0">
    <w:p w14:paraId="4D49CD45" w14:textId="77777777" w:rsidR="00766C5D" w:rsidRDefault="00766C5D" w:rsidP="004B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6323727"/>
      <w:docPartObj>
        <w:docPartGallery w:val="Page Numbers (Bottom of Page)"/>
        <w:docPartUnique/>
      </w:docPartObj>
    </w:sdtPr>
    <w:sdtContent>
      <w:p w14:paraId="0872F3CF" w14:textId="43C1245D" w:rsidR="00016919" w:rsidRDefault="00016919" w:rsidP="00B96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78F59A" w14:textId="77777777" w:rsidR="00016919" w:rsidRDefault="00016919" w:rsidP="009F4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8224638"/>
      <w:docPartObj>
        <w:docPartGallery w:val="Page Numbers (Bottom of Page)"/>
        <w:docPartUnique/>
      </w:docPartObj>
    </w:sdtPr>
    <w:sdtEndPr>
      <w:rPr>
        <w:rStyle w:val="PageNumber"/>
        <w:sz w:val="18"/>
        <w:szCs w:val="18"/>
      </w:rPr>
    </w:sdtEndPr>
    <w:sdtContent>
      <w:p w14:paraId="1D9DAC1E" w14:textId="3C77FFCC" w:rsidR="00016919" w:rsidRPr="009F4D83" w:rsidRDefault="00016919" w:rsidP="00B96264">
        <w:pPr>
          <w:pStyle w:val="Footer"/>
          <w:framePr w:wrap="none" w:vAnchor="text" w:hAnchor="margin" w:xAlign="right" w:y="1"/>
          <w:rPr>
            <w:rStyle w:val="PageNumber"/>
            <w:sz w:val="18"/>
            <w:szCs w:val="18"/>
          </w:rPr>
        </w:pPr>
        <w:r w:rsidRPr="009F4D83">
          <w:rPr>
            <w:rStyle w:val="PageNumber"/>
            <w:sz w:val="18"/>
            <w:szCs w:val="18"/>
          </w:rPr>
          <w:fldChar w:fldCharType="begin"/>
        </w:r>
        <w:r w:rsidRPr="009F4D83">
          <w:rPr>
            <w:rStyle w:val="PageNumber"/>
            <w:sz w:val="18"/>
            <w:szCs w:val="18"/>
          </w:rPr>
          <w:instrText xml:space="preserve"> PAGE </w:instrText>
        </w:r>
        <w:r w:rsidRPr="009F4D83">
          <w:rPr>
            <w:rStyle w:val="PageNumber"/>
            <w:sz w:val="18"/>
            <w:szCs w:val="18"/>
          </w:rPr>
          <w:fldChar w:fldCharType="separate"/>
        </w:r>
        <w:r>
          <w:rPr>
            <w:rStyle w:val="PageNumber"/>
            <w:noProof/>
            <w:sz w:val="18"/>
            <w:szCs w:val="18"/>
          </w:rPr>
          <w:t>1</w:t>
        </w:r>
        <w:r w:rsidRPr="009F4D83">
          <w:rPr>
            <w:rStyle w:val="PageNumber"/>
            <w:sz w:val="18"/>
            <w:szCs w:val="18"/>
          </w:rPr>
          <w:fldChar w:fldCharType="end"/>
        </w:r>
      </w:p>
    </w:sdtContent>
  </w:sdt>
  <w:p w14:paraId="3638017B" w14:textId="77777777" w:rsidR="00016919" w:rsidRDefault="00016919" w:rsidP="009F4D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74F50" w14:textId="77777777" w:rsidR="00766C5D" w:rsidRDefault="00766C5D" w:rsidP="004B19AE">
      <w:r>
        <w:separator/>
      </w:r>
    </w:p>
  </w:footnote>
  <w:footnote w:type="continuationSeparator" w:id="0">
    <w:p w14:paraId="64B367C2" w14:textId="77777777" w:rsidR="00766C5D" w:rsidRDefault="00766C5D" w:rsidP="004B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B192D"/>
    <w:multiLevelType w:val="multilevel"/>
    <w:tmpl w:val="09E61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9031AF"/>
    <w:multiLevelType w:val="multilevel"/>
    <w:tmpl w:val="8B34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EE4244"/>
    <w:multiLevelType w:val="multilevel"/>
    <w:tmpl w:val="E7D2E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54193F"/>
    <w:multiLevelType w:val="multilevel"/>
    <w:tmpl w:val="68E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52893"/>
    <w:multiLevelType w:val="multilevel"/>
    <w:tmpl w:val="ABC05D1E"/>
    <w:lvl w:ilvl="0">
      <w:start w:val="1"/>
      <w:numFmt w:val="decimal"/>
      <w:lvlText w:val="%1."/>
      <w:lvlJc w:val="left"/>
      <w:pPr>
        <w:tabs>
          <w:tab w:val="num" w:pos="-600"/>
        </w:tabs>
        <w:ind w:left="-600" w:hanging="360"/>
      </w:pPr>
    </w:lvl>
    <w:lvl w:ilvl="1" w:tentative="1">
      <w:start w:val="1"/>
      <w:numFmt w:val="decimal"/>
      <w:lvlText w:val="%2."/>
      <w:lvlJc w:val="left"/>
      <w:pPr>
        <w:tabs>
          <w:tab w:val="num" w:pos="120"/>
        </w:tabs>
        <w:ind w:left="120" w:hanging="360"/>
      </w:pPr>
    </w:lvl>
    <w:lvl w:ilvl="2" w:tentative="1">
      <w:start w:val="1"/>
      <w:numFmt w:val="decimal"/>
      <w:lvlText w:val="%3."/>
      <w:lvlJc w:val="left"/>
      <w:pPr>
        <w:tabs>
          <w:tab w:val="num" w:pos="840"/>
        </w:tabs>
        <w:ind w:left="840" w:hanging="360"/>
      </w:pPr>
    </w:lvl>
    <w:lvl w:ilvl="3" w:tentative="1">
      <w:start w:val="1"/>
      <w:numFmt w:val="decimal"/>
      <w:lvlText w:val="%4."/>
      <w:lvlJc w:val="left"/>
      <w:pPr>
        <w:tabs>
          <w:tab w:val="num" w:pos="1560"/>
        </w:tabs>
        <w:ind w:left="1560" w:hanging="360"/>
      </w:pPr>
    </w:lvl>
    <w:lvl w:ilvl="4" w:tentative="1">
      <w:start w:val="1"/>
      <w:numFmt w:val="decimal"/>
      <w:lvlText w:val="%5."/>
      <w:lvlJc w:val="left"/>
      <w:pPr>
        <w:tabs>
          <w:tab w:val="num" w:pos="2280"/>
        </w:tabs>
        <w:ind w:left="2280" w:hanging="360"/>
      </w:pPr>
    </w:lvl>
    <w:lvl w:ilvl="5" w:tentative="1">
      <w:start w:val="1"/>
      <w:numFmt w:val="decimal"/>
      <w:lvlText w:val="%6."/>
      <w:lvlJc w:val="left"/>
      <w:pPr>
        <w:tabs>
          <w:tab w:val="num" w:pos="3000"/>
        </w:tabs>
        <w:ind w:left="3000" w:hanging="360"/>
      </w:pPr>
    </w:lvl>
    <w:lvl w:ilvl="6" w:tentative="1">
      <w:start w:val="1"/>
      <w:numFmt w:val="decimal"/>
      <w:lvlText w:val="%7."/>
      <w:lvlJc w:val="left"/>
      <w:pPr>
        <w:tabs>
          <w:tab w:val="num" w:pos="3720"/>
        </w:tabs>
        <w:ind w:left="3720" w:hanging="360"/>
      </w:pPr>
    </w:lvl>
    <w:lvl w:ilvl="7" w:tentative="1">
      <w:start w:val="1"/>
      <w:numFmt w:val="decimal"/>
      <w:lvlText w:val="%8."/>
      <w:lvlJc w:val="left"/>
      <w:pPr>
        <w:tabs>
          <w:tab w:val="num" w:pos="4440"/>
        </w:tabs>
        <w:ind w:left="4440" w:hanging="360"/>
      </w:pPr>
    </w:lvl>
    <w:lvl w:ilvl="8" w:tentative="1">
      <w:start w:val="1"/>
      <w:numFmt w:val="decimal"/>
      <w:lvlText w:val="%9."/>
      <w:lvlJc w:val="left"/>
      <w:pPr>
        <w:tabs>
          <w:tab w:val="num" w:pos="5160"/>
        </w:tabs>
        <w:ind w:left="5160" w:hanging="360"/>
      </w:pPr>
    </w:lvl>
  </w:abstractNum>
  <w:abstractNum w:abstractNumId="5" w15:restartNumberingAfterBreak="0">
    <w:nsid w:val="769A35E9"/>
    <w:multiLevelType w:val="multilevel"/>
    <w:tmpl w:val="EDC89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80"/>
    <w:rsid w:val="000031F2"/>
    <w:rsid w:val="00012015"/>
    <w:rsid w:val="00016919"/>
    <w:rsid w:val="00025F7C"/>
    <w:rsid w:val="00046EDE"/>
    <w:rsid w:val="000630BE"/>
    <w:rsid w:val="00077E21"/>
    <w:rsid w:val="00095153"/>
    <w:rsid w:val="000C2B35"/>
    <w:rsid w:val="000D6CCD"/>
    <w:rsid w:val="000E7942"/>
    <w:rsid w:val="000F7C8D"/>
    <w:rsid w:val="00136552"/>
    <w:rsid w:val="00161379"/>
    <w:rsid w:val="00190231"/>
    <w:rsid w:val="001B4525"/>
    <w:rsid w:val="00201C9C"/>
    <w:rsid w:val="002476AC"/>
    <w:rsid w:val="002806AB"/>
    <w:rsid w:val="00284AEC"/>
    <w:rsid w:val="00286E90"/>
    <w:rsid w:val="002A056F"/>
    <w:rsid w:val="002A074F"/>
    <w:rsid w:val="002B2F48"/>
    <w:rsid w:val="002B3DA4"/>
    <w:rsid w:val="002E18F7"/>
    <w:rsid w:val="003075B7"/>
    <w:rsid w:val="0033658B"/>
    <w:rsid w:val="00354EC4"/>
    <w:rsid w:val="003826D4"/>
    <w:rsid w:val="003858C8"/>
    <w:rsid w:val="003E7D44"/>
    <w:rsid w:val="004322CC"/>
    <w:rsid w:val="004335D3"/>
    <w:rsid w:val="00444668"/>
    <w:rsid w:val="004602F9"/>
    <w:rsid w:val="00472244"/>
    <w:rsid w:val="004742D7"/>
    <w:rsid w:val="0047501F"/>
    <w:rsid w:val="0049252C"/>
    <w:rsid w:val="004974B7"/>
    <w:rsid w:val="004B19AE"/>
    <w:rsid w:val="004B4E76"/>
    <w:rsid w:val="004F42AA"/>
    <w:rsid w:val="005014E2"/>
    <w:rsid w:val="00501EAE"/>
    <w:rsid w:val="00553D18"/>
    <w:rsid w:val="005A447D"/>
    <w:rsid w:val="005C4CF4"/>
    <w:rsid w:val="005E2480"/>
    <w:rsid w:val="00610F45"/>
    <w:rsid w:val="0061274C"/>
    <w:rsid w:val="0066393C"/>
    <w:rsid w:val="00672634"/>
    <w:rsid w:val="00682DB3"/>
    <w:rsid w:val="00697E7A"/>
    <w:rsid w:val="006E3731"/>
    <w:rsid w:val="007064B7"/>
    <w:rsid w:val="00713690"/>
    <w:rsid w:val="00766C5D"/>
    <w:rsid w:val="00785782"/>
    <w:rsid w:val="00797421"/>
    <w:rsid w:val="007F34CC"/>
    <w:rsid w:val="00810110"/>
    <w:rsid w:val="00817319"/>
    <w:rsid w:val="00825447"/>
    <w:rsid w:val="00846214"/>
    <w:rsid w:val="008522FE"/>
    <w:rsid w:val="008722F1"/>
    <w:rsid w:val="00874459"/>
    <w:rsid w:val="00875E69"/>
    <w:rsid w:val="00882192"/>
    <w:rsid w:val="008C3D2A"/>
    <w:rsid w:val="008E3A71"/>
    <w:rsid w:val="00907C43"/>
    <w:rsid w:val="00921650"/>
    <w:rsid w:val="00933249"/>
    <w:rsid w:val="009343BB"/>
    <w:rsid w:val="0097630D"/>
    <w:rsid w:val="009C18F9"/>
    <w:rsid w:val="009D3C15"/>
    <w:rsid w:val="009D7AD7"/>
    <w:rsid w:val="009F4D83"/>
    <w:rsid w:val="00A00129"/>
    <w:rsid w:val="00A058C3"/>
    <w:rsid w:val="00A07B87"/>
    <w:rsid w:val="00A14B4D"/>
    <w:rsid w:val="00A5478A"/>
    <w:rsid w:val="00A93125"/>
    <w:rsid w:val="00AA68E3"/>
    <w:rsid w:val="00AB25B7"/>
    <w:rsid w:val="00AB7D9D"/>
    <w:rsid w:val="00B06800"/>
    <w:rsid w:val="00B41DEC"/>
    <w:rsid w:val="00B43767"/>
    <w:rsid w:val="00B66047"/>
    <w:rsid w:val="00B71C26"/>
    <w:rsid w:val="00B91E92"/>
    <w:rsid w:val="00B96264"/>
    <w:rsid w:val="00BA0D5C"/>
    <w:rsid w:val="00BD7330"/>
    <w:rsid w:val="00C06A64"/>
    <w:rsid w:val="00C221CA"/>
    <w:rsid w:val="00C32136"/>
    <w:rsid w:val="00C3502D"/>
    <w:rsid w:val="00C612DD"/>
    <w:rsid w:val="00C7576E"/>
    <w:rsid w:val="00C97C6E"/>
    <w:rsid w:val="00CF1837"/>
    <w:rsid w:val="00D524E1"/>
    <w:rsid w:val="00D9672E"/>
    <w:rsid w:val="00DE0BD3"/>
    <w:rsid w:val="00DE16CB"/>
    <w:rsid w:val="00DE6D1E"/>
    <w:rsid w:val="00E15AFC"/>
    <w:rsid w:val="00E26A69"/>
    <w:rsid w:val="00E71FE4"/>
    <w:rsid w:val="00E85683"/>
    <w:rsid w:val="00E948D0"/>
    <w:rsid w:val="00EA5591"/>
    <w:rsid w:val="00EE622D"/>
    <w:rsid w:val="00F00329"/>
    <w:rsid w:val="00F10C57"/>
    <w:rsid w:val="00F553CA"/>
    <w:rsid w:val="00FD388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B05F8"/>
  <w14:defaultImageDpi w14:val="32767"/>
  <w15:chartTrackingRefBased/>
  <w15:docId w15:val="{378DE443-0A0A-6A4A-9D65-FAC726B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0F4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7319"/>
    <w:pPr>
      <w:spacing w:before="100" w:beforeAutospacing="1" w:after="100" w:afterAutospacing="1"/>
    </w:pPr>
    <w:rPr>
      <w:rFonts w:eastAsia="Times New Roman"/>
    </w:rPr>
  </w:style>
  <w:style w:type="character" w:customStyle="1" w:styleId="apple-converted-space">
    <w:name w:val="apple-converted-space"/>
    <w:basedOn w:val="DefaultParagraphFont"/>
    <w:rsid w:val="00817319"/>
  </w:style>
  <w:style w:type="character" w:styleId="Strong">
    <w:name w:val="Strong"/>
    <w:basedOn w:val="DefaultParagraphFont"/>
    <w:uiPriority w:val="22"/>
    <w:qFormat/>
    <w:rsid w:val="00817319"/>
    <w:rPr>
      <w:b/>
      <w:bCs/>
    </w:rPr>
  </w:style>
  <w:style w:type="character" w:customStyle="1" w:styleId="response-text">
    <w:name w:val="response-text"/>
    <w:basedOn w:val="DefaultParagraphFont"/>
    <w:rsid w:val="002A074F"/>
  </w:style>
  <w:style w:type="paragraph" w:styleId="BalloonText">
    <w:name w:val="Balloon Text"/>
    <w:basedOn w:val="Normal"/>
    <w:link w:val="BalloonTextChar"/>
    <w:uiPriority w:val="99"/>
    <w:semiHidden/>
    <w:unhideWhenUsed/>
    <w:rsid w:val="00D524E1"/>
    <w:rPr>
      <w:rFonts w:eastAsiaTheme="minorEastAsia"/>
      <w:sz w:val="18"/>
      <w:szCs w:val="18"/>
    </w:rPr>
  </w:style>
  <w:style w:type="character" w:customStyle="1" w:styleId="BalloonTextChar">
    <w:name w:val="Balloon Text Char"/>
    <w:basedOn w:val="DefaultParagraphFont"/>
    <w:link w:val="BalloonText"/>
    <w:uiPriority w:val="99"/>
    <w:semiHidden/>
    <w:rsid w:val="00D524E1"/>
    <w:rPr>
      <w:rFonts w:ascii="Times New Roman" w:eastAsiaTheme="minorEastAsia" w:hAnsi="Times New Roman" w:cs="Times New Roman"/>
      <w:sz w:val="18"/>
      <w:szCs w:val="18"/>
    </w:rPr>
  </w:style>
  <w:style w:type="paragraph" w:styleId="FootnoteText">
    <w:name w:val="footnote text"/>
    <w:basedOn w:val="Normal"/>
    <w:link w:val="FootnoteTextChar"/>
    <w:uiPriority w:val="99"/>
    <w:unhideWhenUsed/>
    <w:rsid w:val="004B19A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B19AE"/>
    <w:rPr>
      <w:rFonts w:eastAsiaTheme="minorEastAsia"/>
      <w:sz w:val="20"/>
      <w:szCs w:val="20"/>
    </w:rPr>
  </w:style>
  <w:style w:type="character" w:styleId="FootnoteReference">
    <w:name w:val="footnote reference"/>
    <w:basedOn w:val="DefaultParagraphFont"/>
    <w:uiPriority w:val="99"/>
    <w:unhideWhenUsed/>
    <w:rsid w:val="004B19AE"/>
    <w:rPr>
      <w:vertAlign w:val="superscript"/>
    </w:rPr>
  </w:style>
  <w:style w:type="paragraph" w:styleId="Footer">
    <w:name w:val="footer"/>
    <w:basedOn w:val="Normal"/>
    <w:link w:val="FooterChar"/>
    <w:uiPriority w:val="99"/>
    <w:unhideWhenUsed/>
    <w:rsid w:val="009F4D8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D83"/>
    <w:rPr>
      <w:rFonts w:eastAsiaTheme="minorEastAsia"/>
    </w:rPr>
  </w:style>
  <w:style w:type="character" w:styleId="PageNumber">
    <w:name w:val="page number"/>
    <w:basedOn w:val="DefaultParagraphFont"/>
    <w:uiPriority w:val="99"/>
    <w:semiHidden/>
    <w:unhideWhenUsed/>
    <w:rsid w:val="009F4D83"/>
  </w:style>
  <w:style w:type="paragraph" w:styleId="Header">
    <w:name w:val="header"/>
    <w:basedOn w:val="Normal"/>
    <w:link w:val="HeaderChar"/>
    <w:uiPriority w:val="99"/>
    <w:unhideWhenUsed/>
    <w:rsid w:val="009F4D8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F4D83"/>
    <w:rPr>
      <w:rFonts w:eastAsiaTheme="minorEastAsia"/>
    </w:rPr>
  </w:style>
  <w:style w:type="paragraph" w:styleId="ListParagraph">
    <w:name w:val="List Paragraph"/>
    <w:basedOn w:val="Normal"/>
    <w:uiPriority w:val="34"/>
    <w:qFormat/>
    <w:rsid w:val="00161379"/>
    <w:pPr>
      <w:spacing w:before="100" w:beforeAutospacing="1" w:after="100" w:afterAutospacing="1"/>
    </w:pPr>
    <w:rPr>
      <w:rFonts w:eastAsia="Times New Roman"/>
    </w:rPr>
  </w:style>
  <w:style w:type="character" w:styleId="Hyperlink">
    <w:name w:val="Hyperlink"/>
    <w:basedOn w:val="DefaultParagraphFont"/>
    <w:uiPriority w:val="99"/>
    <w:unhideWhenUsed/>
    <w:rsid w:val="00A93125"/>
    <w:rPr>
      <w:color w:val="0563C1" w:themeColor="hyperlink"/>
      <w:u w:val="single"/>
    </w:rPr>
  </w:style>
  <w:style w:type="character" w:styleId="UnresolvedMention">
    <w:name w:val="Unresolved Mention"/>
    <w:basedOn w:val="DefaultParagraphFont"/>
    <w:uiPriority w:val="99"/>
    <w:rsid w:val="00A9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6619">
      <w:bodyDiv w:val="1"/>
      <w:marLeft w:val="0"/>
      <w:marRight w:val="0"/>
      <w:marTop w:val="0"/>
      <w:marBottom w:val="0"/>
      <w:divBdr>
        <w:top w:val="none" w:sz="0" w:space="0" w:color="auto"/>
        <w:left w:val="none" w:sz="0" w:space="0" w:color="auto"/>
        <w:bottom w:val="none" w:sz="0" w:space="0" w:color="auto"/>
        <w:right w:val="none" w:sz="0" w:space="0" w:color="auto"/>
      </w:divBdr>
    </w:div>
    <w:div w:id="88088411">
      <w:bodyDiv w:val="1"/>
      <w:marLeft w:val="0"/>
      <w:marRight w:val="0"/>
      <w:marTop w:val="0"/>
      <w:marBottom w:val="0"/>
      <w:divBdr>
        <w:top w:val="none" w:sz="0" w:space="0" w:color="auto"/>
        <w:left w:val="none" w:sz="0" w:space="0" w:color="auto"/>
        <w:bottom w:val="none" w:sz="0" w:space="0" w:color="auto"/>
        <w:right w:val="none" w:sz="0" w:space="0" w:color="auto"/>
      </w:divBdr>
    </w:div>
    <w:div w:id="153844163">
      <w:bodyDiv w:val="1"/>
      <w:marLeft w:val="0"/>
      <w:marRight w:val="0"/>
      <w:marTop w:val="0"/>
      <w:marBottom w:val="0"/>
      <w:divBdr>
        <w:top w:val="none" w:sz="0" w:space="0" w:color="auto"/>
        <w:left w:val="none" w:sz="0" w:space="0" w:color="auto"/>
        <w:bottom w:val="none" w:sz="0" w:space="0" w:color="auto"/>
        <w:right w:val="none" w:sz="0" w:space="0" w:color="auto"/>
      </w:divBdr>
    </w:div>
    <w:div w:id="285041570">
      <w:bodyDiv w:val="1"/>
      <w:marLeft w:val="0"/>
      <w:marRight w:val="0"/>
      <w:marTop w:val="0"/>
      <w:marBottom w:val="0"/>
      <w:divBdr>
        <w:top w:val="none" w:sz="0" w:space="0" w:color="auto"/>
        <w:left w:val="none" w:sz="0" w:space="0" w:color="auto"/>
        <w:bottom w:val="none" w:sz="0" w:space="0" w:color="auto"/>
        <w:right w:val="none" w:sz="0" w:space="0" w:color="auto"/>
      </w:divBdr>
    </w:div>
    <w:div w:id="405954932">
      <w:bodyDiv w:val="1"/>
      <w:marLeft w:val="0"/>
      <w:marRight w:val="0"/>
      <w:marTop w:val="0"/>
      <w:marBottom w:val="0"/>
      <w:divBdr>
        <w:top w:val="none" w:sz="0" w:space="0" w:color="auto"/>
        <w:left w:val="none" w:sz="0" w:space="0" w:color="auto"/>
        <w:bottom w:val="none" w:sz="0" w:space="0" w:color="auto"/>
        <w:right w:val="none" w:sz="0" w:space="0" w:color="auto"/>
      </w:divBdr>
    </w:div>
    <w:div w:id="414475881">
      <w:bodyDiv w:val="1"/>
      <w:marLeft w:val="0"/>
      <w:marRight w:val="0"/>
      <w:marTop w:val="0"/>
      <w:marBottom w:val="0"/>
      <w:divBdr>
        <w:top w:val="none" w:sz="0" w:space="0" w:color="auto"/>
        <w:left w:val="none" w:sz="0" w:space="0" w:color="auto"/>
        <w:bottom w:val="none" w:sz="0" w:space="0" w:color="auto"/>
        <w:right w:val="none" w:sz="0" w:space="0" w:color="auto"/>
      </w:divBdr>
    </w:div>
    <w:div w:id="417022007">
      <w:bodyDiv w:val="1"/>
      <w:marLeft w:val="0"/>
      <w:marRight w:val="0"/>
      <w:marTop w:val="0"/>
      <w:marBottom w:val="0"/>
      <w:divBdr>
        <w:top w:val="none" w:sz="0" w:space="0" w:color="auto"/>
        <w:left w:val="none" w:sz="0" w:space="0" w:color="auto"/>
        <w:bottom w:val="none" w:sz="0" w:space="0" w:color="auto"/>
        <w:right w:val="none" w:sz="0" w:space="0" w:color="auto"/>
      </w:divBdr>
    </w:div>
    <w:div w:id="436218423">
      <w:bodyDiv w:val="1"/>
      <w:marLeft w:val="0"/>
      <w:marRight w:val="0"/>
      <w:marTop w:val="0"/>
      <w:marBottom w:val="0"/>
      <w:divBdr>
        <w:top w:val="none" w:sz="0" w:space="0" w:color="auto"/>
        <w:left w:val="none" w:sz="0" w:space="0" w:color="auto"/>
        <w:bottom w:val="none" w:sz="0" w:space="0" w:color="auto"/>
        <w:right w:val="none" w:sz="0" w:space="0" w:color="auto"/>
      </w:divBdr>
    </w:div>
    <w:div w:id="495144979">
      <w:bodyDiv w:val="1"/>
      <w:marLeft w:val="0"/>
      <w:marRight w:val="0"/>
      <w:marTop w:val="0"/>
      <w:marBottom w:val="0"/>
      <w:divBdr>
        <w:top w:val="none" w:sz="0" w:space="0" w:color="auto"/>
        <w:left w:val="none" w:sz="0" w:space="0" w:color="auto"/>
        <w:bottom w:val="none" w:sz="0" w:space="0" w:color="auto"/>
        <w:right w:val="none" w:sz="0" w:space="0" w:color="auto"/>
      </w:divBdr>
    </w:div>
    <w:div w:id="495845632">
      <w:bodyDiv w:val="1"/>
      <w:marLeft w:val="0"/>
      <w:marRight w:val="0"/>
      <w:marTop w:val="0"/>
      <w:marBottom w:val="0"/>
      <w:divBdr>
        <w:top w:val="none" w:sz="0" w:space="0" w:color="auto"/>
        <w:left w:val="none" w:sz="0" w:space="0" w:color="auto"/>
        <w:bottom w:val="none" w:sz="0" w:space="0" w:color="auto"/>
        <w:right w:val="none" w:sz="0" w:space="0" w:color="auto"/>
      </w:divBdr>
    </w:div>
    <w:div w:id="548569072">
      <w:bodyDiv w:val="1"/>
      <w:marLeft w:val="0"/>
      <w:marRight w:val="0"/>
      <w:marTop w:val="0"/>
      <w:marBottom w:val="0"/>
      <w:divBdr>
        <w:top w:val="none" w:sz="0" w:space="0" w:color="auto"/>
        <w:left w:val="none" w:sz="0" w:space="0" w:color="auto"/>
        <w:bottom w:val="none" w:sz="0" w:space="0" w:color="auto"/>
        <w:right w:val="none" w:sz="0" w:space="0" w:color="auto"/>
      </w:divBdr>
    </w:div>
    <w:div w:id="551189418">
      <w:bodyDiv w:val="1"/>
      <w:marLeft w:val="0"/>
      <w:marRight w:val="0"/>
      <w:marTop w:val="0"/>
      <w:marBottom w:val="0"/>
      <w:divBdr>
        <w:top w:val="none" w:sz="0" w:space="0" w:color="auto"/>
        <w:left w:val="none" w:sz="0" w:space="0" w:color="auto"/>
        <w:bottom w:val="none" w:sz="0" w:space="0" w:color="auto"/>
        <w:right w:val="none" w:sz="0" w:space="0" w:color="auto"/>
      </w:divBdr>
    </w:div>
    <w:div w:id="571695682">
      <w:bodyDiv w:val="1"/>
      <w:marLeft w:val="0"/>
      <w:marRight w:val="0"/>
      <w:marTop w:val="0"/>
      <w:marBottom w:val="0"/>
      <w:divBdr>
        <w:top w:val="none" w:sz="0" w:space="0" w:color="auto"/>
        <w:left w:val="none" w:sz="0" w:space="0" w:color="auto"/>
        <w:bottom w:val="none" w:sz="0" w:space="0" w:color="auto"/>
        <w:right w:val="none" w:sz="0" w:space="0" w:color="auto"/>
      </w:divBdr>
    </w:div>
    <w:div w:id="614794950">
      <w:bodyDiv w:val="1"/>
      <w:marLeft w:val="0"/>
      <w:marRight w:val="0"/>
      <w:marTop w:val="0"/>
      <w:marBottom w:val="0"/>
      <w:divBdr>
        <w:top w:val="none" w:sz="0" w:space="0" w:color="auto"/>
        <w:left w:val="none" w:sz="0" w:space="0" w:color="auto"/>
        <w:bottom w:val="none" w:sz="0" w:space="0" w:color="auto"/>
        <w:right w:val="none" w:sz="0" w:space="0" w:color="auto"/>
      </w:divBdr>
    </w:div>
    <w:div w:id="681319534">
      <w:bodyDiv w:val="1"/>
      <w:marLeft w:val="0"/>
      <w:marRight w:val="0"/>
      <w:marTop w:val="0"/>
      <w:marBottom w:val="0"/>
      <w:divBdr>
        <w:top w:val="none" w:sz="0" w:space="0" w:color="auto"/>
        <w:left w:val="none" w:sz="0" w:space="0" w:color="auto"/>
        <w:bottom w:val="none" w:sz="0" w:space="0" w:color="auto"/>
        <w:right w:val="none" w:sz="0" w:space="0" w:color="auto"/>
      </w:divBdr>
    </w:div>
    <w:div w:id="684749452">
      <w:bodyDiv w:val="1"/>
      <w:marLeft w:val="0"/>
      <w:marRight w:val="0"/>
      <w:marTop w:val="0"/>
      <w:marBottom w:val="0"/>
      <w:divBdr>
        <w:top w:val="none" w:sz="0" w:space="0" w:color="auto"/>
        <w:left w:val="none" w:sz="0" w:space="0" w:color="auto"/>
        <w:bottom w:val="none" w:sz="0" w:space="0" w:color="auto"/>
        <w:right w:val="none" w:sz="0" w:space="0" w:color="auto"/>
      </w:divBdr>
    </w:div>
    <w:div w:id="761415399">
      <w:bodyDiv w:val="1"/>
      <w:marLeft w:val="0"/>
      <w:marRight w:val="0"/>
      <w:marTop w:val="0"/>
      <w:marBottom w:val="0"/>
      <w:divBdr>
        <w:top w:val="none" w:sz="0" w:space="0" w:color="auto"/>
        <w:left w:val="none" w:sz="0" w:space="0" w:color="auto"/>
        <w:bottom w:val="none" w:sz="0" w:space="0" w:color="auto"/>
        <w:right w:val="none" w:sz="0" w:space="0" w:color="auto"/>
      </w:divBdr>
    </w:div>
    <w:div w:id="780103746">
      <w:bodyDiv w:val="1"/>
      <w:marLeft w:val="0"/>
      <w:marRight w:val="0"/>
      <w:marTop w:val="0"/>
      <w:marBottom w:val="0"/>
      <w:divBdr>
        <w:top w:val="none" w:sz="0" w:space="0" w:color="auto"/>
        <w:left w:val="none" w:sz="0" w:space="0" w:color="auto"/>
        <w:bottom w:val="none" w:sz="0" w:space="0" w:color="auto"/>
        <w:right w:val="none" w:sz="0" w:space="0" w:color="auto"/>
      </w:divBdr>
      <w:divsChild>
        <w:div w:id="8393922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965834">
      <w:bodyDiv w:val="1"/>
      <w:marLeft w:val="0"/>
      <w:marRight w:val="0"/>
      <w:marTop w:val="0"/>
      <w:marBottom w:val="0"/>
      <w:divBdr>
        <w:top w:val="none" w:sz="0" w:space="0" w:color="auto"/>
        <w:left w:val="none" w:sz="0" w:space="0" w:color="auto"/>
        <w:bottom w:val="none" w:sz="0" w:space="0" w:color="auto"/>
        <w:right w:val="none" w:sz="0" w:space="0" w:color="auto"/>
      </w:divBdr>
    </w:div>
    <w:div w:id="835652709">
      <w:bodyDiv w:val="1"/>
      <w:marLeft w:val="0"/>
      <w:marRight w:val="0"/>
      <w:marTop w:val="0"/>
      <w:marBottom w:val="0"/>
      <w:divBdr>
        <w:top w:val="none" w:sz="0" w:space="0" w:color="auto"/>
        <w:left w:val="none" w:sz="0" w:space="0" w:color="auto"/>
        <w:bottom w:val="none" w:sz="0" w:space="0" w:color="auto"/>
        <w:right w:val="none" w:sz="0" w:space="0" w:color="auto"/>
      </w:divBdr>
    </w:div>
    <w:div w:id="909772504">
      <w:bodyDiv w:val="1"/>
      <w:marLeft w:val="0"/>
      <w:marRight w:val="0"/>
      <w:marTop w:val="0"/>
      <w:marBottom w:val="0"/>
      <w:divBdr>
        <w:top w:val="none" w:sz="0" w:space="0" w:color="auto"/>
        <w:left w:val="none" w:sz="0" w:space="0" w:color="auto"/>
        <w:bottom w:val="none" w:sz="0" w:space="0" w:color="auto"/>
        <w:right w:val="none" w:sz="0" w:space="0" w:color="auto"/>
      </w:divBdr>
    </w:div>
    <w:div w:id="942496238">
      <w:bodyDiv w:val="1"/>
      <w:marLeft w:val="0"/>
      <w:marRight w:val="0"/>
      <w:marTop w:val="0"/>
      <w:marBottom w:val="0"/>
      <w:divBdr>
        <w:top w:val="none" w:sz="0" w:space="0" w:color="auto"/>
        <w:left w:val="none" w:sz="0" w:space="0" w:color="auto"/>
        <w:bottom w:val="none" w:sz="0" w:space="0" w:color="auto"/>
        <w:right w:val="none" w:sz="0" w:space="0" w:color="auto"/>
      </w:divBdr>
    </w:div>
    <w:div w:id="974799079">
      <w:bodyDiv w:val="1"/>
      <w:marLeft w:val="0"/>
      <w:marRight w:val="0"/>
      <w:marTop w:val="0"/>
      <w:marBottom w:val="0"/>
      <w:divBdr>
        <w:top w:val="none" w:sz="0" w:space="0" w:color="auto"/>
        <w:left w:val="none" w:sz="0" w:space="0" w:color="auto"/>
        <w:bottom w:val="none" w:sz="0" w:space="0" w:color="auto"/>
        <w:right w:val="none" w:sz="0" w:space="0" w:color="auto"/>
      </w:divBdr>
      <w:divsChild>
        <w:div w:id="234554823">
          <w:blockQuote w:val="1"/>
          <w:marLeft w:val="0"/>
          <w:marRight w:val="0"/>
          <w:marTop w:val="0"/>
          <w:marBottom w:val="300"/>
          <w:divBdr>
            <w:top w:val="none" w:sz="0" w:space="0" w:color="auto"/>
            <w:left w:val="single" w:sz="36" w:space="15" w:color="EEEEEE"/>
            <w:bottom w:val="none" w:sz="0" w:space="0" w:color="auto"/>
            <w:right w:val="none" w:sz="0" w:space="0" w:color="auto"/>
          </w:divBdr>
        </w:div>
        <w:div w:id="1074400173">
          <w:blockQuote w:val="1"/>
          <w:marLeft w:val="0"/>
          <w:marRight w:val="0"/>
          <w:marTop w:val="0"/>
          <w:marBottom w:val="300"/>
          <w:divBdr>
            <w:top w:val="none" w:sz="0" w:space="0" w:color="auto"/>
            <w:left w:val="single" w:sz="36" w:space="15" w:color="EEEEEE"/>
            <w:bottom w:val="none" w:sz="0" w:space="0" w:color="auto"/>
            <w:right w:val="none" w:sz="0" w:space="0" w:color="auto"/>
          </w:divBdr>
        </w:div>
        <w:div w:id="20712227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97196496">
      <w:bodyDiv w:val="1"/>
      <w:marLeft w:val="0"/>
      <w:marRight w:val="0"/>
      <w:marTop w:val="0"/>
      <w:marBottom w:val="0"/>
      <w:divBdr>
        <w:top w:val="none" w:sz="0" w:space="0" w:color="auto"/>
        <w:left w:val="none" w:sz="0" w:space="0" w:color="auto"/>
        <w:bottom w:val="none" w:sz="0" w:space="0" w:color="auto"/>
        <w:right w:val="none" w:sz="0" w:space="0" w:color="auto"/>
      </w:divBdr>
    </w:div>
    <w:div w:id="1012537642">
      <w:bodyDiv w:val="1"/>
      <w:marLeft w:val="0"/>
      <w:marRight w:val="0"/>
      <w:marTop w:val="0"/>
      <w:marBottom w:val="0"/>
      <w:divBdr>
        <w:top w:val="none" w:sz="0" w:space="0" w:color="auto"/>
        <w:left w:val="none" w:sz="0" w:space="0" w:color="auto"/>
        <w:bottom w:val="none" w:sz="0" w:space="0" w:color="auto"/>
        <w:right w:val="none" w:sz="0" w:space="0" w:color="auto"/>
      </w:divBdr>
    </w:div>
    <w:div w:id="1088621982">
      <w:bodyDiv w:val="1"/>
      <w:marLeft w:val="0"/>
      <w:marRight w:val="0"/>
      <w:marTop w:val="0"/>
      <w:marBottom w:val="0"/>
      <w:divBdr>
        <w:top w:val="none" w:sz="0" w:space="0" w:color="auto"/>
        <w:left w:val="none" w:sz="0" w:space="0" w:color="auto"/>
        <w:bottom w:val="none" w:sz="0" w:space="0" w:color="auto"/>
        <w:right w:val="none" w:sz="0" w:space="0" w:color="auto"/>
      </w:divBdr>
    </w:div>
    <w:div w:id="1161585266">
      <w:bodyDiv w:val="1"/>
      <w:marLeft w:val="0"/>
      <w:marRight w:val="0"/>
      <w:marTop w:val="0"/>
      <w:marBottom w:val="0"/>
      <w:divBdr>
        <w:top w:val="none" w:sz="0" w:space="0" w:color="auto"/>
        <w:left w:val="none" w:sz="0" w:space="0" w:color="auto"/>
        <w:bottom w:val="none" w:sz="0" w:space="0" w:color="auto"/>
        <w:right w:val="none" w:sz="0" w:space="0" w:color="auto"/>
      </w:divBdr>
    </w:div>
    <w:div w:id="1254820851">
      <w:bodyDiv w:val="1"/>
      <w:marLeft w:val="0"/>
      <w:marRight w:val="0"/>
      <w:marTop w:val="0"/>
      <w:marBottom w:val="0"/>
      <w:divBdr>
        <w:top w:val="none" w:sz="0" w:space="0" w:color="auto"/>
        <w:left w:val="none" w:sz="0" w:space="0" w:color="auto"/>
        <w:bottom w:val="none" w:sz="0" w:space="0" w:color="auto"/>
        <w:right w:val="none" w:sz="0" w:space="0" w:color="auto"/>
      </w:divBdr>
    </w:div>
    <w:div w:id="1311524494">
      <w:bodyDiv w:val="1"/>
      <w:marLeft w:val="0"/>
      <w:marRight w:val="0"/>
      <w:marTop w:val="0"/>
      <w:marBottom w:val="0"/>
      <w:divBdr>
        <w:top w:val="none" w:sz="0" w:space="0" w:color="auto"/>
        <w:left w:val="none" w:sz="0" w:space="0" w:color="auto"/>
        <w:bottom w:val="none" w:sz="0" w:space="0" w:color="auto"/>
        <w:right w:val="none" w:sz="0" w:space="0" w:color="auto"/>
      </w:divBdr>
    </w:div>
    <w:div w:id="1313177096">
      <w:bodyDiv w:val="1"/>
      <w:marLeft w:val="0"/>
      <w:marRight w:val="0"/>
      <w:marTop w:val="0"/>
      <w:marBottom w:val="0"/>
      <w:divBdr>
        <w:top w:val="none" w:sz="0" w:space="0" w:color="auto"/>
        <w:left w:val="none" w:sz="0" w:space="0" w:color="auto"/>
        <w:bottom w:val="none" w:sz="0" w:space="0" w:color="auto"/>
        <w:right w:val="none" w:sz="0" w:space="0" w:color="auto"/>
      </w:divBdr>
      <w:divsChild>
        <w:div w:id="1133332638">
          <w:blockQuote w:val="1"/>
          <w:marLeft w:val="0"/>
          <w:marRight w:val="0"/>
          <w:marTop w:val="0"/>
          <w:marBottom w:val="300"/>
          <w:divBdr>
            <w:top w:val="none" w:sz="0" w:space="0" w:color="auto"/>
            <w:left w:val="single" w:sz="36" w:space="15" w:color="EEEEEE"/>
            <w:bottom w:val="none" w:sz="0" w:space="0" w:color="auto"/>
            <w:right w:val="none" w:sz="0" w:space="0" w:color="auto"/>
          </w:divBdr>
        </w:div>
        <w:div w:id="1691252459">
          <w:blockQuote w:val="1"/>
          <w:marLeft w:val="0"/>
          <w:marRight w:val="0"/>
          <w:marTop w:val="0"/>
          <w:marBottom w:val="300"/>
          <w:divBdr>
            <w:top w:val="none" w:sz="0" w:space="0" w:color="auto"/>
            <w:left w:val="single" w:sz="36" w:space="15" w:color="EEEEEE"/>
            <w:bottom w:val="none" w:sz="0" w:space="0" w:color="auto"/>
            <w:right w:val="none" w:sz="0" w:space="0" w:color="auto"/>
          </w:divBdr>
        </w:div>
        <w:div w:id="946741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4868467">
      <w:bodyDiv w:val="1"/>
      <w:marLeft w:val="0"/>
      <w:marRight w:val="0"/>
      <w:marTop w:val="0"/>
      <w:marBottom w:val="0"/>
      <w:divBdr>
        <w:top w:val="none" w:sz="0" w:space="0" w:color="auto"/>
        <w:left w:val="none" w:sz="0" w:space="0" w:color="auto"/>
        <w:bottom w:val="none" w:sz="0" w:space="0" w:color="auto"/>
        <w:right w:val="none" w:sz="0" w:space="0" w:color="auto"/>
      </w:divBdr>
    </w:div>
    <w:div w:id="1403983138">
      <w:bodyDiv w:val="1"/>
      <w:marLeft w:val="0"/>
      <w:marRight w:val="0"/>
      <w:marTop w:val="0"/>
      <w:marBottom w:val="0"/>
      <w:divBdr>
        <w:top w:val="none" w:sz="0" w:space="0" w:color="auto"/>
        <w:left w:val="none" w:sz="0" w:space="0" w:color="auto"/>
        <w:bottom w:val="none" w:sz="0" w:space="0" w:color="auto"/>
        <w:right w:val="none" w:sz="0" w:space="0" w:color="auto"/>
      </w:divBdr>
    </w:div>
    <w:div w:id="1446923885">
      <w:bodyDiv w:val="1"/>
      <w:marLeft w:val="0"/>
      <w:marRight w:val="0"/>
      <w:marTop w:val="0"/>
      <w:marBottom w:val="0"/>
      <w:divBdr>
        <w:top w:val="none" w:sz="0" w:space="0" w:color="auto"/>
        <w:left w:val="none" w:sz="0" w:space="0" w:color="auto"/>
        <w:bottom w:val="none" w:sz="0" w:space="0" w:color="auto"/>
        <w:right w:val="none" w:sz="0" w:space="0" w:color="auto"/>
      </w:divBdr>
    </w:div>
    <w:div w:id="1560627284">
      <w:bodyDiv w:val="1"/>
      <w:marLeft w:val="0"/>
      <w:marRight w:val="0"/>
      <w:marTop w:val="0"/>
      <w:marBottom w:val="0"/>
      <w:divBdr>
        <w:top w:val="none" w:sz="0" w:space="0" w:color="auto"/>
        <w:left w:val="none" w:sz="0" w:space="0" w:color="auto"/>
        <w:bottom w:val="none" w:sz="0" w:space="0" w:color="auto"/>
        <w:right w:val="none" w:sz="0" w:space="0" w:color="auto"/>
      </w:divBdr>
    </w:div>
    <w:div w:id="1594434250">
      <w:bodyDiv w:val="1"/>
      <w:marLeft w:val="0"/>
      <w:marRight w:val="0"/>
      <w:marTop w:val="0"/>
      <w:marBottom w:val="0"/>
      <w:divBdr>
        <w:top w:val="none" w:sz="0" w:space="0" w:color="auto"/>
        <w:left w:val="none" w:sz="0" w:space="0" w:color="auto"/>
        <w:bottom w:val="none" w:sz="0" w:space="0" w:color="auto"/>
        <w:right w:val="none" w:sz="0" w:space="0" w:color="auto"/>
      </w:divBdr>
    </w:div>
    <w:div w:id="1624650479">
      <w:bodyDiv w:val="1"/>
      <w:marLeft w:val="0"/>
      <w:marRight w:val="0"/>
      <w:marTop w:val="0"/>
      <w:marBottom w:val="0"/>
      <w:divBdr>
        <w:top w:val="none" w:sz="0" w:space="0" w:color="auto"/>
        <w:left w:val="none" w:sz="0" w:space="0" w:color="auto"/>
        <w:bottom w:val="none" w:sz="0" w:space="0" w:color="auto"/>
        <w:right w:val="none" w:sz="0" w:space="0" w:color="auto"/>
      </w:divBdr>
    </w:div>
    <w:div w:id="1684820343">
      <w:bodyDiv w:val="1"/>
      <w:marLeft w:val="0"/>
      <w:marRight w:val="0"/>
      <w:marTop w:val="0"/>
      <w:marBottom w:val="0"/>
      <w:divBdr>
        <w:top w:val="none" w:sz="0" w:space="0" w:color="auto"/>
        <w:left w:val="none" w:sz="0" w:space="0" w:color="auto"/>
        <w:bottom w:val="none" w:sz="0" w:space="0" w:color="auto"/>
        <w:right w:val="none" w:sz="0" w:space="0" w:color="auto"/>
      </w:divBdr>
    </w:div>
    <w:div w:id="1766149995">
      <w:bodyDiv w:val="1"/>
      <w:marLeft w:val="0"/>
      <w:marRight w:val="0"/>
      <w:marTop w:val="0"/>
      <w:marBottom w:val="0"/>
      <w:divBdr>
        <w:top w:val="none" w:sz="0" w:space="0" w:color="auto"/>
        <w:left w:val="none" w:sz="0" w:space="0" w:color="auto"/>
        <w:bottom w:val="none" w:sz="0" w:space="0" w:color="auto"/>
        <w:right w:val="none" w:sz="0" w:space="0" w:color="auto"/>
      </w:divBdr>
    </w:div>
    <w:div w:id="1799109772">
      <w:bodyDiv w:val="1"/>
      <w:marLeft w:val="0"/>
      <w:marRight w:val="0"/>
      <w:marTop w:val="0"/>
      <w:marBottom w:val="0"/>
      <w:divBdr>
        <w:top w:val="none" w:sz="0" w:space="0" w:color="auto"/>
        <w:left w:val="none" w:sz="0" w:space="0" w:color="auto"/>
        <w:bottom w:val="none" w:sz="0" w:space="0" w:color="auto"/>
        <w:right w:val="none" w:sz="0" w:space="0" w:color="auto"/>
      </w:divBdr>
    </w:div>
    <w:div w:id="1808352141">
      <w:bodyDiv w:val="1"/>
      <w:marLeft w:val="0"/>
      <w:marRight w:val="0"/>
      <w:marTop w:val="0"/>
      <w:marBottom w:val="0"/>
      <w:divBdr>
        <w:top w:val="none" w:sz="0" w:space="0" w:color="auto"/>
        <w:left w:val="none" w:sz="0" w:space="0" w:color="auto"/>
        <w:bottom w:val="none" w:sz="0" w:space="0" w:color="auto"/>
        <w:right w:val="none" w:sz="0" w:space="0" w:color="auto"/>
      </w:divBdr>
    </w:div>
    <w:div w:id="1814330799">
      <w:bodyDiv w:val="1"/>
      <w:marLeft w:val="0"/>
      <w:marRight w:val="0"/>
      <w:marTop w:val="0"/>
      <w:marBottom w:val="0"/>
      <w:divBdr>
        <w:top w:val="none" w:sz="0" w:space="0" w:color="auto"/>
        <w:left w:val="none" w:sz="0" w:space="0" w:color="auto"/>
        <w:bottom w:val="none" w:sz="0" w:space="0" w:color="auto"/>
        <w:right w:val="none" w:sz="0" w:space="0" w:color="auto"/>
      </w:divBdr>
    </w:div>
    <w:div w:id="1817456396">
      <w:bodyDiv w:val="1"/>
      <w:marLeft w:val="0"/>
      <w:marRight w:val="0"/>
      <w:marTop w:val="0"/>
      <w:marBottom w:val="0"/>
      <w:divBdr>
        <w:top w:val="none" w:sz="0" w:space="0" w:color="auto"/>
        <w:left w:val="none" w:sz="0" w:space="0" w:color="auto"/>
        <w:bottom w:val="none" w:sz="0" w:space="0" w:color="auto"/>
        <w:right w:val="none" w:sz="0" w:space="0" w:color="auto"/>
      </w:divBdr>
    </w:div>
    <w:div w:id="1834448794">
      <w:bodyDiv w:val="1"/>
      <w:marLeft w:val="0"/>
      <w:marRight w:val="0"/>
      <w:marTop w:val="0"/>
      <w:marBottom w:val="0"/>
      <w:divBdr>
        <w:top w:val="none" w:sz="0" w:space="0" w:color="auto"/>
        <w:left w:val="none" w:sz="0" w:space="0" w:color="auto"/>
        <w:bottom w:val="none" w:sz="0" w:space="0" w:color="auto"/>
        <w:right w:val="none" w:sz="0" w:space="0" w:color="auto"/>
      </w:divBdr>
    </w:div>
    <w:div w:id="1936862584">
      <w:bodyDiv w:val="1"/>
      <w:marLeft w:val="0"/>
      <w:marRight w:val="0"/>
      <w:marTop w:val="0"/>
      <w:marBottom w:val="0"/>
      <w:divBdr>
        <w:top w:val="none" w:sz="0" w:space="0" w:color="auto"/>
        <w:left w:val="none" w:sz="0" w:space="0" w:color="auto"/>
        <w:bottom w:val="none" w:sz="0" w:space="0" w:color="auto"/>
        <w:right w:val="none" w:sz="0" w:space="0" w:color="auto"/>
      </w:divBdr>
    </w:div>
    <w:div w:id="1974948146">
      <w:bodyDiv w:val="1"/>
      <w:marLeft w:val="0"/>
      <w:marRight w:val="0"/>
      <w:marTop w:val="0"/>
      <w:marBottom w:val="0"/>
      <w:divBdr>
        <w:top w:val="none" w:sz="0" w:space="0" w:color="auto"/>
        <w:left w:val="none" w:sz="0" w:space="0" w:color="auto"/>
        <w:bottom w:val="none" w:sz="0" w:space="0" w:color="auto"/>
        <w:right w:val="none" w:sz="0" w:space="0" w:color="auto"/>
      </w:divBdr>
    </w:div>
    <w:div w:id="1985967588">
      <w:bodyDiv w:val="1"/>
      <w:marLeft w:val="0"/>
      <w:marRight w:val="0"/>
      <w:marTop w:val="0"/>
      <w:marBottom w:val="0"/>
      <w:divBdr>
        <w:top w:val="none" w:sz="0" w:space="0" w:color="auto"/>
        <w:left w:val="none" w:sz="0" w:space="0" w:color="auto"/>
        <w:bottom w:val="none" w:sz="0" w:space="0" w:color="auto"/>
        <w:right w:val="none" w:sz="0" w:space="0" w:color="auto"/>
      </w:divBdr>
    </w:div>
    <w:div w:id="1990548240">
      <w:bodyDiv w:val="1"/>
      <w:marLeft w:val="0"/>
      <w:marRight w:val="0"/>
      <w:marTop w:val="0"/>
      <w:marBottom w:val="0"/>
      <w:divBdr>
        <w:top w:val="none" w:sz="0" w:space="0" w:color="auto"/>
        <w:left w:val="none" w:sz="0" w:space="0" w:color="auto"/>
        <w:bottom w:val="none" w:sz="0" w:space="0" w:color="auto"/>
        <w:right w:val="none" w:sz="0" w:space="0" w:color="auto"/>
      </w:divBdr>
    </w:div>
    <w:div w:id="1993676064">
      <w:bodyDiv w:val="1"/>
      <w:marLeft w:val="0"/>
      <w:marRight w:val="0"/>
      <w:marTop w:val="0"/>
      <w:marBottom w:val="0"/>
      <w:divBdr>
        <w:top w:val="none" w:sz="0" w:space="0" w:color="auto"/>
        <w:left w:val="none" w:sz="0" w:space="0" w:color="auto"/>
        <w:bottom w:val="none" w:sz="0" w:space="0" w:color="auto"/>
        <w:right w:val="none" w:sz="0" w:space="0" w:color="auto"/>
      </w:divBdr>
    </w:div>
    <w:div w:id="2047219083">
      <w:bodyDiv w:val="1"/>
      <w:marLeft w:val="0"/>
      <w:marRight w:val="0"/>
      <w:marTop w:val="0"/>
      <w:marBottom w:val="0"/>
      <w:divBdr>
        <w:top w:val="none" w:sz="0" w:space="0" w:color="auto"/>
        <w:left w:val="none" w:sz="0" w:space="0" w:color="auto"/>
        <w:bottom w:val="none" w:sz="0" w:space="0" w:color="auto"/>
        <w:right w:val="none" w:sz="0" w:space="0" w:color="auto"/>
      </w:divBdr>
    </w:div>
    <w:div w:id="2094400112">
      <w:bodyDiv w:val="1"/>
      <w:marLeft w:val="0"/>
      <w:marRight w:val="0"/>
      <w:marTop w:val="0"/>
      <w:marBottom w:val="0"/>
      <w:divBdr>
        <w:top w:val="none" w:sz="0" w:space="0" w:color="auto"/>
        <w:left w:val="none" w:sz="0" w:space="0" w:color="auto"/>
        <w:bottom w:val="none" w:sz="0" w:space="0" w:color="auto"/>
        <w:right w:val="none" w:sz="0" w:space="0" w:color="auto"/>
      </w:divBdr>
    </w:div>
    <w:div w:id="2104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ownload/attachments/90771202/Final%20RySG%20Early%20Input%20on%20TempSpec%20with%20App.%20C.pdf?version=1&amp;modificationDate=153635550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6262</Words>
  <Characters>35698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2018-09-11T16:39:00Z</dcterms:created>
  <dcterms:modified xsi:type="dcterms:W3CDTF">2018-09-11T16:40:00Z</dcterms:modified>
</cp:coreProperties>
</file>