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E4E43" w14:textId="77777777" w:rsidR="003C2147" w:rsidRDefault="003C2147"/>
    <w:tbl>
      <w:tblPr>
        <w:tblStyle w:val="TableGrid"/>
        <w:tblW w:w="12685" w:type="dxa"/>
        <w:tblLook w:val="04A0" w:firstRow="1" w:lastRow="0" w:firstColumn="1" w:lastColumn="0" w:noHBand="0" w:noVBand="1"/>
      </w:tblPr>
      <w:tblGrid>
        <w:gridCol w:w="6115"/>
        <w:gridCol w:w="6570"/>
      </w:tblGrid>
      <w:tr w:rsidR="00DA3EE8" w14:paraId="7EA8692B" w14:textId="10F9740F" w:rsidTr="00DA3EE8">
        <w:trPr>
          <w:cantSplit/>
          <w:trHeight w:val="596"/>
        </w:trPr>
        <w:tc>
          <w:tcPr>
            <w:tcW w:w="6115" w:type="dxa"/>
            <w:shd w:val="clear" w:color="auto" w:fill="4472C4" w:themeFill="accent1"/>
          </w:tcPr>
          <w:p w14:paraId="6469CCA1" w14:textId="77777777" w:rsidR="00DA3EE8" w:rsidRDefault="00DA3EE8" w:rsidP="00750A80">
            <w:pPr>
              <w:rPr>
                <w:b/>
                <w:bCs/>
                <w:sz w:val="32"/>
                <w:szCs w:val="32"/>
              </w:rPr>
            </w:pPr>
            <w:bookmarkStart w:id="0" w:name="_GoBack"/>
          </w:p>
          <w:p w14:paraId="5D3175BE" w14:textId="5BFED6B7" w:rsidR="00DA3EE8" w:rsidRPr="003C2147" w:rsidRDefault="00DA3EE8" w:rsidP="00B626A8">
            <w:pPr>
              <w:rPr>
                <w:b/>
                <w:bCs/>
                <w:sz w:val="32"/>
                <w:szCs w:val="32"/>
              </w:rPr>
            </w:pPr>
            <w:r>
              <w:rPr>
                <w:b/>
                <w:bCs/>
                <w:sz w:val="32"/>
                <w:szCs w:val="32"/>
              </w:rPr>
              <w:t>Priority 2 Topics</w:t>
            </w:r>
          </w:p>
        </w:tc>
        <w:tc>
          <w:tcPr>
            <w:tcW w:w="6570" w:type="dxa"/>
            <w:shd w:val="clear" w:color="auto" w:fill="4472C4" w:themeFill="accent1"/>
          </w:tcPr>
          <w:p w14:paraId="03BF9A57" w14:textId="77777777" w:rsidR="00DA3EE8" w:rsidRDefault="00DA3EE8">
            <w:pPr>
              <w:rPr>
                <w:b/>
                <w:bCs/>
                <w:sz w:val="32"/>
                <w:szCs w:val="32"/>
              </w:rPr>
            </w:pPr>
          </w:p>
          <w:p w14:paraId="45B21CD5" w14:textId="27DAC6DC" w:rsidR="00DA3EE8" w:rsidRDefault="00DA3EE8">
            <w:pPr>
              <w:rPr>
                <w:b/>
                <w:bCs/>
                <w:sz w:val="32"/>
                <w:szCs w:val="32"/>
              </w:rPr>
            </w:pPr>
            <w:r>
              <w:rPr>
                <w:b/>
                <w:bCs/>
                <w:sz w:val="32"/>
                <w:szCs w:val="32"/>
              </w:rPr>
              <w:t xml:space="preserve">Next Steps </w:t>
            </w:r>
            <w:proofErr w:type="gramStart"/>
            <w:r>
              <w:rPr>
                <w:b/>
                <w:bCs/>
                <w:sz w:val="32"/>
                <w:szCs w:val="32"/>
              </w:rPr>
              <w:t>&amp;  proposed</w:t>
            </w:r>
            <w:proofErr w:type="gramEnd"/>
            <w:r>
              <w:rPr>
                <w:b/>
                <w:bCs/>
                <w:sz w:val="32"/>
                <w:szCs w:val="32"/>
              </w:rPr>
              <w:t xml:space="preserve"> timing by EPDP Leadership</w:t>
            </w:r>
          </w:p>
          <w:p w14:paraId="4CE618B9" w14:textId="253D8F60" w:rsidR="00DA3EE8" w:rsidRPr="003C2147" w:rsidRDefault="00DA3EE8">
            <w:pPr>
              <w:rPr>
                <w:b/>
                <w:bCs/>
                <w:sz w:val="32"/>
                <w:szCs w:val="32"/>
              </w:rPr>
            </w:pPr>
          </w:p>
        </w:tc>
      </w:tr>
      <w:tr w:rsidR="00DA3EE8" w14:paraId="1281F7D3" w14:textId="324F50AB" w:rsidTr="00DA3EE8">
        <w:trPr>
          <w:cantSplit/>
        </w:trPr>
        <w:tc>
          <w:tcPr>
            <w:tcW w:w="6115" w:type="dxa"/>
            <w:shd w:val="clear" w:color="auto" w:fill="auto"/>
          </w:tcPr>
          <w:p w14:paraId="73490865" w14:textId="658B89DD" w:rsidR="00DA3EE8" w:rsidRPr="000445DA" w:rsidRDefault="00DA3EE8">
            <w:pPr>
              <w:rPr>
                <w:b/>
                <w:bCs/>
              </w:rPr>
            </w:pPr>
            <w:hyperlink r:id="rId5" w:history="1">
              <w:r w:rsidRPr="00FA0EA1">
                <w:rPr>
                  <w:rStyle w:val="Hyperlink"/>
                  <w:b/>
                  <w:bCs/>
                </w:rPr>
                <w:t>Display of information of affiliated vs. accredited privacy / proxy providers</w:t>
              </w:r>
            </w:hyperlink>
          </w:p>
          <w:p w14:paraId="7DF01B69" w14:textId="77777777" w:rsidR="00DA3EE8" w:rsidRDefault="00DA3EE8"/>
          <w:p w14:paraId="1C1247A8" w14:textId="43DFB4FB" w:rsidR="00DA3EE8" w:rsidRPr="00CC6E78" w:rsidRDefault="00DA3EE8" w:rsidP="00CC6E78">
            <w:pPr>
              <w:pStyle w:val="NormalWeb"/>
              <w:spacing w:before="0" w:beforeAutospacing="0" w:after="0" w:afterAutospacing="0"/>
              <w:rPr>
                <w:rFonts w:asciiTheme="minorHAnsi" w:hAnsiTheme="minorHAnsi" w:cstheme="minorHAnsi"/>
              </w:rPr>
            </w:pPr>
            <w:r w:rsidRPr="00CC6E78">
              <w:rPr>
                <w:rFonts w:asciiTheme="minorHAnsi" w:hAnsiTheme="minorHAnsi" w:cstheme="minorHAnsi"/>
              </w:rPr>
              <w:t xml:space="preserve">Phase 1 rec: </w:t>
            </w:r>
            <w:r w:rsidRPr="00CC6E78">
              <w:rPr>
                <w:rFonts w:asciiTheme="minorHAnsi" w:hAnsiTheme="minorHAnsi" w:cstheme="minorHAnsi"/>
                <w:color w:val="000000"/>
              </w:rPr>
              <w:t>“In the case of a domain name registration where an "affiliated" privacy</w:t>
            </w:r>
            <w:r>
              <w:rPr>
                <w:rFonts w:asciiTheme="minorHAnsi" w:hAnsiTheme="minorHAnsi" w:cstheme="minorHAnsi"/>
                <w:color w:val="000000"/>
              </w:rPr>
              <w:t xml:space="preserve"> </w:t>
            </w:r>
            <w:r w:rsidRPr="00CC6E78">
              <w:rPr>
                <w:rFonts w:asciiTheme="minorHAnsi" w:hAnsiTheme="minorHAnsi" w:cstheme="minorHAnsi"/>
                <w:color w:val="000000"/>
              </w:rPr>
              <w:t>/</w:t>
            </w:r>
            <w:r>
              <w:rPr>
                <w:rFonts w:asciiTheme="minorHAnsi" w:hAnsiTheme="minorHAnsi" w:cstheme="minorHAnsi"/>
                <w:color w:val="000000"/>
              </w:rPr>
              <w:t xml:space="preserve"> </w:t>
            </w:r>
            <w:r w:rsidRPr="00CC6E78">
              <w:rPr>
                <w:rFonts w:asciiTheme="minorHAnsi" w:hAnsiTheme="minorHAnsi" w:cstheme="minorHAnsi"/>
                <w:color w:val="000000"/>
              </w:rPr>
              <w:t>proxy service used (e.g. where data</w:t>
            </w:r>
            <w:r>
              <w:rPr>
                <w:rFonts w:asciiTheme="minorHAnsi" w:hAnsiTheme="minorHAnsi" w:cstheme="minorHAnsi"/>
                <w:color w:val="000000"/>
              </w:rPr>
              <w:t xml:space="preserve"> </w:t>
            </w:r>
            <w:r w:rsidRPr="00CC6E78">
              <w:rPr>
                <w:rFonts w:asciiTheme="minorHAnsi" w:hAnsiTheme="minorHAnsi" w:cstheme="minorHAnsi"/>
                <w:color w:val="000000"/>
              </w:rPr>
              <w:t>associated with a natural person is masked), Registrar (and Registry where</w:t>
            </w:r>
            <w:r>
              <w:rPr>
                <w:rFonts w:asciiTheme="minorHAnsi" w:hAnsiTheme="minorHAnsi" w:cstheme="minorHAnsi"/>
                <w:color w:val="000000"/>
              </w:rPr>
              <w:t xml:space="preserve"> </w:t>
            </w:r>
            <w:r w:rsidRPr="00CC6E78">
              <w:rPr>
                <w:rFonts w:asciiTheme="minorHAnsi" w:hAnsiTheme="minorHAnsi" w:cstheme="minorHAnsi"/>
                <w:color w:val="000000"/>
              </w:rPr>
              <w:t>applicable) MUST include in the public RDDS and return in response to any query full non-personal RDDS data of the privacy</w:t>
            </w:r>
            <w:r>
              <w:rPr>
                <w:rFonts w:asciiTheme="minorHAnsi" w:hAnsiTheme="minorHAnsi" w:cstheme="minorHAnsi"/>
                <w:color w:val="000000"/>
              </w:rPr>
              <w:t xml:space="preserve"> </w:t>
            </w:r>
            <w:r w:rsidRPr="00CC6E78">
              <w:rPr>
                <w:rFonts w:asciiTheme="minorHAnsi" w:hAnsiTheme="minorHAnsi" w:cstheme="minorHAnsi"/>
                <w:color w:val="000000"/>
              </w:rPr>
              <w:t>/</w:t>
            </w:r>
            <w:r>
              <w:rPr>
                <w:rFonts w:asciiTheme="minorHAnsi" w:hAnsiTheme="minorHAnsi" w:cstheme="minorHAnsi"/>
                <w:color w:val="000000"/>
              </w:rPr>
              <w:t xml:space="preserve"> </w:t>
            </w:r>
            <w:r w:rsidRPr="00CC6E78">
              <w:rPr>
                <w:rFonts w:asciiTheme="minorHAnsi" w:hAnsiTheme="minorHAnsi" w:cstheme="minorHAnsi"/>
                <w:color w:val="000000"/>
              </w:rPr>
              <w:t>proxy service, which MAY also include the existing</w:t>
            </w:r>
            <w:r>
              <w:rPr>
                <w:rFonts w:ascii="Calibri" w:hAnsi="Calibri" w:cs="Calibri"/>
                <w:color w:val="000000"/>
              </w:rPr>
              <w:t xml:space="preserve"> privacy/proxy pseudonymized email.</w:t>
            </w:r>
          </w:p>
          <w:p w14:paraId="0453AE0F" w14:textId="77777777" w:rsidR="00DA3EE8" w:rsidRDefault="00DA3EE8" w:rsidP="00CC6E78"/>
          <w:p w14:paraId="53D3F025" w14:textId="383F0ABB" w:rsidR="00DA3EE8" w:rsidRDefault="00DA3EE8" w:rsidP="00CC6E78">
            <w:pPr>
              <w:pStyle w:val="NormalWeb"/>
              <w:spacing w:before="0" w:beforeAutospacing="0" w:after="0" w:afterAutospacing="0"/>
            </w:pPr>
            <w:r>
              <w:rPr>
                <w:rFonts w:ascii="Calibri" w:hAnsi="Calibri" w:cs="Calibri"/>
                <w:color w:val="000000"/>
              </w:rPr>
              <w:t>Note, PPSAI is an approved policy that is currently going through implementation. It will be important to understand the interplay between the display of information of affiliated vs. accredited privacy / proxy providers. Based on feedback received on this topic from the PPSAI IRT, the EPDP Team may consider this further in phase 2”.</w:t>
            </w:r>
          </w:p>
        </w:tc>
        <w:tc>
          <w:tcPr>
            <w:tcW w:w="6570" w:type="dxa"/>
          </w:tcPr>
          <w:p w14:paraId="5F40A811" w14:textId="77777777" w:rsidR="00DA3EE8" w:rsidRDefault="00DA3EE8" w:rsidP="008D771A">
            <w:pPr>
              <w:pStyle w:val="ListParagraph"/>
              <w:numPr>
                <w:ilvl w:val="0"/>
                <w:numId w:val="10"/>
              </w:numPr>
            </w:pPr>
            <w:r>
              <w:t>EPDP Support Staff to reach out to GDD colleagues who support the PPSAI IRT (which is currently on hold) to obtain information on if/how the display of information of affiliated vs. accredited privacy / proxy providers is dealt with in the context of the implementation of the PPSAI recommendations (before ICANN66)</w:t>
            </w:r>
          </w:p>
          <w:p w14:paraId="27D67355" w14:textId="1161A835" w:rsidR="00DA3EE8" w:rsidRDefault="00DA3EE8" w:rsidP="00CC6E78">
            <w:pPr>
              <w:pStyle w:val="ListParagraph"/>
              <w:numPr>
                <w:ilvl w:val="0"/>
                <w:numId w:val="10"/>
              </w:numPr>
            </w:pPr>
            <w:r>
              <w:t>Based on input received, EPDP Support Staff to formulate possible next steps to consider this issue (if not addressed through the implementation of the PPSAI recommendations). (by 15 November 2019)</w:t>
            </w:r>
          </w:p>
        </w:tc>
      </w:tr>
      <w:tr w:rsidR="00DA3EE8" w14:paraId="1D4C9739" w14:textId="69135B18" w:rsidTr="00DA3EE8">
        <w:trPr>
          <w:cantSplit/>
        </w:trPr>
        <w:tc>
          <w:tcPr>
            <w:tcW w:w="6115" w:type="dxa"/>
          </w:tcPr>
          <w:p w14:paraId="56389491" w14:textId="25A90388" w:rsidR="00DA3EE8" w:rsidRPr="000445DA" w:rsidRDefault="00DA3EE8">
            <w:pPr>
              <w:rPr>
                <w:b/>
                <w:bCs/>
              </w:rPr>
            </w:pPr>
            <w:hyperlink r:id="rId6" w:history="1">
              <w:r w:rsidRPr="00FA0EA1">
                <w:rPr>
                  <w:rStyle w:val="Hyperlink"/>
                  <w:b/>
                  <w:bCs/>
                </w:rPr>
                <w:t>Legal vs. natural persons</w:t>
              </w:r>
            </w:hyperlink>
          </w:p>
          <w:p w14:paraId="70C1BDA2" w14:textId="77777777" w:rsidR="00DA3EE8" w:rsidRDefault="00DA3EE8"/>
          <w:p w14:paraId="0E0CEB05" w14:textId="0821D947" w:rsidR="00DA3EE8" w:rsidRDefault="00DA3EE8" w:rsidP="00882208">
            <w:pPr>
              <w:pStyle w:val="NormalWeb"/>
              <w:spacing w:before="0" w:beforeAutospacing="0" w:after="0" w:afterAutospacing="0"/>
            </w:pPr>
            <w:r>
              <w:rPr>
                <w:rFonts w:ascii="Calibri" w:hAnsi="Calibri" w:cs="Calibri"/>
                <w:color w:val="000000"/>
              </w:rPr>
              <w:t>Phase 1 rec: 2) The EPDP Team recommends that as soon as possible ICANN Org undertakes a study, for which the terms of reference are developed in consultation with the community, that considers:</w:t>
            </w:r>
          </w:p>
          <w:p w14:paraId="610D8B4C" w14:textId="77777777" w:rsidR="00DA3EE8" w:rsidRDefault="00DA3EE8" w:rsidP="00882208">
            <w:pPr>
              <w:pStyle w:val="NormalWeb"/>
              <w:numPr>
                <w:ilvl w:val="0"/>
                <w:numId w:val="11"/>
              </w:numPr>
              <w:spacing w:before="0" w:beforeAutospacing="0" w:after="0" w:afterAutospacing="0"/>
              <w:ind w:left="338" w:hanging="270"/>
              <w:textAlignment w:val="baseline"/>
              <w:rPr>
                <w:rFonts w:ascii="Calibri" w:hAnsi="Calibri" w:cs="Calibri"/>
                <w:color w:val="000000"/>
              </w:rPr>
            </w:pPr>
            <w:r>
              <w:rPr>
                <w:rFonts w:ascii="Calibri" w:hAnsi="Calibri" w:cs="Calibri"/>
                <w:color w:val="000000"/>
              </w:rPr>
              <w:t>The feasibility and costs including both implementation and potential liability costs of differentiating between legal and natural persons; </w:t>
            </w:r>
          </w:p>
          <w:p w14:paraId="7473810F" w14:textId="77777777" w:rsidR="00DA3EE8" w:rsidRDefault="00DA3EE8" w:rsidP="00882208">
            <w:pPr>
              <w:pStyle w:val="NormalWeb"/>
              <w:numPr>
                <w:ilvl w:val="0"/>
                <w:numId w:val="11"/>
              </w:numPr>
              <w:spacing w:before="0" w:beforeAutospacing="0" w:after="0" w:afterAutospacing="0"/>
              <w:ind w:left="338" w:hanging="270"/>
              <w:textAlignment w:val="baseline"/>
              <w:rPr>
                <w:rFonts w:ascii="Calibri" w:hAnsi="Calibri" w:cs="Calibri"/>
                <w:color w:val="000000"/>
              </w:rPr>
            </w:pPr>
            <w:r w:rsidRPr="00882208">
              <w:rPr>
                <w:rFonts w:ascii="Calibri" w:hAnsi="Calibri" w:cs="Calibri"/>
                <w:color w:val="000000"/>
              </w:rPr>
              <w:t>Examples of industries or other organizations that have successfully differentiated between legal and natural persons; </w:t>
            </w:r>
          </w:p>
          <w:p w14:paraId="4831E448" w14:textId="77777777" w:rsidR="00DA3EE8" w:rsidRDefault="00DA3EE8" w:rsidP="00882208">
            <w:pPr>
              <w:pStyle w:val="NormalWeb"/>
              <w:numPr>
                <w:ilvl w:val="0"/>
                <w:numId w:val="11"/>
              </w:numPr>
              <w:spacing w:before="0" w:beforeAutospacing="0" w:after="0" w:afterAutospacing="0"/>
              <w:ind w:left="338" w:hanging="270"/>
              <w:textAlignment w:val="baseline"/>
              <w:rPr>
                <w:rFonts w:ascii="Calibri" w:hAnsi="Calibri" w:cs="Calibri"/>
                <w:color w:val="000000"/>
              </w:rPr>
            </w:pPr>
            <w:r w:rsidRPr="00882208">
              <w:rPr>
                <w:rFonts w:ascii="Calibri" w:hAnsi="Calibri" w:cs="Calibri"/>
                <w:color w:val="000000"/>
              </w:rPr>
              <w:t>Privacy risks to registered name holders of differentiating between legal and natural persons; and </w:t>
            </w:r>
          </w:p>
          <w:p w14:paraId="0FFAA95B" w14:textId="5F973DFC" w:rsidR="00DA3EE8" w:rsidRPr="00882208" w:rsidRDefault="00DA3EE8" w:rsidP="00882208">
            <w:pPr>
              <w:pStyle w:val="NormalWeb"/>
              <w:numPr>
                <w:ilvl w:val="0"/>
                <w:numId w:val="11"/>
              </w:numPr>
              <w:spacing w:before="0" w:beforeAutospacing="0" w:after="0" w:afterAutospacing="0"/>
              <w:ind w:left="338" w:hanging="270"/>
              <w:textAlignment w:val="baseline"/>
              <w:rPr>
                <w:rFonts w:ascii="Calibri" w:hAnsi="Calibri" w:cs="Calibri"/>
                <w:color w:val="000000"/>
              </w:rPr>
            </w:pPr>
            <w:r w:rsidRPr="00882208">
              <w:rPr>
                <w:rFonts w:ascii="Calibri" w:hAnsi="Calibri" w:cs="Calibri"/>
                <w:color w:val="000000"/>
              </w:rPr>
              <w:t>Other potential risks (if any) to registrars and registries of not differentiating. </w:t>
            </w:r>
          </w:p>
          <w:p w14:paraId="1E3FB073" w14:textId="77777777" w:rsidR="00DA3EE8" w:rsidRDefault="00DA3EE8" w:rsidP="00882208">
            <w:pPr>
              <w:rPr>
                <w:rFonts w:ascii="Times New Roman" w:hAnsi="Times New Roman" w:cs="Times New Roman"/>
              </w:rPr>
            </w:pPr>
          </w:p>
          <w:p w14:paraId="53A872E4" w14:textId="3D0F8209" w:rsidR="00DA3EE8" w:rsidRDefault="00DA3EE8" w:rsidP="00882208">
            <w:pPr>
              <w:pStyle w:val="NormalWeb"/>
              <w:spacing w:before="0" w:beforeAutospacing="0" w:after="0" w:afterAutospacing="0"/>
            </w:pPr>
            <w:r>
              <w:rPr>
                <w:rFonts w:ascii="Calibri" w:hAnsi="Calibri" w:cs="Calibri"/>
                <w:color w:val="000000"/>
              </w:rPr>
              <w:t>3) The EPDP Team will determine and resolve the Legal vs. Natural issue in Phase 2.</w:t>
            </w:r>
          </w:p>
        </w:tc>
        <w:tc>
          <w:tcPr>
            <w:tcW w:w="6570" w:type="dxa"/>
          </w:tcPr>
          <w:p w14:paraId="36B3C049" w14:textId="77777777" w:rsidR="00DA3EE8" w:rsidRDefault="00DA3EE8" w:rsidP="008D771A">
            <w:pPr>
              <w:pStyle w:val="ListParagraph"/>
              <w:numPr>
                <w:ilvl w:val="0"/>
                <w:numId w:val="10"/>
              </w:numPr>
            </w:pPr>
            <w:r>
              <w:t xml:space="preserve">EPDP Support staff to confirm expected next steps and timing to conduct and publish study results (before ICANN66). </w:t>
            </w:r>
          </w:p>
          <w:p w14:paraId="6063C115" w14:textId="77777777" w:rsidR="00DA3EE8" w:rsidRDefault="00DA3EE8" w:rsidP="008D771A">
            <w:pPr>
              <w:pStyle w:val="ListParagraph"/>
              <w:numPr>
                <w:ilvl w:val="0"/>
                <w:numId w:val="10"/>
              </w:numPr>
            </w:pPr>
            <w:r>
              <w:t>Following review of scope of study, legal committee to review additional legal questions propose to determine which, if any, should be submitted to legal counsel prior to completion of study (following ICANN66)</w:t>
            </w:r>
          </w:p>
          <w:p w14:paraId="4B4FF9DC" w14:textId="26127D47" w:rsidR="00DA3EE8" w:rsidRDefault="00DA3EE8" w:rsidP="008D771A">
            <w:pPr>
              <w:pStyle w:val="ListParagraph"/>
              <w:numPr>
                <w:ilvl w:val="0"/>
                <w:numId w:val="10"/>
              </w:numPr>
            </w:pPr>
            <w:r>
              <w:t>Following review of study results, determine which, if any, legal committee to consider which legal questions should be submitted to legal counsel to inform deliberations. (TBD – dependent on delivery of survey results)</w:t>
            </w:r>
          </w:p>
          <w:p w14:paraId="597EE9E4" w14:textId="77777777" w:rsidR="00DA3EE8" w:rsidRDefault="00DA3EE8" w:rsidP="008D771A">
            <w:pPr>
              <w:pStyle w:val="ListParagraph"/>
              <w:numPr>
                <w:ilvl w:val="0"/>
                <w:numId w:val="10"/>
              </w:numPr>
            </w:pPr>
            <w:r>
              <w:t xml:space="preserve">EPDP Team to reconsider whether </w:t>
            </w:r>
          </w:p>
          <w:p w14:paraId="507C298A" w14:textId="0015FC0C" w:rsidR="00DA3EE8" w:rsidRDefault="00DA3EE8" w:rsidP="00882208">
            <w:pPr>
              <w:pStyle w:val="ListParagraph"/>
              <w:ind w:left="360"/>
            </w:pPr>
            <w:r w:rsidRPr="00882208">
              <w:t xml:space="preserve">Contracted Parties be allowed or required to treat legal and natural persons differently, and what mechanism is needed to ensure reliable determination of status </w:t>
            </w:r>
            <w:r>
              <w:t>(TBD – dependent on delivery of survey result)</w:t>
            </w:r>
          </w:p>
          <w:p w14:paraId="269A920B" w14:textId="362F2FF7" w:rsidR="00DA3EE8" w:rsidRDefault="00DA3EE8" w:rsidP="00882208"/>
        </w:tc>
      </w:tr>
      <w:tr w:rsidR="00DA3EE8" w14:paraId="23B4260A" w14:textId="12E1802C" w:rsidTr="00DA3EE8">
        <w:trPr>
          <w:cantSplit/>
        </w:trPr>
        <w:tc>
          <w:tcPr>
            <w:tcW w:w="6115" w:type="dxa"/>
          </w:tcPr>
          <w:p w14:paraId="53349CDA" w14:textId="5E49D698" w:rsidR="00DA3EE8" w:rsidRDefault="00DA3EE8">
            <w:pPr>
              <w:rPr>
                <w:rStyle w:val="Hyperlink"/>
                <w:b/>
                <w:bCs/>
              </w:rPr>
            </w:pPr>
            <w:hyperlink r:id="rId7" w:history="1">
              <w:r w:rsidRPr="00FA0EA1">
                <w:rPr>
                  <w:rStyle w:val="Hyperlink"/>
                  <w:b/>
                  <w:bCs/>
                </w:rPr>
                <w:t>City field redaction</w:t>
              </w:r>
            </w:hyperlink>
          </w:p>
          <w:p w14:paraId="51BA753C" w14:textId="79306DD6" w:rsidR="00DA3EE8" w:rsidRDefault="00DA3EE8">
            <w:pPr>
              <w:rPr>
                <w:rStyle w:val="Hyperlink"/>
                <w:b/>
                <w:bCs/>
              </w:rPr>
            </w:pPr>
          </w:p>
          <w:p w14:paraId="5B29E013" w14:textId="413A0E61" w:rsidR="00DA3EE8" w:rsidRPr="00882208" w:rsidRDefault="00DA3EE8" w:rsidP="00882208">
            <w:pPr>
              <w:pStyle w:val="NormalWeb"/>
              <w:spacing w:before="0" w:beforeAutospacing="0" w:after="0" w:afterAutospacing="0"/>
              <w:rPr>
                <w:rFonts w:ascii="Calibri" w:hAnsi="Calibri" w:cs="Calibri"/>
                <w:color w:val="000000"/>
              </w:rPr>
            </w:pPr>
            <w:r w:rsidRPr="00882208">
              <w:rPr>
                <w:rFonts w:ascii="Calibri" w:hAnsi="Calibri" w:cs="Calibri"/>
                <w:color w:val="000000"/>
              </w:rPr>
              <w:t xml:space="preserve">From phase 1 rec: </w:t>
            </w:r>
            <w:r>
              <w:rPr>
                <w:rFonts w:ascii="Calibri" w:hAnsi="Calibri" w:cs="Calibri"/>
                <w:color w:val="000000"/>
              </w:rPr>
              <w:t>The EPDP Team expects to receive further legal advice on this topic, which it will analyze in phase 2 of its work to determine whether or not this recommendation should be</w:t>
            </w:r>
          </w:p>
          <w:p w14:paraId="7086161D" w14:textId="77777777" w:rsidR="00DA3EE8" w:rsidRPr="00882208" w:rsidRDefault="00DA3EE8" w:rsidP="00882208">
            <w:pPr>
              <w:pStyle w:val="NormalWeb"/>
              <w:spacing w:before="0" w:beforeAutospacing="0" w:after="0" w:afterAutospacing="0"/>
              <w:rPr>
                <w:rFonts w:ascii="Calibri" w:hAnsi="Calibri" w:cs="Calibri"/>
                <w:color w:val="000000"/>
              </w:rPr>
            </w:pPr>
            <w:r>
              <w:rPr>
                <w:rFonts w:ascii="Calibri" w:hAnsi="Calibri" w:cs="Calibri"/>
                <w:color w:val="000000"/>
              </w:rPr>
              <w:t>modified.</w:t>
            </w:r>
          </w:p>
          <w:p w14:paraId="51F2B249" w14:textId="24AFD13B" w:rsidR="00DA3EE8" w:rsidRPr="000445DA" w:rsidRDefault="00DA3EE8" w:rsidP="00882208">
            <w:pPr>
              <w:pStyle w:val="NormalWeb"/>
              <w:spacing w:before="0" w:beforeAutospacing="0" w:after="0" w:afterAutospacing="0"/>
              <w:rPr>
                <w:b/>
                <w:bCs/>
              </w:rPr>
            </w:pPr>
          </w:p>
          <w:p w14:paraId="2472330F" w14:textId="77777777" w:rsidR="00DA3EE8" w:rsidRDefault="00DA3EE8">
            <w:r w:rsidRPr="003C2147">
              <w:tab/>
            </w:r>
          </w:p>
        </w:tc>
        <w:tc>
          <w:tcPr>
            <w:tcW w:w="6570" w:type="dxa"/>
          </w:tcPr>
          <w:p w14:paraId="6FFED918" w14:textId="13F27A35" w:rsidR="00DA3EE8" w:rsidRDefault="00DA3EE8" w:rsidP="00A03204">
            <w:pPr>
              <w:pStyle w:val="ListParagraph"/>
              <w:numPr>
                <w:ilvl w:val="0"/>
                <w:numId w:val="10"/>
              </w:numPr>
            </w:pPr>
            <w:r>
              <w:t xml:space="preserve">Legal committee to review and analyze legal advice received on this topic and recommend next steps to the EPDP Team, which could include modification of the phase 1 recommendation, maintaining phase 1 recommendation as is, and/or additional legal guidance to help inform a determination on whether or not the recommendation should be modified.  </w:t>
            </w:r>
          </w:p>
        </w:tc>
      </w:tr>
      <w:tr w:rsidR="00DA3EE8" w14:paraId="3E654A52" w14:textId="1EDB6801" w:rsidTr="00DA3EE8">
        <w:trPr>
          <w:cantSplit/>
        </w:trPr>
        <w:tc>
          <w:tcPr>
            <w:tcW w:w="6115" w:type="dxa"/>
          </w:tcPr>
          <w:p w14:paraId="6EC11007" w14:textId="2E5900BE" w:rsidR="00DA3EE8" w:rsidRDefault="00DA3EE8">
            <w:pPr>
              <w:rPr>
                <w:rStyle w:val="Hyperlink"/>
                <w:b/>
                <w:bCs/>
              </w:rPr>
            </w:pPr>
            <w:hyperlink r:id="rId8" w:history="1">
              <w:r w:rsidRPr="00FA0EA1">
                <w:rPr>
                  <w:rStyle w:val="Hyperlink"/>
                  <w:b/>
                  <w:bCs/>
                </w:rPr>
                <w:t>Data retention</w:t>
              </w:r>
            </w:hyperlink>
          </w:p>
          <w:p w14:paraId="387692F2" w14:textId="37F02F66" w:rsidR="00DA3EE8" w:rsidRDefault="00DA3EE8">
            <w:pPr>
              <w:rPr>
                <w:rStyle w:val="Hyperlink"/>
                <w:b/>
                <w:bCs/>
              </w:rPr>
            </w:pPr>
          </w:p>
          <w:p w14:paraId="7F90DDA4" w14:textId="3423DB1F" w:rsidR="00DA3EE8" w:rsidRDefault="00DA3EE8" w:rsidP="00882208">
            <w:pPr>
              <w:pStyle w:val="NormalWeb"/>
              <w:spacing w:before="0" w:beforeAutospacing="0" w:after="0" w:afterAutospacing="0"/>
            </w:pPr>
            <w:r w:rsidRPr="00882208">
              <w:rPr>
                <w:rFonts w:ascii="Calibri" w:hAnsi="Calibri" w:cs="Calibri"/>
                <w:color w:val="000000"/>
              </w:rPr>
              <w:t xml:space="preserve">From phase 1 rec: </w:t>
            </w:r>
            <w:r>
              <w:rPr>
                <w:rFonts w:ascii="Calibri" w:hAnsi="Calibri" w:cs="Calibri"/>
                <w:color w:val="000000"/>
              </w:rPr>
              <w:t>In order to inform its Phase 2 deliberations, the EPDP team recommends that ICANN Org, as a matter of urgency, undertakes a review of all of its active processes and procedures so as to identify and document the instances in which personal data is requested from a registrar beyond the period of the 'life of the registration'. Retention periods for specific data elements should then be identified, documented, and relied upon to establish the required relevant and</w:t>
            </w:r>
            <w:r>
              <w:rPr>
                <w:color w:val="000000"/>
              </w:rPr>
              <w:t xml:space="preserve"> </w:t>
            </w:r>
            <w:r>
              <w:rPr>
                <w:rFonts w:ascii="Calibri" w:hAnsi="Calibri" w:cs="Calibri"/>
                <w:color w:val="000000"/>
              </w:rPr>
              <w:t>specific minimum data retention expectations for registrars. The EPDP Team recommends community members be invited to contribute to this data gathering exercise by providing input on other legitimate purposes for which different retention periods may be applicable.</w:t>
            </w:r>
          </w:p>
        </w:tc>
        <w:tc>
          <w:tcPr>
            <w:tcW w:w="6570" w:type="dxa"/>
          </w:tcPr>
          <w:p w14:paraId="76C877FA" w14:textId="77777777" w:rsidR="00DA3EE8" w:rsidRDefault="00DA3EE8" w:rsidP="00405641">
            <w:pPr>
              <w:pStyle w:val="ListParagraph"/>
              <w:numPr>
                <w:ilvl w:val="0"/>
                <w:numId w:val="9"/>
              </w:numPr>
            </w:pPr>
            <w:r>
              <w:t>EPDP Support staff to confirm status of ICANN org’s process and procedures review (before ICANN66)</w:t>
            </w:r>
          </w:p>
          <w:p w14:paraId="6231B29F" w14:textId="03196604" w:rsidR="00DA3EE8" w:rsidRDefault="00DA3EE8" w:rsidP="00405641">
            <w:pPr>
              <w:pStyle w:val="ListParagraph"/>
              <w:numPr>
                <w:ilvl w:val="0"/>
                <w:numId w:val="9"/>
              </w:numPr>
            </w:pPr>
            <w:r>
              <w:t>Following receipt of ICANN org’s review, EPDP Team to consider whether updates are needed to phase 1 data retention recommendation (TBD – dependent on delivery of ICANN org review)</w:t>
            </w:r>
          </w:p>
        </w:tc>
      </w:tr>
      <w:tr w:rsidR="00DA3EE8" w14:paraId="2E905A43" w14:textId="279E69CF" w:rsidTr="00DA3EE8">
        <w:trPr>
          <w:cantSplit/>
        </w:trPr>
        <w:tc>
          <w:tcPr>
            <w:tcW w:w="6115" w:type="dxa"/>
          </w:tcPr>
          <w:p w14:paraId="26D6035D" w14:textId="76753313" w:rsidR="00DA3EE8" w:rsidRDefault="00DA3EE8">
            <w:pPr>
              <w:rPr>
                <w:rStyle w:val="Hyperlink"/>
                <w:b/>
                <w:bCs/>
              </w:rPr>
            </w:pPr>
            <w:hyperlink r:id="rId9" w:history="1">
              <w:r w:rsidRPr="00FA0EA1">
                <w:rPr>
                  <w:rStyle w:val="Hyperlink"/>
                  <w:b/>
                  <w:bCs/>
                </w:rPr>
                <w:t>Potential OCTO Purpose</w:t>
              </w:r>
            </w:hyperlink>
          </w:p>
          <w:p w14:paraId="09354B5A" w14:textId="5C988174" w:rsidR="00DA3EE8" w:rsidRDefault="00DA3EE8">
            <w:pPr>
              <w:rPr>
                <w:rStyle w:val="Hyperlink"/>
                <w:b/>
                <w:bCs/>
              </w:rPr>
            </w:pPr>
          </w:p>
          <w:p w14:paraId="7B5E0E88" w14:textId="3DD846AC" w:rsidR="00DA3EE8" w:rsidRDefault="00DA3EE8" w:rsidP="00552CED">
            <w:pPr>
              <w:pStyle w:val="NormalWeb"/>
              <w:spacing w:before="0" w:beforeAutospacing="0" w:after="0" w:afterAutospacing="0"/>
            </w:pPr>
            <w:r w:rsidRPr="00552CED">
              <w:rPr>
                <w:rFonts w:ascii="Calibri" w:hAnsi="Calibri" w:cs="Calibri"/>
                <w:color w:val="000000"/>
              </w:rPr>
              <w:t xml:space="preserve">From </w:t>
            </w:r>
            <w:r>
              <w:rPr>
                <w:rFonts w:ascii="Calibri" w:hAnsi="Calibri" w:cs="Calibri"/>
                <w:color w:val="000000"/>
              </w:rPr>
              <w:t>phase 1 rec: the EPDP Team commits to considering in Phase 2 of its work whether additional</w:t>
            </w:r>
            <w:r>
              <w:rPr>
                <w:color w:val="000000"/>
              </w:rPr>
              <w:t xml:space="preserve"> </w:t>
            </w:r>
            <w:r>
              <w:rPr>
                <w:rFonts w:ascii="Calibri" w:hAnsi="Calibri" w:cs="Calibri"/>
                <w:color w:val="000000"/>
              </w:rPr>
              <w:t>purposes should be considered to facilitate ICANN’s Office of the Chief Technology</w:t>
            </w:r>
          </w:p>
          <w:p w14:paraId="2AD0A24C" w14:textId="25227D12" w:rsidR="00DA3EE8" w:rsidRDefault="00DA3EE8" w:rsidP="00552CED">
            <w:pPr>
              <w:pStyle w:val="NormalWeb"/>
              <w:spacing w:before="0" w:beforeAutospacing="0" w:after="0" w:afterAutospacing="0"/>
            </w:pPr>
            <w:r>
              <w:rPr>
                <w:rFonts w:ascii="Calibri" w:hAnsi="Calibri" w:cs="Calibri"/>
                <w:color w:val="000000"/>
              </w:rPr>
              <w:t xml:space="preserve">Officer (OCTO) to carry out its mission (see </w:t>
            </w:r>
            <w:r>
              <w:rPr>
                <w:rFonts w:ascii="Calibri" w:hAnsi="Calibri" w:cs="Calibri"/>
                <w:color w:val="0000FF"/>
              </w:rPr>
              <w:t>https://www.icann.org/octo</w:t>
            </w:r>
            <w:r>
              <w:rPr>
                <w:rFonts w:ascii="Calibri" w:hAnsi="Calibri" w:cs="Calibri"/>
                <w:color w:val="000000"/>
              </w:rPr>
              <w:t>). This</w:t>
            </w:r>
            <w:r>
              <w:rPr>
                <w:color w:val="000000"/>
              </w:rPr>
              <w:t xml:space="preserve"> </w:t>
            </w:r>
            <w:r>
              <w:rPr>
                <w:rFonts w:ascii="Calibri" w:hAnsi="Calibri" w:cs="Calibri"/>
                <w:color w:val="000000"/>
              </w:rPr>
              <w:t>consideration should be informed by legal guidance on if/how provisions in the</w:t>
            </w:r>
          </w:p>
          <w:p w14:paraId="7B4BD681" w14:textId="04ED1B31" w:rsidR="00DA3EE8" w:rsidRDefault="00DA3EE8" w:rsidP="00552CED">
            <w:pPr>
              <w:pStyle w:val="NormalWeb"/>
              <w:spacing w:before="0" w:beforeAutospacing="0" w:after="0" w:afterAutospacing="0"/>
            </w:pPr>
            <w:r>
              <w:rPr>
                <w:rFonts w:ascii="Calibri" w:hAnsi="Calibri" w:cs="Calibri"/>
                <w:color w:val="000000"/>
              </w:rPr>
              <w:t>GDPR concerning research apply to ICANN Org and the expression for the need of</w:t>
            </w:r>
            <w:r>
              <w:rPr>
                <w:color w:val="000000"/>
              </w:rPr>
              <w:t xml:space="preserve"> </w:t>
            </w:r>
            <w:r>
              <w:rPr>
                <w:rFonts w:ascii="Calibri" w:hAnsi="Calibri" w:cs="Calibri"/>
                <w:color w:val="000000"/>
              </w:rPr>
              <w:t>such pseudonymized data by ICANN.”</w:t>
            </w:r>
          </w:p>
        </w:tc>
        <w:tc>
          <w:tcPr>
            <w:tcW w:w="6570" w:type="dxa"/>
          </w:tcPr>
          <w:p w14:paraId="35A58686" w14:textId="31FDF38D" w:rsidR="00DA3EE8" w:rsidRDefault="00DA3EE8" w:rsidP="008D771A">
            <w:pPr>
              <w:pStyle w:val="ListParagraph"/>
              <w:numPr>
                <w:ilvl w:val="0"/>
                <w:numId w:val="9"/>
              </w:numPr>
            </w:pPr>
            <w:r>
              <w:t xml:space="preserve">EPDP Support Staff to follow up with ICANN org whether status of input provided during phase 1 has changed and/or whether any legal guidance has been obtained in relation to ICANN org having a </w:t>
            </w:r>
            <w:proofErr w:type="gramStart"/>
            <w:r>
              <w:t>qualified  research</w:t>
            </w:r>
            <w:proofErr w:type="gramEnd"/>
            <w:r>
              <w:t xml:space="preserve"> position under GDPR (prior to ICANN66)</w:t>
            </w:r>
          </w:p>
          <w:p w14:paraId="034E0132" w14:textId="62C735E9" w:rsidR="00DA3EE8" w:rsidRDefault="00DA3EE8" w:rsidP="008D771A">
            <w:pPr>
              <w:pStyle w:val="ListParagraph"/>
              <w:numPr>
                <w:ilvl w:val="0"/>
                <w:numId w:val="9"/>
              </w:numPr>
            </w:pPr>
            <w:r>
              <w:t xml:space="preserve">Based on feedback received, EPDP Team to determine next steps. </w:t>
            </w:r>
          </w:p>
        </w:tc>
      </w:tr>
      <w:tr w:rsidR="00DA3EE8" w14:paraId="62088349" w14:textId="62908A38" w:rsidTr="00DA3EE8">
        <w:trPr>
          <w:cantSplit/>
        </w:trPr>
        <w:tc>
          <w:tcPr>
            <w:tcW w:w="6115" w:type="dxa"/>
          </w:tcPr>
          <w:p w14:paraId="1B4DEAB4" w14:textId="150C32DC" w:rsidR="00DA3EE8" w:rsidRPr="000445DA" w:rsidRDefault="00DA3EE8">
            <w:pPr>
              <w:rPr>
                <w:b/>
                <w:bCs/>
              </w:rPr>
            </w:pPr>
            <w:hyperlink r:id="rId10" w:history="1">
              <w:r w:rsidRPr="00FA0EA1">
                <w:rPr>
                  <w:rStyle w:val="Hyperlink"/>
                  <w:b/>
                  <w:bCs/>
                </w:rPr>
                <w:t>Feasibility of unique contacts to have a uniform anonymized email address</w:t>
              </w:r>
            </w:hyperlink>
          </w:p>
          <w:p w14:paraId="7CFAB1DD" w14:textId="77777777" w:rsidR="00DA3EE8" w:rsidRDefault="00DA3EE8"/>
          <w:p w14:paraId="1731B311" w14:textId="13EA1786" w:rsidR="00DA3EE8" w:rsidRPr="00552CED" w:rsidRDefault="00DA3EE8">
            <w:pPr>
              <w:rPr>
                <w:rFonts w:eastAsia="Times New Roman"/>
              </w:rPr>
            </w:pPr>
            <w:r>
              <w:t xml:space="preserve">From the Annex to the Temporary Specification: </w:t>
            </w:r>
            <w:r>
              <w:rPr>
                <w:rFonts w:ascii="Calibri" w:hAnsi="Calibri" w:cs="Calibri"/>
                <w:color w:val="000000"/>
              </w:rPr>
              <w:t>Addressing the feasibility of requiring unique contacts to have a uniform anonymized email address across domain name registrations at a given Registrar, while ensuring security/stability and meeting the requirements of Section 2.5.1 of Appendix A.</w:t>
            </w:r>
          </w:p>
        </w:tc>
        <w:tc>
          <w:tcPr>
            <w:tcW w:w="6570" w:type="dxa"/>
          </w:tcPr>
          <w:p w14:paraId="7DC122AB" w14:textId="77777777" w:rsidR="00DA3EE8" w:rsidRDefault="00DA3EE8" w:rsidP="008D771A">
            <w:pPr>
              <w:pStyle w:val="ListParagraph"/>
              <w:numPr>
                <w:ilvl w:val="0"/>
                <w:numId w:val="9"/>
              </w:numPr>
            </w:pPr>
            <w:r>
              <w:t>Legal Committee to review questions proposed re: feasibility of unique contacts to have a uniform anonymized email address, for submission to legal counsel.</w:t>
            </w:r>
          </w:p>
          <w:p w14:paraId="5E1362E2" w14:textId="7855A947" w:rsidR="00DA3EE8" w:rsidRDefault="00DA3EE8" w:rsidP="008D771A">
            <w:pPr>
              <w:pStyle w:val="ListParagraph"/>
              <w:numPr>
                <w:ilvl w:val="0"/>
                <w:numId w:val="9"/>
              </w:numPr>
            </w:pPr>
            <w:r>
              <w:t xml:space="preserve">EPDP Team to consider this issue once legal guidance has been received. </w:t>
            </w:r>
          </w:p>
        </w:tc>
      </w:tr>
      <w:tr w:rsidR="00DA3EE8" w14:paraId="58243C74" w14:textId="28C54F18" w:rsidTr="00DA3EE8">
        <w:trPr>
          <w:cantSplit/>
        </w:trPr>
        <w:tc>
          <w:tcPr>
            <w:tcW w:w="6115" w:type="dxa"/>
          </w:tcPr>
          <w:p w14:paraId="36A4D692" w14:textId="657A7EAC" w:rsidR="00DA3EE8" w:rsidRPr="001A4A25" w:rsidRDefault="00DA3EE8" w:rsidP="00750A80">
            <w:pPr>
              <w:rPr>
                <w:b/>
                <w:bCs/>
              </w:rPr>
            </w:pPr>
            <w:hyperlink r:id="rId11" w:history="1">
              <w:r w:rsidRPr="00FA0EA1">
                <w:rPr>
                  <w:rStyle w:val="Hyperlink"/>
                  <w:b/>
                  <w:bCs/>
                </w:rPr>
                <w:t>Accuracy and WHOIS Accuracy Reporting System</w:t>
              </w:r>
            </w:hyperlink>
          </w:p>
          <w:p w14:paraId="0A70AB19" w14:textId="77777777" w:rsidR="00DA3EE8" w:rsidRPr="001A4A25" w:rsidRDefault="00DA3EE8">
            <w:pPr>
              <w:rPr>
                <w:b/>
                <w:bCs/>
              </w:rPr>
            </w:pPr>
          </w:p>
        </w:tc>
        <w:tc>
          <w:tcPr>
            <w:tcW w:w="6570" w:type="dxa"/>
          </w:tcPr>
          <w:p w14:paraId="34782123" w14:textId="04A0DFF1" w:rsidR="00DA3EE8" w:rsidRDefault="00DA3EE8" w:rsidP="008D771A">
            <w:pPr>
              <w:pStyle w:val="ListParagraph"/>
              <w:numPr>
                <w:ilvl w:val="0"/>
                <w:numId w:val="9"/>
              </w:numPr>
            </w:pPr>
            <w:r>
              <w:t xml:space="preserve">As this is also the subject of a discussion that is taking place between ICANN org and the GNSO Council [include link to letter], await outcome of this discussion to obtain specific guidance on what the EPDP Team is expected to consider in relation to accuracy and ARS. </w:t>
            </w:r>
          </w:p>
        </w:tc>
      </w:tr>
      <w:bookmarkEnd w:id="0"/>
    </w:tbl>
    <w:p w14:paraId="7BA18492" w14:textId="77777777" w:rsidR="00404709" w:rsidRDefault="00404709"/>
    <w:sectPr w:rsidR="00404709" w:rsidSect="00CC6E7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E2B"/>
    <w:multiLevelType w:val="hybridMultilevel"/>
    <w:tmpl w:val="AC76B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4274D"/>
    <w:multiLevelType w:val="multilevel"/>
    <w:tmpl w:val="C302D80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183B4398"/>
    <w:multiLevelType w:val="hybridMultilevel"/>
    <w:tmpl w:val="9D4278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D5509E"/>
    <w:multiLevelType w:val="hybridMultilevel"/>
    <w:tmpl w:val="C9C05206"/>
    <w:lvl w:ilvl="0" w:tplc="1AC2FB16">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B76D2"/>
    <w:multiLevelType w:val="hybridMultilevel"/>
    <w:tmpl w:val="6D8CE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8473F2"/>
    <w:multiLevelType w:val="hybridMultilevel"/>
    <w:tmpl w:val="C380B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867B52"/>
    <w:multiLevelType w:val="hybridMultilevel"/>
    <w:tmpl w:val="63564670"/>
    <w:lvl w:ilvl="0" w:tplc="8CCE1F0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505012"/>
    <w:multiLevelType w:val="hybridMultilevel"/>
    <w:tmpl w:val="99886A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8F0F04"/>
    <w:multiLevelType w:val="hybridMultilevel"/>
    <w:tmpl w:val="10087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D44FA3"/>
    <w:multiLevelType w:val="multilevel"/>
    <w:tmpl w:val="EAE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75FF0"/>
    <w:multiLevelType w:val="hybridMultilevel"/>
    <w:tmpl w:val="B06E1E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num>
  <w:num w:numId="3">
    <w:abstractNumId w:val="10"/>
  </w:num>
  <w:num w:numId="4">
    <w:abstractNumId w:val="0"/>
  </w:num>
  <w:num w:numId="5">
    <w:abstractNumId w:val="7"/>
  </w:num>
  <w:num w:numId="6">
    <w:abstractNumId w:val="2"/>
  </w:num>
  <w:num w:numId="7">
    <w:abstractNumId w:val="3"/>
  </w:num>
  <w:num w:numId="8">
    <w:abstractNumId w:val="8"/>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47"/>
    <w:rsid w:val="000445DA"/>
    <w:rsid w:val="001A4A25"/>
    <w:rsid w:val="001A4CB6"/>
    <w:rsid w:val="00237BC0"/>
    <w:rsid w:val="0035435A"/>
    <w:rsid w:val="00367BEF"/>
    <w:rsid w:val="003C2147"/>
    <w:rsid w:val="003F5D59"/>
    <w:rsid w:val="00404709"/>
    <w:rsid w:val="00405641"/>
    <w:rsid w:val="004076B0"/>
    <w:rsid w:val="00440B65"/>
    <w:rsid w:val="004414C3"/>
    <w:rsid w:val="00460B1C"/>
    <w:rsid w:val="004D3072"/>
    <w:rsid w:val="00552CED"/>
    <w:rsid w:val="005D47E7"/>
    <w:rsid w:val="006A4261"/>
    <w:rsid w:val="00713856"/>
    <w:rsid w:val="00750A80"/>
    <w:rsid w:val="007944F2"/>
    <w:rsid w:val="00882208"/>
    <w:rsid w:val="008D771A"/>
    <w:rsid w:val="00903F1C"/>
    <w:rsid w:val="009A6F95"/>
    <w:rsid w:val="00A03204"/>
    <w:rsid w:val="00A13469"/>
    <w:rsid w:val="00B452E1"/>
    <w:rsid w:val="00B626A8"/>
    <w:rsid w:val="00B85CC8"/>
    <w:rsid w:val="00BD7FDE"/>
    <w:rsid w:val="00BF1AA9"/>
    <w:rsid w:val="00BF73B4"/>
    <w:rsid w:val="00C12510"/>
    <w:rsid w:val="00C90CB3"/>
    <w:rsid w:val="00CC6E78"/>
    <w:rsid w:val="00D25E8B"/>
    <w:rsid w:val="00DA3EE8"/>
    <w:rsid w:val="00DC58CE"/>
    <w:rsid w:val="00F94C3E"/>
    <w:rsid w:val="00FA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4D50"/>
  <w15:chartTrackingRefBased/>
  <w15:docId w15:val="{5EB4261B-9765-D04F-BAD9-203849B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3C214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C2147"/>
    <w:pPr>
      <w:ind w:left="720"/>
      <w:contextualSpacing/>
    </w:pPr>
  </w:style>
  <w:style w:type="paragraph" w:styleId="NormalWeb">
    <w:name w:val="Normal (Web)"/>
    <w:basedOn w:val="Normal"/>
    <w:uiPriority w:val="99"/>
    <w:unhideWhenUsed/>
    <w:rsid w:val="003C2147"/>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4CB6"/>
    <w:rPr>
      <w:sz w:val="16"/>
      <w:szCs w:val="16"/>
    </w:rPr>
  </w:style>
  <w:style w:type="paragraph" w:styleId="CommentText">
    <w:name w:val="annotation text"/>
    <w:basedOn w:val="Normal"/>
    <w:link w:val="CommentTextChar"/>
    <w:uiPriority w:val="99"/>
    <w:semiHidden/>
    <w:unhideWhenUsed/>
    <w:rsid w:val="001A4CB6"/>
    <w:rPr>
      <w:sz w:val="20"/>
      <w:szCs w:val="20"/>
    </w:rPr>
  </w:style>
  <w:style w:type="character" w:customStyle="1" w:styleId="CommentTextChar">
    <w:name w:val="Comment Text Char"/>
    <w:basedOn w:val="DefaultParagraphFont"/>
    <w:link w:val="CommentText"/>
    <w:uiPriority w:val="99"/>
    <w:semiHidden/>
    <w:rsid w:val="001A4CB6"/>
    <w:rPr>
      <w:sz w:val="20"/>
      <w:szCs w:val="20"/>
    </w:rPr>
  </w:style>
  <w:style w:type="paragraph" w:styleId="CommentSubject">
    <w:name w:val="annotation subject"/>
    <w:basedOn w:val="CommentText"/>
    <w:next w:val="CommentText"/>
    <w:link w:val="CommentSubjectChar"/>
    <w:uiPriority w:val="99"/>
    <w:semiHidden/>
    <w:unhideWhenUsed/>
    <w:rsid w:val="001A4CB6"/>
    <w:rPr>
      <w:b/>
      <w:bCs/>
    </w:rPr>
  </w:style>
  <w:style w:type="character" w:customStyle="1" w:styleId="CommentSubjectChar">
    <w:name w:val="Comment Subject Char"/>
    <w:basedOn w:val="CommentTextChar"/>
    <w:link w:val="CommentSubject"/>
    <w:uiPriority w:val="99"/>
    <w:semiHidden/>
    <w:rsid w:val="001A4CB6"/>
    <w:rPr>
      <w:b/>
      <w:bCs/>
      <w:sz w:val="20"/>
      <w:szCs w:val="20"/>
    </w:rPr>
  </w:style>
  <w:style w:type="paragraph" w:styleId="BalloonText">
    <w:name w:val="Balloon Text"/>
    <w:basedOn w:val="Normal"/>
    <w:link w:val="BalloonTextChar"/>
    <w:uiPriority w:val="99"/>
    <w:semiHidden/>
    <w:unhideWhenUsed/>
    <w:rsid w:val="001A4C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4CB6"/>
    <w:rPr>
      <w:rFonts w:ascii="Times New Roman" w:hAnsi="Times New Roman" w:cs="Times New Roman"/>
      <w:sz w:val="18"/>
      <w:szCs w:val="18"/>
    </w:rPr>
  </w:style>
  <w:style w:type="character" w:styleId="Hyperlink">
    <w:name w:val="Hyperlink"/>
    <w:basedOn w:val="DefaultParagraphFont"/>
    <w:uiPriority w:val="99"/>
    <w:unhideWhenUsed/>
    <w:rsid w:val="00FA0EA1"/>
    <w:rPr>
      <w:color w:val="0563C1" w:themeColor="hyperlink"/>
      <w:u w:val="single"/>
    </w:rPr>
  </w:style>
  <w:style w:type="character" w:styleId="UnresolvedMention">
    <w:name w:val="Unresolved Mention"/>
    <w:basedOn w:val="DefaultParagraphFont"/>
    <w:uiPriority w:val="99"/>
    <w:rsid w:val="00FA0EA1"/>
    <w:rPr>
      <w:color w:val="605E5C"/>
      <w:shd w:val="clear" w:color="auto" w:fill="E1DFDD"/>
    </w:rPr>
  </w:style>
  <w:style w:type="character" w:styleId="FollowedHyperlink">
    <w:name w:val="FollowedHyperlink"/>
    <w:basedOn w:val="DefaultParagraphFont"/>
    <w:uiPriority w:val="99"/>
    <w:semiHidden/>
    <w:unhideWhenUsed/>
    <w:rsid w:val="00FA0EA1"/>
    <w:rPr>
      <w:color w:val="954F72" w:themeColor="followedHyperlink"/>
      <w:u w:val="single"/>
    </w:rPr>
  </w:style>
  <w:style w:type="paragraph" w:customStyle="1" w:styleId="Default">
    <w:name w:val="Default"/>
    <w:rsid w:val="0088220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087">
      <w:bodyDiv w:val="1"/>
      <w:marLeft w:val="0"/>
      <w:marRight w:val="0"/>
      <w:marTop w:val="0"/>
      <w:marBottom w:val="0"/>
      <w:divBdr>
        <w:top w:val="none" w:sz="0" w:space="0" w:color="auto"/>
        <w:left w:val="none" w:sz="0" w:space="0" w:color="auto"/>
        <w:bottom w:val="none" w:sz="0" w:space="0" w:color="auto"/>
        <w:right w:val="none" w:sz="0" w:space="0" w:color="auto"/>
      </w:divBdr>
    </w:div>
    <w:div w:id="55707031">
      <w:bodyDiv w:val="1"/>
      <w:marLeft w:val="0"/>
      <w:marRight w:val="0"/>
      <w:marTop w:val="0"/>
      <w:marBottom w:val="0"/>
      <w:divBdr>
        <w:top w:val="none" w:sz="0" w:space="0" w:color="auto"/>
        <w:left w:val="none" w:sz="0" w:space="0" w:color="auto"/>
        <w:bottom w:val="none" w:sz="0" w:space="0" w:color="auto"/>
        <w:right w:val="none" w:sz="0" w:space="0" w:color="auto"/>
      </w:divBdr>
    </w:div>
    <w:div w:id="278802964">
      <w:bodyDiv w:val="1"/>
      <w:marLeft w:val="0"/>
      <w:marRight w:val="0"/>
      <w:marTop w:val="0"/>
      <w:marBottom w:val="0"/>
      <w:divBdr>
        <w:top w:val="none" w:sz="0" w:space="0" w:color="auto"/>
        <w:left w:val="none" w:sz="0" w:space="0" w:color="auto"/>
        <w:bottom w:val="none" w:sz="0" w:space="0" w:color="auto"/>
        <w:right w:val="none" w:sz="0" w:space="0" w:color="auto"/>
      </w:divBdr>
    </w:div>
    <w:div w:id="460002431">
      <w:bodyDiv w:val="1"/>
      <w:marLeft w:val="0"/>
      <w:marRight w:val="0"/>
      <w:marTop w:val="0"/>
      <w:marBottom w:val="0"/>
      <w:divBdr>
        <w:top w:val="none" w:sz="0" w:space="0" w:color="auto"/>
        <w:left w:val="none" w:sz="0" w:space="0" w:color="auto"/>
        <w:bottom w:val="none" w:sz="0" w:space="0" w:color="auto"/>
        <w:right w:val="none" w:sz="0" w:space="0" w:color="auto"/>
      </w:divBdr>
    </w:div>
    <w:div w:id="645428863">
      <w:bodyDiv w:val="1"/>
      <w:marLeft w:val="0"/>
      <w:marRight w:val="0"/>
      <w:marTop w:val="0"/>
      <w:marBottom w:val="0"/>
      <w:divBdr>
        <w:top w:val="none" w:sz="0" w:space="0" w:color="auto"/>
        <w:left w:val="none" w:sz="0" w:space="0" w:color="auto"/>
        <w:bottom w:val="none" w:sz="0" w:space="0" w:color="auto"/>
        <w:right w:val="none" w:sz="0" w:space="0" w:color="auto"/>
      </w:divBdr>
    </w:div>
    <w:div w:id="686250410">
      <w:bodyDiv w:val="1"/>
      <w:marLeft w:val="0"/>
      <w:marRight w:val="0"/>
      <w:marTop w:val="0"/>
      <w:marBottom w:val="0"/>
      <w:divBdr>
        <w:top w:val="none" w:sz="0" w:space="0" w:color="auto"/>
        <w:left w:val="none" w:sz="0" w:space="0" w:color="auto"/>
        <w:bottom w:val="none" w:sz="0" w:space="0" w:color="auto"/>
        <w:right w:val="none" w:sz="0" w:space="0" w:color="auto"/>
      </w:divBdr>
    </w:div>
    <w:div w:id="918176505">
      <w:bodyDiv w:val="1"/>
      <w:marLeft w:val="0"/>
      <w:marRight w:val="0"/>
      <w:marTop w:val="0"/>
      <w:marBottom w:val="0"/>
      <w:divBdr>
        <w:top w:val="none" w:sz="0" w:space="0" w:color="auto"/>
        <w:left w:val="none" w:sz="0" w:space="0" w:color="auto"/>
        <w:bottom w:val="none" w:sz="0" w:space="0" w:color="auto"/>
        <w:right w:val="none" w:sz="0" w:space="0" w:color="auto"/>
      </w:divBdr>
    </w:div>
    <w:div w:id="1002467618">
      <w:bodyDiv w:val="1"/>
      <w:marLeft w:val="0"/>
      <w:marRight w:val="0"/>
      <w:marTop w:val="0"/>
      <w:marBottom w:val="0"/>
      <w:divBdr>
        <w:top w:val="none" w:sz="0" w:space="0" w:color="auto"/>
        <w:left w:val="none" w:sz="0" w:space="0" w:color="auto"/>
        <w:bottom w:val="none" w:sz="0" w:space="0" w:color="auto"/>
        <w:right w:val="none" w:sz="0" w:space="0" w:color="auto"/>
      </w:divBdr>
    </w:div>
    <w:div w:id="1166748484">
      <w:bodyDiv w:val="1"/>
      <w:marLeft w:val="0"/>
      <w:marRight w:val="0"/>
      <w:marTop w:val="0"/>
      <w:marBottom w:val="0"/>
      <w:divBdr>
        <w:top w:val="none" w:sz="0" w:space="0" w:color="auto"/>
        <w:left w:val="none" w:sz="0" w:space="0" w:color="auto"/>
        <w:bottom w:val="none" w:sz="0" w:space="0" w:color="auto"/>
        <w:right w:val="none" w:sz="0" w:space="0" w:color="auto"/>
      </w:divBdr>
    </w:div>
    <w:div w:id="1204706810">
      <w:bodyDiv w:val="1"/>
      <w:marLeft w:val="0"/>
      <w:marRight w:val="0"/>
      <w:marTop w:val="0"/>
      <w:marBottom w:val="0"/>
      <w:divBdr>
        <w:top w:val="none" w:sz="0" w:space="0" w:color="auto"/>
        <w:left w:val="none" w:sz="0" w:space="0" w:color="auto"/>
        <w:bottom w:val="none" w:sz="0" w:space="0" w:color="auto"/>
        <w:right w:val="none" w:sz="0" w:space="0" w:color="auto"/>
      </w:divBdr>
    </w:div>
    <w:div w:id="1338461218">
      <w:bodyDiv w:val="1"/>
      <w:marLeft w:val="0"/>
      <w:marRight w:val="0"/>
      <w:marTop w:val="0"/>
      <w:marBottom w:val="0"/>
      <w:divBdr>
        <w:top w:val="none" w:sz="0" w:space="0" w:color="auto"/>
        <w:left w:val="none" w:sz="0" w:space="0" w:color="auto"/>
        <w:bottom w:val="none" w:sz="0" w:space="0" w:color="auto"/>
        <w:right w:val="none" w:sz="0" w:space="0" w:color="auto"/>
      </w:divBdr>
    </w:div>
    <w:div w:id="1412463988">
      <w:bodyDiv w:val="1"/>
      <w:marLeft w:val="0"/>
      <w:marRight w:val="0"/>
      <w:marTop w:val="0"/>
      <w:marBottom w:val="0"/>
      <w:divBdr>
        <w:top w:val="none" w:sz="0" w:space="0" w:color="auto"/>
        <w:left w:val="none" w:sz="0" w:space="0" w:color="auto"/>
        <w:bottom w:val="none" w:sz="0" w:space="0" w:color="auto"/>
        <w:right w:val="none" w:sz="0" w:space="0" w:color="auto"/>
      </w:divBdr>
    </w:div>
    <w:div w:id="1445542089">
      <w:bodyDiv w:val="1"/>
      <w:marLeft w:val="0"/>
      <w:marRight w:val="0"/>
      <w:marTop w:val="0"/>
      <w:marBottom w:val="0"/>
      <w:divBdr>
        <w:top w:val="none" w:sz="0" w:space="0" w:color="auto"/>
        <w:left w:val="none" w:sz="0" w:space="0" w:color="auto"/>
        <w:bottom w:val="none" w:sz="0" w:space="0" w:color="auto"/>
        <w:right w:val="none" w:sz="0" w:space="0" w:color="auto"/>
      </w:divBdr>
    </w:div>
    <w:div w:id="1645506986">
      <w:bodyDiv w:val="1"/>
      <w:marLeft w:val="0"/>
      <w:marRight w:val="0"/>
      <w:marTop w:val="0"/>
      <w:marBottom w:val="0"/>
      <w:divBdr>
        <w:top w:val="none" w:sz="0" w:space="0" w:color="auto"/>
        <w:left w:val="none" w:sz="0" w:space="0" w:color="auto"/>
        <w:bottom w:val="none" w:sz="0" w:space="0" w:color="auto"/>
        <w:right w:val="none" w:sz="0" w:space="0" w:color="auto"/>
      </w:divBdr>
    </w:div>
    <w:div w:id="1682201600">
      <w:bodyDiv w:val="1"/>
      <w:marLeft w:val="0"/>
      <w:marRight w:val="0"/>
      <w:marTop w:val="0"/>
      <w:marBottom w:val="0"/>
      <w:divBdr>
        <w:top w:val="none" w:sz="0" w:space="0" w:color="auto"/>
        <w:left w:val="none" w:sz="0" w:space="0" w:color="auto"/>
        <w:bottom w:val="none" w:sz="0" w:space="0" w:color="auto"/>
        <w:right w:val="none" w:sz="0" w:space="0" w:color="auto"/>
      </w:divBdr>
    </w:div>
    <w:div w:id="1735278788">
      <w:bodyDiv w:val="1"/>
      <w:marLeft w:val="0"/>
      <w:marRight w:val="0"/>
      <w:marTop w:val="0"/>
      <w:marBottom w:val="0"/>
      <w:divBdr>
        <w:top w:val="none" w:sz="0" w:space="0" w:color="auto"/>
        <w:left w:val="none" w:sz="0" w:space="0" w:color="auto"/>
        <w:bottom w:val="none" w:sz="0" w:space="0" w:color="auto"/>
        <w:right w:val="none" w:sz="0" w:space="0" w:color="auto"/>
      </w:divBdr>
    </w:div>
    <w:div w:id="1909992450">
      <w:bodyDiv w:val="1"/>
      <w:marLeft w:val="0"/>
      <w:marRight w:val="0"/>
      <w:marTop w:val="0"/>
      <w:marBottom w:val="0"/>
      <w:divBdr>
        <w:top w:val="none" w:sz="0" w:space="0" w:color="auto"/>
        <w:left w:val="none" w:sz="0" w:space="0" w:color="auto"/>
        <w:bottom w:val="none" w:sz="0" w:space="0" w:color="auto"/>
        <w:right w:val="none" w:sz="0" w:space="0" w:color="auto"/>
      </w:divBdr>
    </w:div>
    <w:div w:id="19481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xlw1N7omlgPKjag_FnOy03NRvByol8IaJma5zNPkWaY/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rdtRLaNm5DiWR_EPei4Oi64FaDauIXEQhnF2Lm_NxbI/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vEetjWuRlf2uvCCUREHf9G7ac5z2hk_sgGiOSJC3JO8/edit" TargetMode="External"/><Relationship Id="rId11" Type="http://schemas.openxmlformats.org/officeDocument/2006/relationships/hyperlink" Target="https://docs.google.com/document/d/1pS9Pibanj-Hp6LztZpeERtxdoLsnp4y_-do0vU5VJuw/edit" TargetMode="External"/><Relationship Id="rId5" Type="http://schemas.openxmlformats.org/officeDocument/2006/relationships/hyperlink" Target="https://docs.google.com/document/d/1izpX2C-RrfAdRgRDwBO9tQuJIBA9Xt38p1MTJgQNDGI/edit" TargetMode="External"/><Relationship Id="rId10" Type="http://schemas.openxmlformats.org/officeDocument/2006/relationships/hyperlink" Target="https://docs.google.com/document/d/1meyuNRsq4sMOI6pefJk4jZevaKUsTkVf8_XyW1tRaiA/edit" TargetMode="External"/><Relationship Id="rId4" Type="http://schemas.openxmlformats.org/officeDocument/2006/relationships/webSettings" Target="webSettings.xml"/><Relationship Id="rId9" Type="http://schemas.openxmlformats.org/officeDocument/2006/relationships/hyperlink" Target="https://docs.google.com/document/d/174PSGgWB-UTTcqIA-NndIVDkP6WR701tzwjDsozVRXM/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Marika Konings</cp:lastModifiedBy>
  <cp:revision>2</cp:revision>
  <dcterms:created xsi:type="dcterms:W3CDTF">2019-10-21T14:57:00Z</dcterms:created>
  <dcterms:modified xsi:type="dcterms:W3CDTF">2019-10-21T14:57:00Z</dcterms:modified>
</cp:coreProperties>
</file>