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0E605" w14:textId="05DAE724" w:rsidR="00FE69D5" w:rsidRPr="00FE69D5" w:rsidRDefault="00FE69D5" w:rsidP="00FE69D5">
      <w:pPr>
        <w:pBdr>
          <w:bottom w:val="single" w:sz="4" w:space="1" w:color="auto"/>
        </w:pBdr>
        <w:rPr>
          <w:b/>
        </w:rPr>
      </w:pPr>
      <w:r w:rsidRPr="00FE69D5">
        <w:rPr>
          <w:b/>
        </w:rPr>
        <w:t>EPDP Team Planning – 2 October – 25 October 2018</w:t>
      </w:r>
      <w:r w:rsidR="00C83F2C">
        <w:rPr>
          <w:b/>
        </w:rPr>
        <w:t xml:space="preserve"> (version 1 October 2018)</w:t>
      </w:r>
    </w:p>
    <w:p w14:paraId="091A670D" w14:textId="77777777" w:rsidR="00FE69D5" w:rsidRDefault="00FE69D5"/>
    <w:p w14:paraId="2C4659C0" w14:textId="04854E53" w:rsidR="00E1472F" w:rsidRDefault="00E1472F">
      <w:r>
        <w:t xml:space="preserve">The proposed call schedule below and topics identified for each of these sessions is based on the outstanding action items in relation to the data elements workbooks which are essential to address most of the charter questions, as well as the list of charter questions remaining to be addresses, which are not addressed through the data elements workbooks.  </w:t>
      </w:r>
    </w:p>
    <w:p w14:paraId="7F776996" w14:textId="231A9E0C" w:rsidR="00F16D33" w:rsidRDefault="00F16D33"/>
    <w:p w14:paraId="4F2E0441" w14:textId="373F30C4" w:rsidR="00F16D33" w:rsidRDefault="00F16D33">
      <w:r>
        <w:t>The idea is that a couple of small teams are formed (max. 1 representative per SG/C/AC) to prepare</w:t>
      </w:r>
      <w:r w:rsidR="00FE69D5">
        <w:t xml:space="preserve"> certain</w:t>
      </w:r>
      <w:r>
        <w:t xml:space="preserve"> topics for review / discussion during the Saturday F2F meeting of the EPDP Team at ICANN63, similar to how this was done for a number of items during the LA F2F meeting. </w:t>
      </w:r>
      <w:r w:rsidR="00FE69D5">
        <w:t xml:space="preserve">These meetings are preceded by ‘small team’. </w:t>
      </w:r>
      <w:proofErr w:type="gramStart"/>
      <w:r w:rsidR="00FE69D5">
        <w:t>The other meetings,</w:t>
      </w:r>
      <w:proofErr w:type="gramEnd"/>
      <w:r w:rsidR="00FE69D5">
        <w:t xml:space="preserve"> preceded by ‘EPDP Team’ denote plenary sessions.</w:t>
      </w:r>
      <w:r w:rsidR="002A5E51">
        <w:t xml:space="preserve"> Depending on the progress of small teams, these may decide to organize additional meetings.</w:t>
      </w:r>
    </w:p>
    <w:p w14:paraId="32A3AD85" w14:textId="77777777" w:rsidR="00E1472F" w:rsidRDefault="00E1472F"/>
    <w:tbl>
      <w:tblPr>
        <w:tblStyle w:val="TableGrid"/>
        <w:tblW w:w="0" w:type="auto"/>
        <w:tblLook w:val="04A0" w:firstRow="1" w:lastRow="0" w:firstColumn="1" w:lastColumn="0" w:noHBand="0" w:noVBand="1"/>
      </w:tblPr>
      <w:tblGrid>
        <w:gridCol w:w="2194"/>
        <w:gridCol w:w="3812"/>
        <w:gridCol w:w="3169"/>
        <w:gridCol w:w="3775"/>
      </w:tblGrid>
      <w:tr w:rsidR="00A76E4B" w14:paraId="56856100" w14:textId="441792DA" w:rsidTr="00791106">
        <w:tc>
          <w:tcPr>
            <w:tcW w:w="2194" w:type="dxa"/>
            <w:tcBorders>
              <w:bottom w:val="single" w:sz="4" w:space="0" w:color="auto"/>
            </w:tcBorders>
            <w:shd w:val="clear" w:color="auto" w:fill="E7E6E6" w:themeFill="background2"/>
          </w:tcPr>
          <w:p w14:paraId="593B0896" w14:textId="198E4BA0" w:rsidR="00A76E4B" w:rsidRPr="00A53656" w:rsidRDefault="00A76E4B">
            <w:pPr>
              <w:rPr>
                <w:b/>
              </w:rPr>
            </w:pPr>
            <w:r w:rsidRPr="00A53656">
              <w:rPr>
                <w:b/>
              </w:rPr>
              <w:t xml:space="preserve">EPDP Team </w:t>
            </w:r>
            <w:r>
              <w:rPr>
                <w:b/>
              </w:rPr>
              <w:t xml:space="preserve">/ Small </w:t>
            </w:r>
            <w:r w:rsidR="00FE69D5">
              <w:rPr>
                <w:b/>
              </w:rPr>
              <w:t>T</w:t>
            </w:r>
            <w:r>
              <w:rPr>
                <w:b/>
              </w:rPr>
              <w:t>eam meetings</w:t>
            </w:r>
          </w:p>
        </w:tc>
        <w:tc>
          <w:tcPr>
            <w:tcW w:w="3812" w:type="dxa"/>
            <w:shd w:val="clear" w:color="auto" w:fill="E7E6E6" w:themeFill="background2"/>
          </w:tcPr>
          <w:p w14:paraId="48C53536" w14:textId="03D271B7" w:rsidR="00A76E4B" w:rsidRPr="00A53656" w:rsidRDefault="00A76E4B">
            <w:pPr>
              <w:rPr>
                <w:b/>
              </w:rPr>
            </w:pPr>
            <w:r w:rsidRPr="00A53656">
              <w:rPr>
                <w:b/>
              </w:rPr>
              <w:t>Charter Questions remaining to be addressed</w:t>
            </w:r>
          </w:p>
        </w:tc>
        <w:tc>
          <w:tcPr>
            <w:tcW w:w="3169" w:type="dxa"/>
            <w:shd w:val="clear" w:color="auto" w:fill="E7E6E6" w:themeFill="background2"/>
          </w:tcPr>
          <w:p w14:paraId="509746D6" w14:textId="65144440" w:rsidR="00A76E4B" w:rsidRPr="00A53656" w:rsidRDefault="00A76E4B">
            <w:pPr>
              <w:rPr>
                <w:b/>
              </w:rPr>
            </w:pPr>
            <w:r w:rsidRPr="00A53656">
              <w:rPr>
                <w:b/>
              </w:rPr>
              <w:t>Data Elements workbook items remaining to be addressed</w:t>
            </w:r>
          </w:p>
        </w:tc>
        <w:tc>
          <w:tcPr>
            <w:tcW w:w="3775" w:type="dxa"/>
            <w:shd w:val="clear" w:color="auto" w:fill="E7E6E6" w:themeFill="background2"/>
          </w:tcPr>
          <w:p w14:paraId="57698106" w14:textId="012ED664" w:rsidR="00A76E4B" w:rsidRPr="00A53656" w:rsidRDefault="00A76E4B">
            <w:pPr>
              <w:rPr>
                <w:b/>
              </w:rPr>
            </w:pPr>
            <w:r>
              <w:rPr>
                <w:b/>
              </w:rPr>
              <w:t>Notes</w:t>
            </w:r>
          </w:p>
        </w:tc>
      </w:tr>
      <w:tr w:rsidR="00A76E4B" w14:paraId="6F90ADDF" w14:textId="05879621" w:rsidTr="00791106">
        <w:tc>
          <w:tcPr>
            <w:tcW w:w="2194" w:type="dxa"/>
            <w:shd w:val="clear" w:color="auto" w:fill="F2F2F2" w:themeFill="background1" w:themeFillShade="F2"/>
          </w:tcPr>
          <w:p w14:paraId="7D5552B4" w14:textId="2B31A27E" w:rsidR="00A76E4B" w:rsidRDefault="00A76E4B">
            <w:r>
              <w:t xml:space="preserve">EPDP Team </w:t>
            </w:r>
          </w:p>
          <w:p w14:paraId="55E70DFF" w14:textId="6855EAE3" w:rsidR="00A76E4B" w:rsidRDefault="00A76E4B">
            <w:r w:rsidRPr="0066622B">
              <w:rPr>
                <w:b/>
              </w:rPr>
              <w:t xml:space="preserve">Tuesday 2 </w:t>
            </w:r>
            <w:proofErr w:type="gramStart"/>
            <w:r w:rsidRPr="0066622B">
              <w:rPr>
                <w:b/>
              </w:rPr>
              <w:t>October</w:t>
            </w:r>
            <w:r>
              <w:t xml:space="preserve">  13.00</w:t>
            </w:r>
            <w:proofErr w:type="gramEnd"/>
            <w:r>
              <w:t xml:space="preserve"> – 15.00 UTC</w:t>
            </w:r>
          </w:p>
        </w:tc>
        <w:tc>
          <w:tcPr>
            <w:tcW w:w="3812" w:type="dxa"/>
          </w:tcPr>
          <w:p w14:paraId="1C10D70A" w14:textId="77777777" w:rsidR="00A76E4B" w:rsidRDefault="00A76E4B"/>
        </w:tc>
        <w:tc>
          <w:tcPr>
            <w:tcW w:w="3169" w:type="dxa"/>
          </w:tcPr>
          <w:p w14:paraId="3E5A7DE3" w14:textId="74FF8DF0" w:rsidR="00A76E4B" w:rsidRDefault="00C70E82">
            <w:r>
              <w:t xml:space="preserve">1. </w:t>
            </w:r>
            <w:r w:rsidR="00A76E4B">
              <w:t>Legal Basis for all purposes</w:t>
            </w:r>
          </w:p>
          <w:p w14:paraId="4D166795" w14:textId="089E9E96" w:rsidR="00A76E4B" w:rsidRDefault="00C70E82">
            <w:r>
              <w:t xml:space="preserve">2. </w:t>
            </w:r>
            <w:r w:rsidR="00A76E4B">
              <w:t>Purpose C Data Elements Workbook</w:t>
            </w:r>
          </w:p>
        </w:tc>
        <w:tc>
          <w:tcPr>
            <w:tcW w:w="3775" w:type="dxa"/>
          </w:tcPr>
          <w:p w14:paraId="3D972663" w14:textId="04853BF5" w:rsidR="00A76E4B" w:rsidRDefault="00A20899">
            <w:r>
              <w:t>CBI team unavailable to attend this meeting</w:t>
            </w:r>
          </w:p>
        </w:tc>
      </w:tr>
      <w:tr w:rsidR="00A76E4B" w14:paraId="657E1B01" w14:textId="6AA878DB" w:rsidTr="00791106">
        <w:tc>
          <w:tcPr>
            <w:tcW w:w="2194" w:type="dxa"/>
            <w:shd w:val="clear" w:color="auto" w:fill="F2F2F2" w:themeFill="background1" w:themeFillShade="F2"/>
          </w:tcPr>
          <w:p w14:paraId="7B826BD3" w14:textId="32261604" w:rsidR="00A76E4B" w:rsidRDefault="00A76E4B">
            <w:r>
              <w:t xml:space="preserve">Small Team </w:t>
            </w:r>
            <w:r w:rsidR="00BE5F82">
              <w:t>#1</w:t>
            </w:r>
          </w:p>
          <w:p w14:paraId="1C6B2FB0" w14:textId="34F95A1F" w:rsidR="00A76E4B" w:rsidRDefault="00A76E4B">
            <w:r w:rsidRPr="0066622B">
              <w:rPr>
                <w:b/>
              </w:rPr>
              <w:t>Wed 3 October</w:t>
            </w:r>
            <w:r>
              <w:t xml:space="preserve"> 13.00 – 15.00 UTC </w:t>
            </w:r>
          </w:p>
        </w:tc>
        <w:tc>
          <w:tcPr>
            <w:tcW w:w="3812" w:type="dxa"/>
          </w:tcPr>
          <w:p w14:paraId="4AC8AFB2" w14:textId="77777777" w:rsidR="00A76E4B" w:rsidRPr="00A53656" w:rsidRDefault="00A76E4B" w:rsidP="00055D51">
            <w:pPr>
              <w:ind w:left="489" w:hanging="489"/>
              <w:rPr>
                <w:rFonts w:cstheme="minorHAnsi"/>
              </w:rPr>
            </w:pPr>
            <w:r w:rsidRPr="00A53656">
              <w:rPr>
                <w:rFonts w:cstheme="minorHAnsi"/>
              </w:rPr>
              <w:t>h)     Applicability of Data Processing Requirements</w:t>
            </w:r>
          </w:p>
          <w:p w14:paraId="582EA766" w14:textId="77777777" w:rsidR="00A76E4B" w:rsidRPr="00A53656" w:rsidRDefault="00A76E4B" w:rsidP="00055D51">
            <w:pPr>
              <w:ind w:left="489" w:hanging="489"/>
              <w:rPr>
                <w:rFonts w:cstheme="minorHAnsi"/>
              </w:rPr>
            </w:pPr>
            <w:r w:rsidRPr="00A53656">
              <w:rPr>
                <w:rFonts w:cstheme="minorHAnsi"/>
              </w:rPr>
              <w:t xml:space="preserve">h3) Should Contracted Parties be allowed or required to treat legal and natural persons differently, and what mechanism is needed to ensure reliable determination of status?  </w:t>
            </w:r>
          </w:p>
          <w:p w14:paraId="10D8CE7F" w14:textId="77777777" w:rsidR="00A76E4B" w:rsidRPr="00A53656" w:rsidRDefault="00A76E4B" w:rsidP="00055D51">
            <w:pPr>
              <w:ind w:left="489" w:hanging="489"/>
              <w:rPr>
                <w:rFonts w:cstheme="minorHAnsi"/>
              </w:rPr>
            </w:pPr>
            <w:r w:rsidRPr="00A53656">
              <w:rPr>
                <w:rFonts w:cstheme="minorHAnsi"/>
              </w:rPr>
              <w:t xml:space="preserve">h4) Is there a legal basis for Contracted Parties to treat legal and natural persons differently? </w:t>
            </w:r>
          </w:p>
          <w:p w14:paraId="57112729" w14:textId="7852449B" w:rsidR="00A76E4B" w:rsidRPr="00A53656" w:rsidRDefault="00A76E4B" w:rsidP="00055D51">
            <w:pPr>
              <w:ind w:left="489" w:hanging="489"/>
              <w:rPr>
                <w:rFonts w:cstheme="minorHAnsi"/>
              </w:rPr>
            </w:pPr>
            <w:r w:rsidRPr="00A53656">
              <w:rPr>
                <w:rFonts w:cstheme="minorHAnsi"/>
              </w:rPr>
              <w:lastRenderedPageBreak/>
              <w:t>h5) What are the risks associated with differentiation of registrant status as legal or natural persons across multiple jurisdictions? (See EDPB letter of 5 July 2018).</w:t>
            </w:r>
          </w:p>
        </w:tc>
        <w:tc>
          <w:tcPr>
            <w:tcW w:w="3169" w:type="dxa"/>
          </w:tcPr>
          <w:p w14:paraId="481840E3" w14:textId="77777777" w:rsidR="00A76E4B" w:rsidRDefault="00A76E4B"/>
        </w:tc>
        <w:tc>
          <w:tcPr>
            <w:tcW w:w="3775" w:type="dxa"/>
          </w:tcPr>
          <w:p w14:paraId="5C31620B" w14:textId="16182267" w:rsidR="00A76E4B" w:rsidRDefault="00A20899">
            <w:r>
              <w:t xml:space="preserve">Input provided in response to </w:t>
            </w:r>
            <w:hyperlink r:id="rId7" w:history="1">
              <w:r w:rsidRPr="00A20899">
                <w:rPr>
                  <w:rStyle w:val="Hyperlink"/>
                </w:rPr>
                <w:t>Appendix A google doc</w:t>
              </w:r>
            </w:hyperlink>
            <w:r>
              <w:t xml:space="preserve"> could be used as a starting point? </w:t>
            </w:r>
          </w:p>
        </w:tc>
      </w:tr>
      <w:tr w:rsidR="00A76E4B" w14:paraId="57976A24" w14:textId="6D8B1CD4" w:rsidTr="00791106">
        <w:tc>
          <w:tcPr>
            <w:tcW w:w="2194" w:type="dxa"/>
            <w:shd w:val="clear" w:color="auto" w:fill="F2F2F2" w:themeFill="background1" w:themeFillShade="F2"/>
          </w:tcPr>
          <w:p w14:paraId="554C67E6" w14:textId="5D031E24" w:rsidR="00A76E4B" w:rsidRDefault="00A76E4B">
            <w:r>
              <w:t xml:space="preserve">EPDP Team </w:t>
            </w:r>
          </w:p>
          <w:p w14:paraId="07D0BC39" w14:textId="5BA844D6" w:rsidR="00A76E4B" w:rsidRDefault="00A76E4B">
            <w:r w:rsidRPr="0066622B">
              <w:rPr>
                <w:b/>
              </w:rPr>
              <w:t xml:space="preserve">Thursday 4 </w:t>
            </w:r>
            <w:proofErr w:type="gramStart"/>
            <w:r w:rsidRPr="0066622B">
              <w:rPr>
                <w:b/>
              </w:rPr>
              <w:t>October</w:t>
            </w:r>
            <w:r>
              <w:t xml:space="preserve">  13.00</w:t>
            </w:r>
            <w:proofErr w:type="gramEnd"/>
            <w:r>
              <w:t xml:space="preserve"> – 15.00 UTC</w:t>
            </w:r>
          </w:p>
          <w:p w14:paraId="31DEEDB3" w14:textId="6165A5F3" w:rsidR="00A76E4B" w:rsidRDefault="00A76E4B"/>
        </w:tc>
        <w:tc>
          <w:tcPr>
            <w:tcW w:w="3812" w:type="dxa"/>
          </w:tcPr>
          <w:p w14:paraId="5051BAED" w14:textId="77777777" w:rsidR="00A76E4B" w:rsidRDefault="00A76E4B"/>
        </w:tc>
        <w:tc>
          <w:tcPr>
            <w:tcW w:w="3169" w:type="dxa"/>
          </w:tcPr>
          <w:p w14:paraId="647C68A4" w14:textId="0DD907E1" w:rsidR="00A76E4B" w:rsidRDefault="00A76E4B">
            <w:r>
              <w:t>Purpose E (Ry Escrow, EBERO) Data Elements Workbook</w:t>
            </w:r>
          </w:p>
          <w:p w14:paraId="5A100CFE" w14:textId="2EC1E8C5" w:rsidR="00A76E4B" w:rsidRDefault="00A76E4B">
            <w:r>
              <w:t>Purpose F Data Elements Workbook</w:t>
            </w:r>
          </w:p>
          <w:p w14:paraId="1629E6B9" w14:textId="77777777" w:rsidR="00A76E4B" w:rsidRDefault="00A76E4B">
            <w:r>
              <w:t>Purpose N Data Elements Workbook</w:t>
            </w:r>
          </w:p>
          <w:p w14:paraId="6A7CFA33" w14:textId="3CB88527" w:rsidR="00A76E4B" w:rsidRDefault="00A76E4B">
            <w:r>
              <w:t>New Purpose (Research) Data Elements Workbook</w:t>
            </w:r>
          </w:p>
        </w:tc>
        <w:tc>
          <w:tcPr>
            <w:tcW w:w="3775" w:type="dxa"/>
          </w:tcPr>
          <w:p w14:paraId="0CDDF33F" w14:textId="5B29C1E3" w:rsidR="00A76E4B" w:rsidRDefault="00A20899">
            <w:r>
              <w:t>Dependent on ‘homework’ on these items being delivered in a timely manner</w:t>
            </w:r>
          </w:p>
        </w:tc>
      </w:tr>
      <w:tr w:rsidR="0066622B" w14:paraId="2EA958C4" w14:textId="77777777" w:rsidTr="00791106">
        <w:tc>
          <w:tcPr>
            <w:tcW w:w="2194" w:type="dxa"/>
            <w:shd w:val="clear" w:color="auto" w:fill="F2F2F2" w:themeFill="background1" w:themeFillShade="F2"/>
          </w:tcPr>
          <w:p w14:paraId="06CF36B4" w14:textId="19271B47" w:rsidR="0066622B" w:rsidRDefault="0066622B">
            <w:r>
              <w:t>Small Team</w:t>
            </w:r>
            <w:r w:rsidR="00BE5F82">
              <w:t xml:space="preserve"> #2</w:t>
            </w:r>
          </w:p>
          <w:p w14:paraId="0F723BC4" w14:textId="77777777" w:rsidR="0066622B" w:rsidRPr="0066622B" w:rsidRDefault="0066622B">
            <w:pPr>
              <w:rPr>
                <w:b/>
              </w:rPr>
            </w:pPr>
            <w:r w:rsidRPr="0066622B">
              <w:rPr>
                <w:b/>
              </w:rPr>
              <w:t>Friday 5 October</w:t>
            </w:r>
          </w:p>
          <w:p w14:paraId="11107CFC" w14:textId="2BC14204" w:rsidR="0066622B" w:rsidRDefault="0066622B">
            <w:r>
              <w:t>13.00 – 15.00 UTC</w:t>
            </w:r>
          </w:p>
        </w:tc>
        <w:tc>
          <w:tcPr>
            <w:tcW w:w="3812" w:type="dxa"/>
          </w:tcPr>
          <w:p w14:paraId="7D9B70FC" w14:textId="77777777" w:rsidR="00055D51" w:rsidRDefault="00055D51" w:rsidP="00055D51">
            <w:pPr>
              <w:rPr>
                <w:rFonts w:cstheme="minorHAnsi"/>
              </w:rPr>
            </w:pPr>
            <w:r>
              <w:rPr>
                <w:rFonts w:cstheme="minorHAnsi"/>
              </w:rPr>
              <w:t xml:space="preserve">(Ref. </w:t>
            </w:r>
            <w:proofErr w:type="spellStart"/>
            <w:r>
              <w:rPr>
                <w:rFonts w:cstheme="minorHAnsi"/>
              </w:rPr>
              <w:t>TempSpec</w:t>
            </w:r>
            <w:proofErr w:type="spellEnd"/>
            <w:r>
              <w:rPr>
                <w:rFonts w:cstheme="minorHAnsi"/>
              </w:rPr>
              <w:t xml:space="preserve"> App A </w:t>
            </w:r>
            <w:r w:rsidRPr="00055D51">
              <w:rPr>
                <w:rFonts w:cstheme="minorHAnsi"/>
              </w:rPr>
              <w:t>§§</w:t>
            </w:r>
            <w:r>
              <w:rPr>
                <w:rFonts w:cstheme="minorHAnsi"/>
              </w:rPr>
              <w:t>2.1 &amp; 3</w:t>
            </w:r>
          </w:p>
          <w:p w14:paraId="40E249F1" w14:textId="6145E69D" w:rsidR="00ED43F3" w:rsidRPr="00A53656" w:rsidRDefault="00ED43F3" w:rsidP="00055D51">
            <w:pPr>
              <w:ind w:left="399" w:hanging="399"/>
              <w:rPr>
                <w:rFonts w:cstheme="minorHAnsi"/>
              </w:rPr>
            </w:pPr>
            <w:r w:rsidRPr="00A53656">
              <w:rPr>
                <w:rFonts w:cstheme="minorHAnsi"/>
              </w:rPr>
              <w:t>h)    Applicability of Data Processing Requirements</w:t>
            </w:r>
          </w:p>
          <w:p w14:paraId="0686D289" w14:textId="02CB8A9C" w:rsidR="00ED43F3" w:rsidRPr="00A53656" w:rsidRDefault="00ED43F3" w:rsidP="00055D51">
            <w:pPr>
              <w:ind w:left="399" w:hanging="399"/>
              <w:rPr>
                <w:rFonts w:cstheme="minorHAnsi"/>
              </w:rPr>
            </w:pPr>
            <w:r w:rsidRPr="00A53656">
              <w:rPr>
                <w:rFonts w:cstheme="minorHAnsi"/>
              </w:rPr>
              <w:t xml:space="preserve">h1) Should Registry Operators and Registrars (“Contracted Parties”) be permitted or required to differentiate between registrants on a geographic basis? </w:t>
            </w:r>
          </w:p>
          <w:p w14:paraId="409799F3" w14:textId="2FB18A09" w:rsidR="0066622B" w:rsidRPr="00A53656" w:rsidRDefault="00ED43F3" w:rsidP="00055D51">
            <w:pPr>
              <w:ind w:left="399" w:hanging="399"/>
              <w:rPr>
                <w:rFonts w:cstheme="minorHAnsi"/>
              </w:rPr>
            </w:pPr>
            <w:r w:rsidRPr="00A53656">
              <w:rPr>
                <w:rFonts w:cstheme="minorHAnsi"/>
              </w:rPr>
              <w:t>h2) Is there a legal basis for Contracted Parties to differentiate between registrants on a geographic basis?</w:t>
            </w:r>
          </w:p>
        </w:tc>
        <w:tc>
          <w:tcPr>
            <w:tcW w:w="3169" w:type="dxa"/>
          </w:tcPr>
          <w:p w14:paraId="12F9E748" w14:textId="4C6EED26" w:rsidR="0066622B" w:rsidRDefault="0066622B"/>
        </w:tc>
        <w:tc>
          <w:tcPr>
            <w:tcW w:w="3775" w:type="dxa"/>
          </w:tcPr>
          <w:p w14:paraId="630BC13E" w14:textId="77777777" w:rsidR="0066622B" w:rsidRDefault="0066622B">
            <w:r>
              <w:t>Gina (CBI) available to attend</w:t>
            </w:r>
          </w:p>
          <w:p w14:paraId="182A6D21" w14:textId="20C62DA1" w:rsidR="0066622B" w:rsidRDefault="0066622B"/>
        </w:tc>
      </w:tr>
      <w:tr w:rsidR="00A76E4B" w14:paraId="7714245F" w14:textId="39C95FAD" w:rsidTr="00791106">
        <w:tc>
          <w:tcPr>
            <w:tcW w:w="2194" w:type="dxa"/>
            <w:shd w:val="clear" w:color="auto" w:fill="F2F2F2" w:themeFill="background1" w:themeFillShade="F2"/>
          </w:tcPr>
          <w:p w14:paraId="12114209" w14:textId="5939A058" w:rsidR="00A76E4B" w:rsidRDefault="00A76E4B">
            <w:r>
              <w:t xml:space="preserve">EPDP Team </w:t>
            </w:r>
          </w:p>
          <w:p w14:paraId="24C4E668" w14:textId="13A01467" w:rsidR="00A76E4B" w:rsidRDefault="00A76E4B">
            <w:r w:rsidRPr="0066622B">
              <w:rPr>
                <w:b/>
              </w:rPr>
              <w:t xml:space="preserve">Tuesday </w:t>
            </w:r>
            <w:r w:rsidR="00C22774">
              <w:rPr>
                <w:b/>
              </w:rPr>
              <w:t>9</w:t>
            </w:r>
            <w:r w:rsidRPr="0066622B">
              <w:rPr>
                <w:b/>
              </w:rPr>
              <w:t xml:space="preserve"> </w:t>
            </w:r>
            <w:proofErr w:type="gramStart"/>
            <w:r w:rsidRPr="0066622B">
              <w:rPr>
                <w:b/>
              </w:rPr>
              <w:t>October</w:t>
            </w:r>
            <w:r>
              <w:t xml:space="preserve">  13.00</w:t>
            </w:r>
            <w:proofErr w:type="gramEnd"/>
            <w:r>
              <w:t xml:space="preserve"> – 15.00 UTC</w:t>
            </w:r>
          </w:p>
          <w:p w14:paraId="66CFCB55" w14:textId="6BFC0291" w:rsidR="00A76E4B" w:rsidRDefault="00A76E4B"/>
        </w:tc>
        <w:tc>
          <w:tcPr>
            <w:tcW w:w="3812" w:type="dxa"/>
          </w:tcPr>
          <w:p w14:paraId="6FCEF8EA" w14:textId="76C445F6" w:rsidR="004C6108" w:rsidRDefault="00A76E4B" w:rsidP="004C6108">
            <w:pPr>
              <w:ind w:left="403" w:hanging="403"/>
              <w:rPr>
                <w:rFonts w:cstheme="minorHAnsi"/>
              </w:rPr>
            </w:pPr>
            <w:r w:rsidRPr="00A53656">
              <w:rPr>
                <w:rFonts w:cstheme="minorHAnsi"/>
              </w:rPr>
              <w:lastRenderedPageBreak/>
              <w:t>c)    Transfer of data from registrar to registry:</w:t>
            </w:r>
          </w:p>
          <w:p w14:paraId="5671989F" w14:textId="00D112E8" w:rsidR="00A76E4B" w:rsidRPr="00A53656" w:rsidRDefault="00A76E4B" w:rsidP="004C6108">
            <w:pPr>
              <w:ind w:left="403" w:hanging="403"/>
              <w:rPr>
                <w:rFonts w:cstheme="minorHAnsi"/>
              </w:rPr>
            </w:pPr>
            <w:r w:rsidRPr="00A53656">
              <w:rPr>
                <w:rFonts w:cstheme="minorHAnsi"/>
              </w:rPr>
              <w:lastRenderedPageBreak/>
              <w:t>c4</w:t>
            </w:r>
            <w:proofErr w:type="gramStart"/>
            <w:r w:rsidRPr="00A53656">
              <w:rPr>
                <w:rFonts w:cstheme="minorHAnsi"/>
              </w:rPr>
              <w:t xml:space="preserve">) </w:t>
            </w:r>
            <w:r w:rsidR="00055D51">
              <w:rPr>
                <w:rFonts w:cstheme="minorHAnsi"/>
              </w:rPr>
              <w:t xml:space="preserve"> </w:t>
            </w:r>
            <w:r w:rsidRPr="00A53656">
              <w:rPr>
                <w:rFonts w:cstheme="minorHAnsi"/>
              </w:rPr>
              <w:t>Is</w:t>
            </w:r>
            <w:proofErr w:type="gramEnd"/>
            <w:r w:rsidRPr="00A53656">
              <w:rPr>
                <w:rFonts w:cstheme="minorHAnsi"/>
              </w:rPr>
              <w:t xml:space="preserve"> there a legal reason why registrars should not be required to transfer data to the registries, in accordance with previous consensus policy on this point?</w:t>
            </w:r>
          </w:p>
          <w:p w14:paraId="41C5FBCC" w14:textId="77777777" w:rsidR="00A76E4B" w:rsidRDefault="00A76E4B" w:rsidP="004C6108">
            <w:pPr>
              <w:ind w:left="403" w:hanging="403"/>
              <w:rPr>
                <w:rFonts w:cstheme="minorHAnsi"/>
              </w:rPr>
            </w:pPr>
            <w:r w:rsidRPr="00A53656">
              <w:rPr>
                <w:rFonts w:cstheme="minorHAnsi"/>
              </w:rPr>
              <w:t>c5) Should registries have the option to require contact data or not?</w:t>
            </w:r>
          </w:p>
          <w:p w14:paraId="01BF3541" w14:textId="77777777" w:rsidR="004C6108" w:rsidRDefault="004C6108" w:rsidP="00055D51">
            <w:pPr>
              <w:ind w:left="399" w:hanging="399"/>
              <w:rPr>
                <w:rFonts w:cstheme="minorHAnsi"/>
              </w:rPr>
            </w:pPr>
          </w:p>
          <w:p w14:paraId="1F6A9DC9" w14:textId="77777777" w:rsidR="004C6108" w:rsidRPr="00A53656" w:rsidRDefault="004C6108" w:rsidP="004C6108">
            <w:pPr>
              <w:rPr>
                <w:rFonts w:cstheme="minorHAnsi"/>
              </w:rPr>
            </w:pPr>
            <w:r w:rsidRPr="00A53656">
              <w:rPr>
                <w:rFonts w:cstheme="minorHAnsi"/>
              </w:rPr>
              <w:t>Publication of data by registrar/registry:</w:t>
            </w:r>
          </w:p>
          <w:p w14:paraId="5833F113" w14:textId="77777777" w:rsidR="004C6108" w:rsidRPr="00A53656" w:rsidRDefault="004C6108" w:rsidP="004C6108">
            <w:pPr>
              <w:ind w:left="309" w:hanging="309"/>
              <w:rPr>
                <w:rFonts w:cstheme="minorHAnsi"/>
              </w:rPr>
            </w:pPr>
            <w:r w:rsidRPr="00A53656">
              <w:rPr>
                <w:rFonts w:cstheme="minorHAnsi"/>
              </w:rPr>
              <w:t xml:space="preserve">f2) Should standardized requirements on registrant contact mechanism be developed? </w:t>
            </w:r>
          </w:p>
          <w:p w14:paraId="4CB85711" w14:textId="1B387DFC" w:rsidR="004C6108" w:rsidRPr="00A76E4B" w:rsidRDefault="004C6108" w:rsidP="004C6108">
            <w:pPr>
              <w:ind w:left="306" w:hanging="306"/>
              <w:rPr>
                <w:rFonts w:cstheme="minorHAnsi"/>
              </w:rPr>
            </w:pPr>
            <w:r w:rsidRPr="00A53656">
              <w:rPr>
                <w:rFonts w:cstheme="minorHAnsi"/>
              </w:rPr>
              <w:t xml:space="preserve">f3) Under what </w:t>
            </w:r>
            <w:r>
              <w:rPr>
                <w:rFonts w:cstheme="minorHAnsi"/>
              </w:rPr>
              <w:t xml:space="preserve">circumstances </w:t>
            </w:r>
            <w:r w:rsidRPr="00A53656">
              <w:rPr>
                <w:rFonts w:cstheme="minorHAnsi"/>
              </w:rPr>
              <w:t>should third parties be permitted to contact the registrant, and how should contact be facilitated in those circumstances?</w:t>
            </w:r>
          </w:p>
        </w:tc>
        <w:tc>
          <w:tcPr>
            <w:tcW w:w="3169" w:type="dxa"/>
          </w:tcPr>
          <w:p w14:paraId="56F10330" w14:textId="77777777" w:rsidR="00A76E4B" w:rsidRDefault="00A76E4B"/>
        </w:tc>
        <w:tc>
          <w:tcPr>
            <w:tcW w:w="3775" w:type="dxa"/>
          </w:tcPr>
          <w:p w14:paraId="29FB7341" w14:textId="0939FF3B" w:rsidR="00A20899" w:rsidRDefault="00A20899">
            <w:r>
              <w:t>CBI team unavailable to attend this meeting</w:t>
            </w:r>
          </w:p>
          <w:p w14:paraId="7D6834A1" w14:textId="3DEC36B4" w:rsidR="00A76E4B" w:rsidRDefault="00A20899">
            <w:r>
              <w:lastRenderedPageBreak/>
              <w:t xml:space="preserve">Dependent on work having completed on the data elements workbooks identifying what data is required to be transferred for the different purposes between registrars and registries and how that may affect existing consensus policy requirements. </w:t>
            </w:r>
          </w:p>
        </w:tc>
      </w:tr>
      <w:tr w:rsidR="00A76E4B" w14:paraId="1C133DC7" w14:textId="21B7FAF4" w:rsidTr="00791106">
        <w:tc>
          <w:tcPr>
            <w:tcW w:w="2194" w:type="dxa"/>
            <w:shd w:val="clear" w:color="auto" w:fill="F2F2F2" w:themeFill="background1" w:themeFillShade="F2"/>
          </w:tcPr>
          <w:p w14:paraId="64384B2D" w14:textId="4AF42E1A" w:rsidR="00A76E4B" w:rsidRDefault="00A20899">
            <w:r>
              <w:lastRenderedPageBreak/>
              <w:t>Small Team</w:t>
            </w:r>
            <w:r w:rsidR="00BE5F82">
              <w:t xml:space="preserve"> #3</w:t>
            </w:r>
          </w:p>
          <w:p w14:paraId="499244AA" w14:textId="42337A65" w:rsidR="00A20899" w:rsidRPr="0066622B" w:rsidRDefault="0066622B">
            <w:pPr>
              <w:rPr>
                <w:b/>
              </w:rPr>
            </w:pPr>
            <w:r>
              <w:rPr>
                <w:b/>
              </w:rPr>
              <w:t xml:space="preserve">Wed </w:t>
            </w:r>
            <w:r w:rsidR="00C22774">
              <w:rPr>
                <w:b/>
              </w:rPr>
              <w:t>10</w:t>
            </w:r>
            <w:r w:rsidR="00A20899" w:rsidRPr="0066622B">
              <w:rPr>
                <w:b/>
              </w:rPr>
              <w:t xml:space="preserve"> October</w:t>
            </w:r>
          </w:p>
          <w:p w14:paraId="1170E181" w14:textId="6A94FB16" w:rsidR="00A20899" w:rsidRDefault="00A20899">
            <w:r>
              <w:t>13.00 – 15.00 UTC</w:t>
            </w:r>
          </w:p>
          <w:p w14:paraId="5AC44BD8" w14:textId="3E38FA5D" w:rsidR="00A20899" w:rsidRDefault="00A20899"/>
        </w:tc>
        <w:tc>
          <w:tcPr>
            <w:tcW w:w="3812" w:type="dxa"/>
          </w:tcPr>
          <w:p w14:paraId="3C3DCEF1" w14:textId="19C31762" w:rsidR="00A20899" w:rsidRPr="00A53656" w:rsidRDefault="00A20899" w:rsidP="00055D51">
            <w:pPr>
              <w:ind w:left="399" w:hanging="399"/>
              <w:rPr>
                <w:rFonts w:cstheme="minorHAnsi"/>
              </w:rPr>
            </w:pPr>
            <w:r w:rsidRPr="00A53656">
              <w:rPr>
                <w:rFonts w:cstheme="minorHAnsi"/>
              </w:rPr>
              <w:t xml:space="preserve">j). </w:t>
            </w:r>
            <w:r w:rsidR="00055D51">
              <w:rPr>
                <w:rFonts w:cstheme="minorHAnsi"/>
              </w:rPr>
              <w:t xml:space="preserve">  </w:t>
            </w:r>
            <w:r w:rsidRPr="00A53656">
              <w:rPr>
                <w:rFonts w:cstheme="minorHAnsi"/>
              </w:rPr>
              <w:t>Temporary Specification and Reasonable Access</w:t>
            </w:r>
          </w:p>
          <w:p w14:paraId="4C447BA4" w14:textId="50E26ED7" w:rsidR="00A20899" w:rsidRPr="00A53656" w:rsidRDefault="00A20899" w:rsidP="00055D51">
            <w:pPr>
              <w:ind w:left="399" w:hanging="399"/>
              <w:rPr>
                <w:rFonts w:cstheme="minorHAnsi"/>
              </w:rPr>
            </w:pPr>
            <w:r w:rsidRPr="00A53656">
              <w:rPr>
                <w:rFonts w:cstheme="minorHAnsi"/>
              </w:rPr>
              <w:t xml:space="preserve">j1) </w:t>
            </w:r>
            <w:r w:rsidR="00055D51">
              <w:rPr>
                <w:rFonts w:cstheme="minorHAnsi"/>
              </w:rPr>
              <w:t xml:space="preserve">  </w:t>
            </w:r>
            <w:r w:rsidRPr="00A53656">
              <w:rPr>
                <w:rFonts w:cstheme="minorHAnsi"/>
              </w:rPr>
              <w:t xml:space="preserve">Should existing requirements in the Temporary Specification remain in place until a model for access is finalized? </w:t>
            </w:r>
          </w:p>
          <w:p w14:paraId="52833938" w14:textId="20A40F0F" w:rsidR="00A76E4B" w:rsidRDefault="00A20899" w:rsidP="00055D51">
            <w:pPr>
              <w:ind w:left="399" w:hanging="399"/>
              <w:rPr>
                <w:rFonts w:cstheme="minorHAnsi"/>
              </w:rPr>
            </w:pPr>
            <w:r w:rsidRPr="00A53656">
              <w:rPr>
                <w:rFonts w:cstheme="minorHAnsi"/>
              </w:rPr>
              <w:t xml:space="preserve">j2) </w:t>
            </w:r>
            <w:r w:rsidR="00055D51">
              <w:rPr>
                <w:rFonts w:cstheme="minorHAnsi"/>
              </w:rPr>
              <w:t xml:space="preserve">  </w:t>
            </w:r>
            <w:r w:rsidRPr="00A53656">
              <w:rPr>
                <w:rFonts w:cstheme="minorHAnsi"/>
              </w:rPr>
              <w:t>Can the obligation to provide “reasonable access” be further clarified and/or better defined</w:t>
            </w:r>
            <w:r>
              <w:rPr>
                <w:rFonts w:cstheme="minorHAnsi"/>
              </w:rPr>
              <w:t>?</w:t>
            </w:r>
            <w:r w:rsidRPr="00A53656">
              <w:rPr>
                <w:rFonts w:cstheme="minorHAnsi"/>
              </w:rPr>
              <w:t xml:space="preserve"> </w:t>
            </w:r>
          </w:p>
          <w:p w14:paraId="379E76B6" w14:textId="445F9286" w:rsidR="00A20899" w:rsidRDefault="004C6108" w:rsidP="004C6108">
            <w:pPr>
              <w:ind w:left="396" w:hanging="396"/>
            </w:pPr>
            <w:r>
              <w:rPr>
                <w:rFonts w:cstheme="minorHAnsi"/>
              </w:rPr>
              <w:tab/>
            </w:r>
            <w:r w:rsidR="00A20899">
              <w:rPr>
                <w:rFonts w:cstheme="minorHAnsi"/>
              </w:rPr>
              <w:t>(shortened version – see full question below)</w:t>
            </w:r>
          </w:p>
        </w:tc>
        <w:tc>
          <w:tcPr>
            <w:tcW w:w="3169" w:type="dxa"/>
          </w:tcPr>
          <w:p w14:paraId="553CE468" w14:textId="77777777" w:rsidR="00A76E4B" w:rsidRDefault="00A76E4B"/>
        </w:tc>
        <w:tc>
          <w:tcPr>
            <w:tcW w:w="3775" w:type="dxa"/>
          </w:tcPr>
          <w:p w14:paraId="2A231CDD" w14:textId="77777777" w:rsidR="00A76E4B" w:rsidRDefault="00A76E4B"/>
        </w:tc>
      </w:tr>
      <w:tr w:rsidR="00A76E4B" w14:paraId="72A1DDB9" w14:textId="201702EF" w:rsidTr="00791106">
        <w:tc>
          <w:tcPr>
            <w:tcW w:w="2194" w:type="dxa"/>
            <w:shd w:val="clear" w:color="auto" w:fill="F2F2F2" w:themeFill="background1" w:themeFillShade="F2"/>
          </w:tcPr>
          <w:p w14:paraId="2AE7171D" w14:textId="77777777" w:rsidR="00A76E4B" w:rsidRDefault="00A20899">
            <w:r>
              <w:lastRenderedPageBreak/>
              <w:t xml:space="preserve">EPDP Team </w:t>
            </w:r>
          </w:p>
          <w:p w14:paraId="3635AD7A" w14:textId="1D0B2AC3" w:rsidR="0066622B" w:rsidRPr="0066622B" w:rsidRDefault="0066622B">
            <w:pPr>
              <w:rPr>
                <w:b/>
              </w:rPr>
            </w:pPr>
            <w:r w:rsidRPr="0066622B">
              <w:rPr>
                <w:b/>
              </w:rPr>
              <w:t xml:space="preserve">Thursday </w:t>
            </w:r>
            <w:r w:rsidR="00C22774">
              <w:rPr>
                <w:b/>
              </w:rPr>
              <w:t>11</w:t>
            </w:r>
            <w:r w:rsidRPr="0066622B">
              <w:rPr>
                <w:b/>
              </w:rPr>
              <w:t xml:space="preserve"> October</w:t>
            </w:r>
          </w:p>
          <w:p w14:paraId="2935C686" w14:textId="4AB137B2" w:rsidR="0066622B" w:rsidRDefault="0066622B">
            <w:r>
              <w:t>13.00 – 15.00 UTC</w:t>
            </w:r>
          </w:p>
        </w:tc>
        <w:tc>
          <w:tcPr>
            <w:tcW w:w="3812" w:type="dxa"/>
          </w:tcPr>
          <w:p w14:paraId="0F0DC43F" w14:textId="6BEAD66C" w:rsidR="00A76E4B" w:rsidRPr="0066622B" w:rsidRDefault="00A76E4B" w:rsidP="00A5794F">
            <w:pPr>
              <w:ind w:left="309" w:hanging="309"/>
              <w:rPr>
                <w:rFonts w:cstheme="minorHAnsi"/>
              </w:rPr>
            </w:pPr>
          </w:p>
        </w:tc>
        <w:tc>
          <w:tcPr>
            <w:tcW w:w="3169" w:type="dxa"/>
          </w:tcPr>
          <w:p w14:paraId="1E2E55E4" w14:textId="568CAFE2" w:rsidR="00A76E4B" w:rsidRDefault="00F31F1D">
            <w:r>
              <w:t>Purpose B</w:t>
            </w:r>
          </w:p>
        </w:tc>
        <w:tc>
          <w:tcPr>
            <w:tcW w:w="3775" w:type="dxa"/>
          </w:tcPr>
          <w:p w14:paraId="2DD84A97" w14:textId="019B9E85" w:rsidR="00A76E4B" w:rsidRDefault="0011784D">
            <w:r>
              <w:t>Purpose B - d</w:t>
            </w:r>
            <w:r w:rsidR="00F31F1D">
              <w:t>ependent on ‘homework’ in relation to this item being delivered in a timely manner</w:t>
            </w:r>
          </w:p>
        </w:tc>
      </w:tr>
      <w:tr w:rsidR="00A76E4B" w14:paraId="2E2F6F31" w14:textId="5DB24C6F" w:rsidTr="00791106">
        <w:tc>
          <w:tcPr>
            <w:tcW w:w="2194" w:type="dxa"/>
            <w:shd w:val="clear" w:color="auto" w:fill="F2F2F2" w:themeFill="background1" w:themeFillShade="F2"/>
          </w:tcPr>
          <w:p w14:paraId="4BDA3B03" w14:textId="77777777" w:rsidR="00A76E4B" w:rsidRDefault="0066622B">
            <w:r>
              <w:t>EPDP Team</w:t>
            </w:r>
          </w:p>
          <w:p w14:paraId="7AE4FA4B" w14:textId="77777777" w:rsidR="0066622B" w:rsidRPr="00C22774" w:rsidRDefault="00C22774">
            <w:pPr>
              <w:rPr>
                <w:b/>
              </w:rPr>
            </w:pPr>
            <w:r w:rsidRPr="00C22774">
              <w:rPr>
                <w:b/>
              </w:rPr>
              <w:t>Tuesday 15 October</w:t>
            </w:r>
          </w:p>
          <w:p w14:paraId="46C3F080" w14:textId="4C37A492" w:rsidR="00C22774" w:rsidRDefault="00C22774">
            <w:r>
              <w:t>13.00 – 15.00 UTC</w:t>
            </w:r>
          </w:p>
        </w:tc>
        <w:tc>
          <w:tcPr>
            <w:tcW w:w="3812" w:type="dxa"/>
          </w:tcPr>
          <w:p w14:paraId="65EE46B9" w14:textId="1D9EA0C9" w:rsidR="00A76E4B" w:rsidRDefault="00C22774">
            <w:r>
              <w:t>Air time for small team topics in preparation for Saturday meeting highlighting main questions / issues to be addressed</w:t>
            </w:r>
          </w:p>
        </w:tc>
        <w:tc>
          <w:tcPr>
            <w:tcW w:w="3169" w:type="dxa"/>
          </w:tcPr>
          <w:p w14:paraId="011C1A73" w14:textId="77777777" w:rsidR="00A76E4B" w:rsidRDefault="00A76E4B"/>
        </w:tc>
        <w:tc>
          <w:tcPr>
            <w:tcW w:w="3775" w:type="dxa"/>
          </w:tcPr>
          <w:p w14:paraId="1C2B2667" w14:textId="77777777" w:rsidR="00A76E4B" w:rsidRDefault="00A76E4B"/>
        </w:tc>
      </w:tr>
      <w:tr w:rsidR="00A76E4B" w14:paraId="35DD246C" w14:textId="3E6CFC5C" w:rsidTr="00791106">
        <w:tc>
          <w:tcPr>
            <w:tcW w:w="2194" w:type="dxa"/>
            <w:shd w:val="clear" w:color="auto" w:fill="F2F2F2" w:themeFill="background1" w:themeFillShade="F2"/>
          </w:tcPr>
          <w:p w14:paraId="507E3FB7" w14:textId="77777777" w:rsidR="00A76E4B" w:rsidRDefault="00C22774">
            <w:r>
              <w:t>EPDP Team</w:t>
            </w:r>
          </w:p>
          <w:p w14:paraId="56BFE43D" w14:textId="77777777" w:rsidR="00C22774" w:rsidRPr="00C22774" w:rsidRDefault="00C22774">
            <w:pPr>
              <w:rPr>
                <w:b/>
              </w:rPr>
            </w:pPr>
            <w:r w:rsidRPr="00C22774">
              <w:rPr>
                <w:b/>
              </w:rPr>
              <w:t>Saturday 20 Oct</w:t>
            </w:r>
          </w:p>
          <w:p w14:paraId="43EBE4E3" w14:textId="77777777" w:rsidR="00C22774" w:rsidRDefault="00C22774">
            <w:r>
              <w:t>8.30 – 18.30</w:t>
            </w:r>
          </w:p>
          <w:p w14:paraId="6CC9743B" w14:textId="55E6C018" w:rsidR="00C22774" w:rsidRDefault="00C22774">
            <w:r>
              <w:t>F2F Meeting ICANN63</w:t>
            </w:r>
          </w:p>
        </w:tc>
        <w:tc>
          <w:tcPr>
            <w:tcW w:w="3812" w:type="dxa"/>
          </w:tcPr>
          <w:p w14:paraId="005DEE3D" w14:textId="77777777" w:rsidR="00A76E4B" w:rsidRDefault="00B54AFF">
            <w:r>
              <w:t>Charter Question H</w:t>
            </w:r>
          </w:p>
          <w:p w14:paraId="077CE114" w14:textId="46C591F1" w:rsidR="00B54AFF" w:rsidRDefault="00B54AFF">
            <w:r>
              <w:t>Charter Question J</w:t>
            </w:r>
          </w:p>
        </w:tc>
        <w:tc>
          <w:tcPr>
            <w:tcW w:w="3169" w:type="dxa"/>
          </w:tcPr>
          <w:p w14:paraId="53EE7A5B" w14:textId="77777777" w:rsidR="00A76E4B" w:rsidRDefault="00B54AFF">
            <w:r>
              <w:t>Purpose B</w:t>
            </w:r>
          </w:p>
          <w:p w14:paraId="5CD36BD8" w14:textId="70D88D07" w:rsidR="00B54AFF" w:rsidRDefault="00B54AFF">
            <w:r>
              <w:t>Any outstanding issues in relation to the data elements workbooks</w:t>
            </w:r>
          </w:p>
        </w:tc>
        <w:tc>
          <w:tcPr>
            <w:tcW w:w="3775" w:type="dxa"/>
          </w:tcPr>
          <w:p w14:paraId="761A1F13" w14:textId="77777777" w:rsidR="00A76E4B" w:rsidRDefault="00A76E4B"/>
        </w:tc>
      </w:tr>
      <w:tr w:rsidR="00B54AFF" w14:paraId="36C92410" w14:textId="77777777" w:rsidTr="00791106">
        <w:tc>
          <w:tcPr>
            <w:tcW w:w="2194" w:type="dxa"/>
            <w:shd w:val="clear" w:color="auto" w:fill="F2F2F2" w:themeFill="background1" w:themeFillShade="F2"/>
          </w:tcPr>
          <w:p w14:paraId="4CF97958" w14:textId="77777777" w:rsidR="00B54AFF" w:rsidRDefault="00B54AFF">
            <w:r>
              <w:t>EPDP Team</w:t>
            </w:r>
          </w:p>
          <w:p w14:paraId="24402BBF" w14:textId="77777777" w:rsidR="00B54AFF" w:rsidRPr="004870C8" w:rsidRDefault="00B54AFF">
            <w:pPr>
              <w:rPr>
                <w:b/>
              </w:rPr>
            </w:pPr>
            <w:r w:rsidRPr="004870C8">
              <w:rPr>
                <w:b/>
              </w:rPr>
              <w:t>Sunday 21 October</w:t>
            </w:r>
          </w:p>
          <w:p w14:paraId="372FDD42" w14:textId="6CE741F0" w:rsidR="00B54AFF" w:rsidRDefault="00B54AFF">
            <w:r>
              <w:t>17.00 – 18.30</w:t>
            </w:r>
          </w:p>
        </w:tc>
        <w:tc>
          <w:tcPr>
            <w:tcW w:w="6981" w:type="dxa"/>
            <w:gridSpan w:val="2"/>
          </w:tcPr>
          <w:p w14:paraId="602352A1" w14:textId="18662743" w:rsidR="00B54AFF" w:rsidRDefault="00B54AFF">
            <w:r>
              <w:t>Preparation for High Interest Topic Session</w:t>
            </w:r>
          </w:p>
        </w:tc>
        <w:tc>
          <w:tcPr>
            <w:tcW w:w="3775" w:type="dxa"/>
          </w:tcPr>
          <w:p w14:paraId="4625E4D9" w14:textId="77777777" w:rsidR="00B54AFF" w:rsidRDefault="00B54AFF"/>
        </w:tc>
      </w:tr>
      <w:tr w:rsidR="00A21FFA" w14:paraId="3D38A04D" w14:textId="77777777" w:rsidTr="00791106">
        <w:tc>
          <w:tcPr>
            <w:tcW w:w="2194" w:type="dxa"/>
            <w:shd w:val="clear" w:color="auto" w:fill="F2F2F2" w:themeFill="background1" w:themeFillShade="F2"/>
          </w:tcPr>
          <w:p w14:paraId="2619E29C" w14:textId="77D64804" w:rsidR="00A21FFA" w:rsidRDefault="00A21FFA">
            <w:r>
              <w:t>EPDP Team</w:t>
            </w:r>
          </w:p>
          <w:p w14:paraId="71AFD784" w14:textId="77777777" w:rsidR="00A21FFA" w:rsidRPr="004870C8" w:rsidRDefault="00A21FFA">
            <w:pPr>
              <w:rPr>
                <w:b/>
              </w:rPr>
            </w:pPr>
            <w:r w:rsidRPr="004870C8">
              <w:rPr>
                <w:b/>
              </w:rPr>
              <w:t>Monday 22 October</w:t>
            </w:r>
          </w:p>
          <w:p w14:paraId="23EF33B3" w14:textId="78AD5ECC" w:rsidR="00A21FFA" w:rsidRDefault="00A21FFA">
            <w:r>
              <w:t>15.15 – 16.45</w:t>
            </w:r>
          </w:p>
        </w:tc>
        <w:tc>
          <w:tcPr>
            <w:tcW w:w="6981" w:type="dxa"/>
            <w:gridSpan w:val="2"/>
          </w:tcPr>
          <w:p w14:paraId="36007B11" w14:textId="711B48D5" w:rsidR="00A21FFA" w:rsidRDefault="00A21FFA">
            <w:r>
              <w:t>High Interest Topic Session – Presentation of draft Initial Report and Preliminary Recommendations</w:t>
            </w:r>
          </w:p>
        </w:tc>
        <w:tc>
          <w:tcPr>
            <w:tcW w:w="3775" w:type="dxa"/>
          </w:tcPr>
          <w:p w14:paraId="4B7E0953" w14:textId="77777777" w:rsidR="00A21FFA" w:rsidRDefault="00A21FFA"/>
        </w:tc>
      </w:tr>
      <w:tr w:rsidR="00B54AFF" w14:paraId="1AB01B9A" w14:textId="77777777" w:rsidTr="00791106">
        <w:tc>
          <w:tcPr>
            <w:tcW w:w="2194" w:type="dxa"/>
            <w:shd w:val="clear" w:color="auto" w:fill="F2F2F2" w:themeFill="background1" w:themeFillShade="F2"/>
          </w:tcPr>
          <w:p w14:paraId="1213B410" w14:textId="77777777" w:rsidR="00B54AFF" w:rsidRDefault="00B54AFF">
            <w:r>
              <w:t>EPDP Team</w:t>
            </w:r>
          </w:p>
          <w:p w14:paraId="41EA358E" w14:textId="6E0CBE04" w:rsidR="00B54AFF" w:rsidRPr="004870C8" w:rsidRDefault="004870C8">
            <w:pPr>
              <w:rPr>
                <w:b/>
              </w:rPr>
            </w:pPr>
            <w:r w:rsidRPr="004870C8">
              <w:rPr>
                <w:b/>
              </w:rPr>
              <w:t>Wed</w:t>
            </w:r>
            <w:r w:rsidR="00B54AFF" w:rsidRPr="004870C8">
              <w:rPr>
                <w:b/>
              </w:rPr>
              <w:t xml:space="preserve"> 24 October</w:t>
            </w:r>
          </w:p>
          <w:p w14:paraId="138153B1" w14:textId="4F2DD0C4" w:rsidR="00B54AFF" w:rsidRDefault="004870C8">
            <w:r>
              <w:t>17.00 – 18.30</w:t>
            </w:r>
          </w:p>
        </w:tc>
        <w:tc>
          <w:tcPr>
            <w:tcW w:w="3812" w:type="dxa"/>
          </w:tcPr>
          <w:p w14:paraId="2A467EAA" w14:textId="2B30F023" w:rsidR="00A21FFA" w:rsidRPr="00A53656" w:rsidRDefault="00A21FFA" w:rsidP="00A5794F">
            <w:pPr>
              <w:ind w:left="399" w:hanging="399"/>
              <w:rPr>
                <w:rFonts w:cstheme="minorHAnsi"/>
              </w:rPr>
            </w:pPr>
            <w:r w:rsidRPr="00A53656">
              <w:rPr>
                <w:rFonts w:cstheme="minorHAnsi"/>
              </w:rPr>
              <w:t>b)   Collection of registration data by registrar:</w:t>
            </w:r>
          </w:p>
          <w:p w14:paraId="6D76012B" w14:textId="3A3AA66F" w:rsidR="00A21FFA" w:rsidRDefault="00A21FFA" w:rsidP="00A5794F">
            <w:pPr>
              <w:ind w:left="399" w:hanging="399"/>
              <w:rPr>
                <w:rFonts w:cstheme="minorHAnsi"/>
              </w:rPr>
            </w:pPr>
            <w:r w:rsidRPr="00A53656">
              <w:rPr>
                <w:rFonts w:cstheme="minorHAnsi"/>
              </w:rPr>
              <w:t>b3) How shall legitimacy of collecting data be defined (at least for personal data collected from European registrants and others in jurisdictions with data protection law)?</w:t>
            </w:r>
          </w:p>
          <w:p w14:paraId="7C958EE0" w14:textId="77777777" w:rsidR="00A21FFA" w:rsidRDefault="00A21FFA" w:rsidP="00A5794F">
            <w:pPr>
              <w:ind w:left="399" w:hanging="399"/>
              <w:rPr>
                <w:rFonts w:cstheme="minorHAnsi"/>
              </w:rPr>
            </w:pPr>
          </w:p>
          <w:p w14:paraId="351EAFAC" w14:textId="0F792EC8" w:rsidR="00A21FFA" w:rsidRPr="00A53656" w:rsidRDefault="00A21FFA" w:rsidP="00A5794F">
            <w:pPr>
              <w:ind w:left="399" w:hanging="399"/>
              <w:rPr>
                <w:rFonts w:cstheme="minorHAnsi"/>
              </w:rPr>
            </w:pPr>
            <w:r w:rsidRPr="00A53656">
              <w:rPr>
                <w:rFonts w:cstheme="minorHAnsi"/>
              </w:rPr>
              <w:t>k)    ICANN's responsibilities in processing data</w:t>
            </w:r>
          </w:p>
          <w:p w14:paraId="754618F2" w14:textId="3CCBCBA2" w:rsidR="00A21FFA" w:rsidRPr="00A53656" w:rsidRDefault="00A21FFA" w:rsidP="00A5794F">
            <w:pPr>
              <w:ind w:left="399" w:hanging="399"/>
              <w:rPr>
                <w:rFonts w:cstheme="minorHAnsi"/>
              </w:rPr>
            </w:pPr>
            <w:r w:rsidRPr="00A53656">
              <w:rPr>
                <w:rFonts w:cstheme="minorHAnsi"/>
              </w:rPr>
              <w:lastRenderedPageBreak/>
              <w:t>k2) In addition to any specific duties ICANN may have as data controller, what other obligations should be noted by this EPDP Team, including any duties to registrants that are unique and specific to ICANN’s role as the administrator of policies and contracts governing gTLD domain names?</w:t>
            </w:r>
          </w:p>
          <w:p w14:paraId="1D37F659" w14:textId="77777777" w:rsidR="00A21FFA" w:rsidRPr="00A53656" w:rsidRDefault="00A21FFA" w:rsidP="00A5794F">
            <w:pPr>
              <w:ind w:left="399" w:hanging="399"/>
              <w:rPr>
                <w:rFonts w:cstheme="minorHAnsi"/>
              </w:rPr>
            </w:pPr>
          </w:p>
          <w:p w14:paraId="06F286AF" w14:textId="4DD81175" w:rsidR="00A21FFA" w:rsidRPr="00A53656" w:rsidRDefault="00A21FFA" w:rsidP="00A5794F">
            <w:pPr>
              <w:ind w:left="399" w:hanging="399"/>
              <w:rPr>
                <w:rFonts w:cstheme="minorHAnsi"/>
              </w:rPr>
            </w:pPr>
            <w:r w:rsidRPr="00A53656">
              <w:rPr>
                <w:rFonts w:cstheme="minorHAnsi"/>
              </w:rPr>
              <w:t xml:space="preserve">l)    </w:t>
            </w:r>
            <w:r w:rsidR="004C6108">
              <w:rPr>
                <w:rFonts w:cstheme="minorHAnsi"/>
              </w:rPr>
              <w:t xml:space="preserve"> </w:t>
            </w:r>
            <w:r w:rsidRPr="00A53656">
              <w:rPr>
                <w:rFonts w:cstheme="minorHAnsi"/>
              </w:rPr>
              <w:t>Registrar's responsibilities in processing data</w:t>
            </w:r>
          </w:p>
          <w:p w14:paraId="21258C97" w14:textId="23C0208B" w:rsidR="00A21FFA" w:rsidRPr="00A53656" w:rsidRDefault="00A21FFA" w:rsidP="00A5794F">
            <w:pPr>
              <w:ind w:left="399" w:hanging="399"/>
              <w:rPr>
                <w:rFonts w:cstheme="minorHAnsi"/>
              </w:rPr>
            </w:pPr>
            <w:r w:rsidRPr="00A53656">
              <w:rPr>
                <w:rFonts w:cstheme="minorHAnsi"/>
              </w:rPr>
              <w:t>l4</w:t>
            </w:r>
            <w:proofErr w:type="gramStart"/>
            <w:r w:rsidRPr="00A53656">
              <w:rPr>
                <w:rFonts w:cstheme="minorHAnsi"/>
              </w:rPr>
              <w:t xml:space="preserve">) </w:t>
            </w:r>
            <w:r w:rsidR="004C6108">
              <w:rPr>
                <w:rFonts w:cstheme="minorHAnsi"/>
              </w:rPr>
              <w:t xml:space="preserve"> </w:t>
            </w:r>
            <w:r w:rsidRPr="00A53656">
              <w:rPr>
                <w:rFonts w:cstheme="minorHAnsi"/>
              </w:rPr>
              <w:t>What</w:t>
            </w:r>
            <w:proofErr w:type="gramEnd"/>
            <w:r w:rsidRPr="00A53656">
              <w:rPr>
                <w:rFonts w:cstheme="minorHAnsi"/>
              </w:rPr>
              <w:t xml:space="preserve"> are the registrar's responsibilities to the data subject with respect to data processing activities that are under ICANN’s control? </w:t>
            </w:r>
          </w:p>
          <w:p w14:paraId="388F4C5B" w14:textId="77777777" w:rsidR="00A21FFA" w:rsidRPr="00A53656" w:rsidRDefault="00A21FFA" w:rsidP="00A5794F">
            <w:pPr>
              <w:ind w:left="399" w:hanging="399"/>
              <w:rPr>
                <w:rFonts w:cstheme="minorHAnsi"/>
              </w:rPr>
            </w:pPr>
          </w:p>
          <w:p w14:paraId="6C710E2E" w14:textId="77777777" w:rsidR="00A21FFA" w:rsidRPr="00A53656" w:rsidRDefault="00A21FFA" w:rsidP="00A5794F">
            <w:pPr>
              <w:ind w:left="399" w:hanging="399"/>
              <w:rPr>
                <w:rFonts w:cstheme="minorHAnsi"/>
              </w:rPr>
            </w:pPr>
            <w:r w:rsidRPr="00A53656">
              <w:rPr>
                <w:rFonts w:cstheme="minorHAnsi"/>
              </w:rPr>
              <w:t>m)   Registry's responsibilities in processing data</w:t>
            </w:r>
          </w:p>
          <w:p w14:paraId="4839F3B8" w14:textId="77777777" w:rsidR="00A21FFA" w:rsidRPr="00A53656" w:rsidRDefault="00A21FFA" w:rsidP="00A5794F">
            <w:pPr>
              <w:ind w:left="399" w:hanging="399"/>
              <w:rPr>
                <w:rFonts w:cstheme="minorHAnsi"/>
              </w:rPr>
            </w:pPr>
            <w:r w:rsidRPr="00A53656">
              <w:rPr>
                <w:rFonts w:cstheme="minorHAnsi"/>
              </w:rPr>
              <w:t>m4) What are the registry's responsibilities to the data subject based on the above?</w:t>
            </w:r>
          </w:p>
          <w:p w14:paraId="7247C12B" w14:textId="77777777" w:rsidR="00A21FFA" w:rsidRPr="00A53656" w:rsidRDefault="00A21FFA" w:rsidP="00A5794F">
            <w:pPr>
              <w:ind w:left="399" w:hanging="399"/>
              <w:rPr>
                <w:rFonts w:cstheme="minorHAnsi"/>
              </w:rPr>
            </w:pPr>
          </w:p>
          <w:p w14:paraId="45CA7AF8" w14:textId="75228F1D" w:rsidR="00A21FFA" w:rsidRPr="00A53656" w:rsidRDefault="00A21FFA" w:rsidP="00A5794F">
            <w:pPr>
              <w:ind w:left="399" w:hanging="399"/>
              <w:rPr>
                <w:rFonts w:cstheme="minorHAnsi"/>
              </w:rPr>
            </w:pPr>
            <w:r w:rsidRPr="00A53656">
              <w:rPr>
                <w:rFonts w:cstheme="minorHAnsi"/>
              </w:rPr>
              <w:t>q)   Sun</w:t>
            </w:r>
            <w:r w:rsidR="000612A6">
              <w:rPr>
                <w:rFonts w:cstheme="minorHAnsi"/>
              </w:rPr>
              <w:t>-</w:t>
            </w:r>
            <w:r w:rsidRPr="00A53656">
              <w:rPr>
                <w:rFonts w:cstheme="minorHAnsi"/>
              </w:rPr>
              <w:t>setting WHOIS Contractual Requirements</w:t>
            </w:r>
          </w:p>
          <w:p w14:paraId="03DC48C0" w14:textId="77777777" w:rsidR="00A21FFA" w:rsidRPr="00A53656" w:rsidRDefault="00A21FFA" w:rsidP="00A5794F">
            <w:pPr>
              <w:ind w:left="399" w:hanging="399"/>
              <w:rPr>
                <w:rFonts w:cstheme="minorHAnsi"/>
              </w:rPr>
            </w:pPr>
            <w:r w:rsidRPr="00A53656">
              <w:rPr>
                <w:rFonts w:cstheme="minorHAnsi"/>
              </w:rPr>
              <w:t xml:space="preserve">q1) After migration to RDAP, when can requirements in the Contracts to use WHOIS protocol be eliminated? </w:t>
            </w:r>
          </w:p>
          <w:p w14:paraId="63747408" w14:textId="355941B0" w:rsidR="00B54AFF" w:rsidRPr="00A21FFA" w:rsidRDefault="00A21FFA" w:rsidP="00A5794F">
            <w:pPr>
              <w:ind w:left="399" w:hanging="399"/>
              <w:rPr>
                <w:rFonts w:cstheme="minorHAnsi"/>
              </w:rPr>
            </w:pPr>
            <w:r w:rsidRPr="00A53656">
              <w:rPr>
                <w:rFonts w:cstheme="minorHAnsi"/>
              </w:rPr>
              <w:lastRenderedPageBreak/>
              <w:t>q2) If EPDP Team’s decision includes a replacement directory access protocol, such as RDAP, when can requirements in the Contracts to use WHOIS protocol be eliminated?</w:t>
            </w:r>
          </w:p>
        </w:tc>
        <w:tc>
          <w:tcPr>
            <w:tcW w:w="3169" w:type="dxa"/>
          </w:tcPr>
          <w:p w14:paraId="059442BB" w14:textId="2FF311A3" w:rsidR="00B54AFF" w:rsidRDefault="00A21FFA">
            <w:r>
              <w:lastRenderedPageBreak/>
              <w:t>Any remaining items needing to be addressed prior to publication of Initial Report.</w:t>
            </w:r>
          </w:p>
        </w:tc>
        <w:tc>
          <w:tcPr>
            <w:tcW w:w="3775" w:type="dxa"/>
          </w:tcPr>
          <w:p w14:paraId="23D0C206" w14:textId="69DBB521" w:rsidR="00B54AFF" w:rsidRDefault="00A21FFA">
            <w:r>
              <w:t>Ideally these items are addressed through mailing list conversations and may not require F2F time.</w:t>
            </w:r>
          </w:p>
        </w:tc>
      </w:tr>
      <w:tr w:rsidR="00A21FFA" w14:paraId="57FCB0BE" w14:textId="77777777" w:rsidTr="00791106">
        <w:tc>
          <w:tcPr>
            <w:tcW w:w="2194" w:type="dxa"/>
            <w:shd w:val="clear" w:color="auto" w:fill="F2F2F2" w:themeFill="background1" w:themeFillShade="F2"/>
          </w:tcPr>
          <w:p w14:paraId="054DAB38" w14:textId="77777777" w:rsidR="00A21FFA" w:rsidRDefault="00A21FFA">
            <w:r>
              <w:lastRenderedPageBreak/>
              <w:t>EPDP Team</w:t>
            </w:r>
          </w:p>
          <w:p w14:paraId="578A2DCF" w14:textId="77777777" w:rsidR="00A21FFA" w:rsidRPr="004870C8" w:rsidRDefault="00A21FFA">
            <w:pPr>
              <w:rPr>
                <w:b/>
              </w:rPr>
            </w:pPr>
            <w:r w:rsidRPr="004870C8">
              <w:rPr>
                <w:b/>
              </w:rPr>
              <w:t>Thurs 25 October</w:t>
            </w:r>
          </w:p>
          <w:p w14:paraId="11098960" w14:textId="3C584C34" w:rsidR="00A21FFA" w:rsidRDefault="00A21FFA">
            <w:r>
              <w:t>8.30 – 10.15</w:t>
            </w:r>
          </w:p>
        </w:tc>
        <w:tc>
          <w:tcPr>
            <w:tcW w:w="6981" w:type="dxa"/>
            <w:gridSpan w:val="2"/>
          </w:tcPr>
          <w:p w14:paraId="1C694B44" w14:textId="598AEC9A" w:rsidR="00A21FFA" w:rsidRDefault="00A21FFA">
            <w:r>
              <w:t>Any remaining items needing to be addressed prior to publication of Initial Report.</w:t>
            </w:r>
          </w:p>
        </w:tc>
        <w:tc>
          <w:tcPr>
            <w:tcW w:w="3775" w:type="dxa"/>
          </w:tcPr>
          <w:p w14:paraId="0E79213C" w14:textId="77777777" w:rsidR="00A21FFA" w:rsidRDefault="00A21FFA"/>
        </w:tc>
      </w:tr>
    </w:tbl>
    <w:p w14:paraId="4E363CFB" w14:textId="05FB64EF" w:rsidR="00D21F29" w:rsidRDefault="00D21F29"/>
    <w:p w14:paraId="660FF827" w14:textId="77777777" w:rsidR="00A21FFA" w:rsidRDefault="00A21FFA">
      <w:bookmarkStart w:id="0" w:name="_GoBack"/>
      <w:bookmarkEnd w:id="0"/>
    </w:p>
    <w:p w14:paraId="30E1C6FB" w14:textId="0D0D4AAB" w:rsidR="00A21FFA" w:rsidRPr="00A21FFA" w:rsidRDefault="00A21FFA">
      <w:pPr>
        <w:rPr>
          <w:b/>
        </w:rPr>
      </w:pPr>
      <w:r w:rsidRPr="00A21FFA">
        <w:rPr>
          <w:b/>
        </w:rPr>
        <w:t>REMAINING CHARTER QUESTIONS</w:t>
      </w:r>
    </w:p>
    <w:p w14:paraId="51F64209" w14:textId="77777777" w:rsidR="00A21FFA" w:rsidRDefault="00A21FFA"/>
    <w:p w14:paraId="256C907C" w14:textId="0DAFEB47" w:rsidR="00A53656" w:rsidRDefault="00A53656">
      <w:r>
        <w:t>List of charter questions remaining to be addressed (note, this list focuses on charter questions that have either not been discussed yet or for which there is no clear path yet on how to address these)</w:t>
      </w:r>
      <w:r w:rsidR="00A21FFA">
        <w:t>:</w:t>
      </w:r>
    </w:p>
    <w:p w14:paraId="5EF3F70C" w14:textId="50597401" w:rsidR="00A53656" w:rsidRDefault="00A53656"/>
    <w:p w14:paraId="78B79C7D" w14:textId="6310FBA1" w:rsidR="00A53656" w:rsidRPr="00A21FFA" w:rsidRDefault="00A53656" w:rsidP="00A53656">
      <w:pPr>
        <w:rPr>
          <w:rFonts w:cstheme="minorHAnsi"/>
        </w:rPr>
      </w:pPr>
      <w:r w:rsidRPr="00A21FFA">
        <w:rPr>
          <w:rFonts w:cstheme="minorHAnsi"/>
        </w:rPr>
        <w:t>b)     Collection of registration data by registrar:</w:t>
      </w:r>
    </w:p>
    <w:p w14:paraId="1D92437B" w14:textId="510E740E" w:rsidR="00A53656" w:rsidRPr="00A21FFA" w:rsidRDefault="00A53656" w:rsidP="00A53656">
      <w:pPr>
        <w:ind w:left="720"/>
        <w:rPr>
          <w:rFonts w:cstheme="minorHAnsi"/>
        </w:rPr>
      </w:pPr>
      <w:r w:rsidRPr="00A21FFA">
        <w:rPr>
          <w:rFonts w:cstheme="minorHAnsi"/>
        </w:rPr>
        <w:t>b3) How shall legitimacy of collecting data be defined (at least for personal data collected from European registrants and others in jurisdictions with data protection law)?</w:t>
      </w:r>
    </w:p>
    <w:p w14:paraId="12C432BE" w14:textId="32871E1F" w:rsidR="00A53656" w:rsidRPr="00A21FFA" w:rsidRDefault="00A53656" w:rsidP="00A53656">
      <w:pPr>
        <w:rPr>
          <w:rFonts w:cstheme="minorHAnsi"/>
        </w:rPr>
      </w:pPr>
    </w:p>
    <w:p w14:paraId="1AAEE9B2" w14:textId="41B1516F" w:rsidR="00A53656" w:rsidRPr="00A21FFA" w:rsidRDefault="00A53656" w:rsidP="00A53656">
      <w:pPr>
        <w:rPr>
          <w:rFonts w:cstheme="minorHAnsi"/>
        </w:rPr>
      </w:pPr>
      <w:r w:rsidRPr="00A21FFA">
        <w:rPr>
          <w:rFonts w:cstheme="minorHAnsi"/>
        </w:rPr>
        <w:t>c)     Transfer of data from registrar to registry:</w:t>
      </w:r>
    </w:p>
    <w:p w14:paraId="7C3A9832" w14:textId="77777777" w:rsidR="00A53656" w:rsidRPr="00A21FFA" w:rsidRDefault="00A53656" w:rsidP="00A53656">
      <w:pPr>
        <w:ind w:left="720"/>
        <w:rPr>
          <w:rFonts w:cstheme="minorHAnsi"/>
        </w:rPr>
      </w:pPr>
      <w:r w:rsidRPr="00A21FFA">
        <w:rPr>
          <w:rFonts w:cstheme="minorHAnsi"/>
        </w:rPr>
        <w:t>c4) Is there a legal reason why registrars should not be required to transfer data to the registries, in accordance with previous consensus policy on this point?</w:t>
      </w:r>
    </w:p>
    <w:p w14:paraId="4A8DE438" w14:textId="6E96306B" w:rsidR="00A53656" w:rsidRPr="00A21FFA" w:rsidRDefault="00A53656" w:rsidP="00A53656">
      <w:pPr>
        <w:ind w:left="720"/>
        <w:rPr>
          <w:rFonts w:cstheme="minorHAnsi"/>
        </w:rPr>
      </w:pPr>
      <w:r w:rsidRPr="00A21FFA">
        <w:rPr>
          <w:rFonts w:cstheme="minorHAnsi"/>
        </w:rPr>
        <w:t>c5) Should registries have the option to require contact data or not?</w:t>
      </w:r>
    </w:p>
    <w:p w14:paraId="049B475C" w14:textId="49CC19F5" w:rsidR="00A53656" w:rsidRPr="00A21FFA" w:rsidRDefault="00A53656" w:rsidP="00A53656">
      <w:pPr>
        <w:rPr>
          <w:rFonts w:cstheme="minorHAnsi"/>
        </w:rPr>
      </w:pPr>
    </w:p>
    <w:p w14:paraId="20CFA3C9" w14:textId="745971BC" w:rsidR="00A53656" w:rsidRPr="00A21FFA" w:rsidRDefault="00A53656" w:rsidP="00A53656">
      <w:pPr>
        <w:rPr>
          <w:rFonts w:cstheme="minorHAnsi"/>
        </w:rPr>
      </w:pPr>
      <w:r w:rsidRPr="00A21FFA">
        <w:rPr>
          <w:rFonts w:cstheme="minorHAnsi"/>
        </w:rPr>
        <w:t>f)      Publication of data by registrar/registry:</w:t>
      </w:r>
    </w:p>
    <w:p w14:paraId="430DC5AB" w14:textId="77777777" w:rsidR="00A53656" w:rsidRPr="00A21FFA" w:rsidRDefault="00A53656" w:rsidP="00A53656">
      <w:pPr>
        <w:ind w:left="720"/>
        <w:rPr>
          <w:rFonts w:cstheme="minorHAnsi"/>
        </w:rPr>
      </w:pPr>
      <w:r w:rsidRPr="00A21FFA">
        <w:rPr>
          <w:rFonts w:cstheme="minorHAnsi"/>
        </w:rPr>
        <w:t xml:space="preserve">f2) Should standardized requirements on registrant contact mechanism be developed? </w:t>
      </w:r>
    </w:p>
    <w:p w14:paraId="266D1D67" w14:textId="2DE845AB" w:rsidR="00A53656" w:rsidRPr="00A21FFA" w:rsidRDefault="00A53656" w:rsidP="00A53656">
      <w:pPr>
        <w:ind w:left="720"/>
        <w:rPr>
          <w:rFonts w:cstheme="minorHAnsi"/>
        </w:rPr>
      </w:pPr>
      <w:r w:rsidRPr="00A21FFA">
        <w:rPr>
          <w:rFonts w:cstheme="minorHAnsi"/>
        </w:rPr>
        <w:t>f3) Under what circumstances should third parties be permitted to contact the registrant, and how should contact be facilitated in those circumstances?</w:t>
      </w:r>
    </w:p>
    <w:p w14:paraId="360CB6DA" w14:textId="2E657D11" w:rsidR="00A53656" w:rsidRPr="00A21FFA" w:rsidRDefault="00A53656" w:rsidP="00A53656">
      <w:pPr>
        <w:rPr>
          <w:rFonts w:cstheme="minorHAnsi"/>
        </w:rPr>
      </w:pPr>
    </w:p>
    <w:p w14:paraId="56A1FF8C" w14:textId="60F9762A" w:rsidR="00A53656" w:rsidRPr="00A21FFA" w:rsidRDefault="00A53656" w:rsidP="00A53656">
      <w:pPr>
        <w:rPr>
          <w:rFonts w:cstheme="minorHAnsi"/>
        </w:rPr>
      </w:pPr>
      <w:r w:rsidRPr="00A21FFA">
        <w:rPr>
          <w:rFonts w:cstheme="minorHAnsi"/>
        </w:rPr>
        <w:t>h)     Applicability of Data Processing Requirements</w:t>
      </w:r>
    </w:p>
    <w:p w14:paraId="2217436A" w14:textId="77777777" w:rsidR="00A53656" w:rsidRPr="00A21FFA" w:rsidRDefault="00A53656" w:rsidP="00A53656">
      <w:pPr>
        <w:ind w:left="720"/>
        <w:rPr>
          <w:rFonts w:cstheme="minorHAnsi"/>
        </w:rPr>
      </w:pPr>
      <w:r w:rsidRPr="00A21FFA">
        <w:rPr>
          <w:rFonts w:cstheme="minorHAnsi"/>
        </w:rPr>
        <w:lastRenderedPageBreak/>
        <w:t xml:space="preserve">h1) Should Registry Operators and Registrars (“Contracted Parties”) be permitted or required to differentiate between registrants on a geographic basis? </w:t>
      </w:r>
    </w:p>
    <w:p w14:paraId="718204BC" w14:textId="77777777" w:rsidR="00A53656" w:rsidRPr="00A21FFA" w:rsidRDefault="00A53656" w:rsidP="00A53656">
      <w:pPr>
        <w:ind w:left="720"/>
        <w:rPr>
          <w:rFonts w:cstheme="minorHAnsi"/>
        </w:rPr>
      </w:pPr>
      <w:r w:rsidRPr="00A21FFA">
        <w:rPr>
          <w:rFonts w:cstheme="minorHAnsi"/>
        </w:rPr>
        <w:t>h2) Is there a legal basis for Contracted Parties to differentiate between registrants on a geographic basis?</w:t>
      </w:r>
    </w:p>
    <w:p w14:paraId="23FC8839" w14:textId="77777777" w:rsidR="00A53656" w:rsidRPr="00A21FFA" w:rsidRDefault="00A53656" w:rsidP="00A53656">
      <w:pPr>
        <w:ind w:left="720"/>
        <w:rPr>
          <w:rFonts w:cstheme="minorHAnsi"/>
        </w:rPr>
      </w:pPr>
      <w:r w:rsidRPr="00A21FFA">
        <w:rPr>
          <w:rFonts w:cstheme="minorHAnsi"/>
        </w:rPr>
        <w:t xml:space="preserve">h3) Should Contracted Parties be allowed or required to treat legal and natural persons differently, and what mechanism is needed to ensure reliable determination of status?  </w:t>
      </w:r>
    </w:p>
    <w:p w14:paraId="2A02CA26" w14:textId="77777777" w:rsidR="00A53656" w:rsidRPr="00A21FFA" w:rsidRDefault="00A53656" w:rsidP="00A53656">
      <w:pPr>
        <w:ind w:left="720"/>
        <w:rPr>
          <w:rFonts w:cstheme="minorHAnsi"/>
        </w:rPr>
      </w:pPr>
      <w:r w:rsidRPr="00A21FFA">
        <w:rPr>
          <w:rFonts w:cstheme="minorHAnsi"/>
        </w:rPr>
        <w:t xml:space="preserve">h4) Is there a legal basis for Contracted Parties to treat legal and natural persons differently? </w:t>
      </w:r>
    </w:p>
    <w:p w14:paraId="5D370066" w14:textId="7430564C" w:rsidR="00A53656" w:rsidRPr="00A21FFA" w:rsidRDefault="00A53656" w:rsidP="00A53656">
      <w:pPr>
        <w:ind w:left="720"/>
        <w:rPr>
          <w:rFonts w:cstheme="minorHAnsi"/>
        </w:rPr>
      </w:pPr>
      <w:r w:rsidRPr="00A21FFA">
        <w:rPr>
          <w:rFonts w:cstheme="minorHAnsi"/>
        </w:rPr>
        <w:t>h5) What are the risks associated with differentiation of registrant status as legal or natural persons across multiple jurisdictions? (See EDPB letter of 5 July 2018).</w:t>
      </w:r>
    </w:p>
    <w:p w14:paraId="067BCE32" w14:textId="7D6B8C87" w:rsidR="00A53656" w:rsidRPr="00A21FFA" w:rsidRDefault="00A53656" w:rsidP="00A53656">
      <w:pPr>
        <w:rPr>
          <w:rFonts w:cstheme="minorHAnsi"/>
        </w:rPr>
      </w:pPr>
    </w:p>
    <w:p w14:paraId="39E2902F" w14:textId="77777777" w:rsidR="00A53656" w:rsidRPr="00A21FFA" w:rsidRDefault="00A53656" w:rsidP="00A53656">
      <w:pPr>
        <w:rPr>
          <w:rFonts w:cstheme="minorHAnsi"/>
        </w:rPr>
      </w:pPr>
      <w:r w:rsidRPr="00A21FFA">
        <w:rPr>
          <w:rFonts w:cstheme="minorHAnsi"/>
        </w:rPr>
        <w:t>j). Temporary Specification and Reasonable Access</w:t>
      </w:r>
    </w:p>
    <w:p w14:paraId="43C234D7" w14:textId="77777777" w:rsidR="00A53656" w:rsidRPr="00A21FFA" w:rsidRDefault="00A53656" w:rsidP="00A53656">
      <w:pPr>
        <w:ind w:left="720"/>
        <w:rPr>
          <w:rFonts w:cstheme="minorHAnsi"/>
        </w:rPr>
      </w:pPr>
      <w:r w:rsidRPr="00A21FFA">
        <w:rPr>
          <w:rFonts w:cstheme="minorHAnsi"/>
        </w:rPr>
        <w:t xml:space="preserve">j1) Should existing requirements in the Temporary Specification remain in place until a model for access is finalized? </w:t>
      </w:r>
    </w:p>
    <w:p w14:paraId="0C71E6D0" w14:textId="77777777" w:rsidR="00A53656" w:rsidRPr="00A21FFA" w:rsidRDefault="00A53656" w:rsidP="00A53656">
      <w:pPr>
        <w:numPr>
          <w:ilvl w:val="0"/>
          <w:numId w:val="1"/>
        </w:numPr>
        <w:spacing w:line="276" w:lineRule="auto"/>
        <w:contextualSpacing/>
        <w:rPr>
          <w:rFonts w:cstheme="minorHAnsi"/>
        </w:rPr>
      </w:pPr>
      <w:r w:rsidRPr="00A21FFA">
        <w:rPr>
          <w:rFonts w:cstheme="minorHAnsi"/>
        </w:rPr>
        <w:t xml:space="preserve"> If so:</w:t>
      </w:r>
    </w:p>
    <w:p w14:paraId="08B070B7" w14:textId="77777777" w:rsidR="00A53656" w:rsidRPr="00A21FFA" w:rsidRDefault="00A53656" w:rsidP="00A53656">
      <w:pPr>
        <w:ind w:left="1440"/>
        <w:rPr>
          <w:rFonts w:cstheme="minorHAnsi"/>
        </w:rPr>
      </w:pPr>
      <w:r w:rsidRPr="00A21FFA">
        <w:rPr>
          <w:rFonts w:cstheme="minorHAnsi"/>
        </w:rPr>
        <w:t xml:space="preserve">1.     Under Section 4 of Appendix A of the Temporary Specification, what is meant by “reasonable access” to Non-Public data? </w:t>
      </w:r>
    </w:p>
    <w:p w14:paraId="73E0C3F7" w14:textId="77777777" w:rsidR="00A53656" w:rsidRPr="00A21FFA" w:rsidRDefault="00A53656" w:rsidP="00A53656">
      <w:pPr>
        <w:ind w:left="1440"/>
        <w:rPr>
          <w:rFonts w:cstheme="minorHAnsi"/>
        </w:rPr>
      </w:pPr>
      <w:r w:rsidRPr="00A21FFA">
        <w:rPr>
          <w:rFonts w:cstheme="minorHAnsi"/>
        </w:rPr>
        <w:t xml:space="preserve">2.    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10CAD05F" w14:textId="77777777" w:rsidR="00A53656" w:rsidRPr="00A21FFA" w:rsidRDefault="00A53656" w:rsidP="00A53656">
      <w:pPr>
        <w:numPr>
          <w:ilvl w:val="0"/>
          <w:numId w:val="1"/>
        </w:numPr>
        <w:spacing w:line="276" w:lineRule="auto"/>
        <w:contextualSpacing/>
        <w:rPr>
          <w:rFonts w:cstheme="minorHAnsi"/>
        </w:rPr>
      </w:pPr>
      <w:r w:rsidRPr="00A21FFA">
        <w:rPr>
          <w:rFonts w:cstheme="minorHAnsi"/>
        </w:rPr>
        <w:t>If not:</w:t>
      </w:r>
    </w:p>
    <w:p w14:paraId="4FA886E1" w14:textId="77777777" w:rsidR="00A53656" w:rsidRPr="00A21FFA" w:rsidRDefault="00A53656" w:rsidP="00A53656">
      <w:pPr>
        <w:ind w:left="1440"/>
        <w:rPr>
          <w:rFonts w:cstheme="minorHAnsi"/>
        </w:rPr>
      </w:pPr>
      <w:r w:rsidRPr="00A21FFA">
        <w:rPr>
          <w:rFonts w:cstheme="minorHAnsi"/>
        </w:rPr>
        <w:t xml:space="preserve"> 1.     What framework(s) for disclosure could be used to address (</w:t>
      </w:r>
      <w:proofErr w:type="spellStart"/>
      <w:r w:rsidRPr="00A21FFA">
        <w:rPr>
          <w:rFonts w:cstheme="minorHAnsi"/>
        </w:rPr>
        <w:t>i</w:t>
      </w:r>
      <w:proofErr w:type="spellEnd"/>
      <w:r w:rsidRPr="00A21FFA">
        <w:rPr>
          <w:rFonts w:cstheme="min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0F4B52B0" w14:textId="77777777" w:rsidR="00A53656" w:rsidRPr="00A21FFA" w:rsidRDefault="00A53656" w:rsidP="00A53656">
      <w:pPr>
        <w:ind w:left="720"/>
        <w:rPr>
          <w:rFonts w:cstheme="minorHAnsi"/>
        </w:rPr>
      </w:pPr>
      <w:r w:rsidRPr="00A21FFA">
        <w:rPr>
          <w:rFonts w:cstheme="minorHAnsi"/>
        </w:rPr>
        <w:t xml:space="preserve">j2) Can the obligation to provide “reasonable access” be further clarified and/or better defined through the implementation of a community-wide model for access or similar framework which </w:t>
      </w:r>
      <w:proofErr w:type="gramStart"/>
      <w:r w:rsidRPr="00A21FFA">
        <w:rPr>
          <w:rFonts w:cstheme="minorHAnsi"/>
        </w:rPr>
        <w:t>takes into account</w:t>
      </w:r>
      <w:proofErr w:type="gramEnd"/>
      <w:r w:rsidRPr="00A21FFA">
        <w:rPr>
          <w:rFonts w:cstheme="minorHAnsi"/>
        </w:rPr>
        <w:t xml:space="preserve"> at least the following elements:</w:t>
      </w:r>
    </w:p>
    <w:p w14:paraId="57AFE175" w14:textId="77777777" w:rsidR="00A53656" w:rsidRPr="00A21FFA" w:rsidRDefault="00A53656" w:rsidP="00A53656">
      <w:pPr>
        <w:ind w:left="720"/>
        <w:rPr>
          <w:rFonts w:cstheme="minorHAnsi"/>
        </w:rPr>
      </w:pPr>
      <w:r w:rsidRPr="00A21FFA">
        <w:rPr>
          <w:rFonts w:cstheme="minorHAnsi"/>
        </w:rPr>
        <w:t xml:space="preserve"> 1.    What outside parties / classes of outside parties, and types of uses of non-public Registration Data by such parties, fall within legitimate purposes and legal basis for such use?</w:t>
      </w:r>
    </w:p>
    <w:p w14:paraId="11693633" w14:textId="77777777" w:rsidR="00A53656" w:rsidRPr="00A21FFA" w:rsidRDefault="00A53656" w:rsidP="00A53656">
      <w:pPr>
        <w:ind w:left="720"/>
        <w:rPr>
          <w:rFonts w:cstheme="minorHAnsi"/>
        </w:rPr>
      </w:pPr>
      <w:r w:rsidRPr="00A21FFA">
        <w:rPr>
          <w:rFonts w:cstheme="minorHAnsi"/>
        </w:rPr>
        <w:t>2.    Should such outside parties / classes of outside parties be vetted by ICANN in some manner and if so, how?</w:t>
      </w:r>
    </w:p>
    <w:p w14:paraId="0C50FD33" w14:textId="77777777" w:rsidR="00A53656" w:rsidRPr="00A21FFA" w:rsidRDefault="00A53656" w:rsidP="00A53656">
      <w:pPr>
        <w:ind w:left="720"/>
        <w:rPr>
          <w:rFonts w:cstheme="minorHAnsi"/>
        </w:rPr>
      </w:pPr>
      <w:r w:rsidRPr="00A21FFA">
        <w:rPr>
          <w:rFonts w:cstheme="minorHAnsi"/>
        </w:rPr>
        <w:t xml:space="preserve">3.    If the parties should not be vetted by ICANN, who should vet such parties?  </w:t>
      </w:r>
    </w:p>
    <w:p w14:paraId="1A0E499F" w14:textId="0822FE29" w:rsidR="00A53656" w:rsidRPr="00A21FFA" w:rsidRDefault="00A53656" w:rsidP="00A53656">
      <w:pPr>
        <w:ind w:left="720"/>
        <w:rPr>
          <w:rFonts w:cstheme="minorHAnsi"/>
        </w:rPr>
      </w:pPr>
      <w:r w:rsidRPr="00A21FFA">
        <w:rPr>
          <w:rFonts w:cstheme="minorHAnsi"/>
        </w:rPr>
        <w:t>4.    In addition to vetting the parties, either by ICANN or by some other body or bodies, what other safeguards should be considered to ensure disclosure of Non-Public Personal Data is not abused?</w:t>
      </w:r>
    </w:p>
    <w:p w14:paraId="417D1022" w14:textId="77777777" w:rsidR="00A76E4B" w:rsidRPr="00A53656" w:rsidRDefault="00A76E4B" w:rsidP="00A53656">
      <w:pPr>
        <w:ind w:left="720"/>
        <w:rPr>
          <w:rFonts w:cstheme="minorHAnsi"/>
        </w:rPr>
      </w:pPr>
    </w:p>
    <w:p w14:paraId="16584FF1" w14:textId="27DF831C" w:rsidR="00A53656" w:rsidRPr="00A53656" w:rsidRDefault="00A53656" w:rsidP="00A53656">
      <w:pPr>
        <w:rPr>
          <w:rFonts w:cstheme="minorHAnsi"/>
        </w:rPr>
      </w:pPr>
      <w:r w:rsidRPr="00A53656">
        <w:rPr>
          <w:rFonts w:cstheme="minorHAnsi"/>
        </w:rPr>
        <w:lastRenderedPageBreak/>
        <w:t>k)     ICANN's responsibilities in processing data</w:t>
      </w:r>
    </w:p>
    <w:p w14:paraId="72CEA820" w14:textId="212973B2" w:rsidR="00A53656" w:rsidRPr="00A53656" w:rsidRDefault="00A53656" w:rsidP="00A53656">
      <w:pPr>
        <w:ind w:left="720"/>
        <w:rPr>
          <w:rFonts w:cstheme="minorHAnsi"/>
        </w:rPr>
      </w:pPr>
      <w:r w:rsidRPr="00A53656">
        <w:rPr>
          <w:rFonts w:cstheme="minorHAnsi"/>
        </w:rPr>
        <w:t>k2) In addition to any specific duties ICANN may have as data controller, what other obligations should be noted by this EPDP Team, including any duties to registrants that are unique and specific to ICANN’s role as the administrator of policies and contracts governing gTLD domain names?</w:t>
      </w:r>
    </w:p>
    <w:p w14:paraId="21FB1F0A" w14:textId="4E483A9F" w:rsidR="00A53656" w:rsidRPr="00A53656" w:rsidRDefault="00A53656" w:rsidP="00A53656">
      <w:pPr>
        <w:rPr>
          <w:rFonts w:cstheme="minorHAnsi"/>
        </w:rPr>
      </w:pPr>
    </w:p>
    <w:p w14:paraId="78C067B5" w14:textId="193A9503" w:rsidR="00A53656" w:rsidRPr="00A53656" w:rsidRDefault="00A53656" w:rsidP="00A53656">
      <w:pPr>
        <w:rPr>
          <w:rFonts w:cstheme="minorHAnsi"/>
        </w:rPr>
      </w:pPr>
      <w:r w:rsidRPr="00A53656">
        <w:rPr>
          <w:rFonts w:cstheme="minorHAnsi"/>
        </w:rPr>
        <w:t>l)      Registrar's responsibilities in processing data</w:t>
      </w:r>
    </w:p>
    <w:p w14:paraId="777342EB" w14:textId="3EE8EA33" w:rsidR="00A53656" w:rsidRPr="00A53656" w:rsidRDefault="00A53656" w:rsidP="00A53656">
      <w:pPr>
        <w:ind w:left="720"/>
        <w:rPr>
          <w:rFonts w:cstheme="minorHAnsi"/>
        </w:rPr>
      </w:pPr>
      <w:r w:rsidRPr="00A53656">
        <w:rPr>
          <w:rFonts w:cstheme="minorHAnsi"/>
        </w:rPr>
        <w:t xml:space="preserve">l4) What are the registrar's responsibilities to the data subject with respect to data processing activities that are under ICANN’s control? </w:t>
      </w:r>
    </w:p>
    <w:p w14:paraId="43FDC020" w14:textId="6B894BD4" w:rsidR="00A53656" w:rsidRPr="00A53656" w:rsidRDefault="00A53656" w:rsidP="00A53656">
      <w:pPr>
        <w:rPr>
          <w:rFonts w:cstheme="minorHAnsi"/>
        </w:rPr>
      </w:pPr>
    </w:p>
    <w:p w14:paraId="5BD6774C" w14:textId="2EBC4D0B" w:rsidR="00A53656" w:rsidRPr="00A53656" w:rsidRDefault="00A53656" w:rsidP="00A53656">
      <w:pPr>
        <w:rPr>
          <w:rFonts w:cstheme="minorHAnsi"/>
        </w:rPr>
      </w:pPr>
      <w:r w:rsidRPr="00A53656">
        <w:rPr>
          <w:rFonts w:cstheme="minorHAnsi"/>
        </w:rPr>
        <w:t>m)   Registry's responsibilities in processing data</w:t>
      </w:r>
    </w:p>
    <w:p w14:paraId="08E4753E" w14:textId="2710ADB3" w:rsidR="00A53656" w:rsidRPr="00A53656" w:rsidRDefault="00A53656" w:rsidP="00A53656">
      <w:pPr>
        <w:ind w:left="720"/>
        <w:rPr>
          <w:rFonts w:cstheme="minorHAnsi"/>
        </w:rPr>
      </w:pPr>
      <w:r w:rsidRPr="00A53656">
        <w:rPr>
          <w:rFonts w:cstheme="minorHAnsi"/>
        </w:rPr>
        <w:t>m4) What are the registry's responsibilities to the data subject based on the above?</w:t>
      </w:r>
    </w:p>
    <w:p w14:paraId="0D2EEA12" w14:textId="651B3925" w:rsidR="00A53656" w:rsidRPr="00A53656" w:rsidRDefault="00A53656" w:rsidP="00A53656">
      <w:pPr>
        <w:rPr>
          <w:rFonts w:cstheme="minorHAnsi"/>
        </w:rPr>
      </w:pPr>
    </w:p>
    <w:p w14:paraId="335D9299" w14:textId="77777777" w:rsidR="00A53656" w:rsidRPr="00A53656" w:rsidRDefault="00A53656" w:rsidP="00A53656">
      <w:pPr>
        <w:rPr>
          <w:rFonts w:cstheme="minorHAnsi"/>
        </w:rPr>
      </w:pPr>
      <w:r w:rsidRPr="00A53656">
        <w:rPr>
          <w:rFonts w:cstheme="minorHAnsi"/>
        </w:rPr>
        <w:t>q)     Sunsetting WHOIS Contractual Requirements</w:t>
      </w:r>
    </w:p>
    <w:p w14:paraId="27CDC955" w14:textId="77777777" w:rsidR="00A53656" w:rsidRPr="00A53656" w:rsidRDefault="00A53656" w:rsidP="00A53656">
      <w:pPr>
        <w:ind w:left="720"/>
        <w:rPr>
          <w:rFonts w:cstheme="minorHAnsi"/>
        </w:rPr>
      </w:pPr>
      <w:r w:rsidRPr="00A53656">
        <w:rPr>
          <w:rFonts w:cstheme="minorHAnsi"/>
        </w:rPr>
        <w:t xml:space="preserve">q1) After migration to RDAP, when can requirements in the Contracts to use WHOIS protocol be eliminated? </w:t>
      </w:r>
    </w:p>
    <w:p w14:paraId="1CB17BE0" w14:textId="77777777" w:rsidR="00A53656" w:rsidRPr="00A53656" w:rsidRDefault="00A53656" w:rsidP="00A53656">
      <w:pPr>
        <w:ind w:left="720"/>
        <w:rPr>
          <w:rFonts w:cstheme="minorHAnsi"/>
        </w:rPr>
      </w:pPr>
      <w:r w:rsidRPr="00A53656">
        <w:rPr>
          <w:rFonts w:cstheme="minorHAnsi"/>
        </w:rPr>
        <w:t>q2) If EPDP Team’s decision includes a replacement directory access protocol, such as RDAP, when can requirements in the Contracts to use WHOIS protocol be eliminated?</w:t>
      </w:r>
    </w:p>
    <w:p w14:paraId="606C3C99" w14:textId="77777777" w:rsidR="00A53656" w:rsidRDefault="00A53656"/>
    <w:sectPr w:rsidR="00A53656" w:rsidSect="00A53656">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AC5EE" w14:textId="77777777" w:rsidR="006C60FB" w:rsidRDefault="006C60FB" w:rsidP="00A21FFA">
      <w:r>
        <w:separator/>
      </w:r>
    </w:p>
  </w:endnote>
  <w:endnote w:type="continuationSeparator" w:id="0">
    <w:p w14:paraId="1A9AF98B" w14:textId="77777777" w:rsidR="006C60FB" w:rsidRDefault="006C60FB" w:rsidP="00A2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4607852"/>
      <w:docPartObj>
        <w:docPartGallery w:val="Page Numbers (Bottom of Page)"/>
        <w:docPartUnique/>
      </w:docPartObj>
    </w:sdtPr>
    <w:sdtEndPr>
      <w:rPr>
        <w:rStyle w:val="PageNumber"/>
      </w:rPr>
    </w:sdtEndPr>
    <w:sdtContent>
      <w:p w14:paraId="52B83F50" w14:textId="208C9D68" w:rsidR="00A21FFA" w:rsidRDefault="00A21FFA" w:rsidP="00697F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7A5268" w14:textId="77777777" w:rsidR="00A21FFA" w:rsidRDefault="00A21FFA" w:rsidP="00A21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962858408"/>
      <w:docPartObj>
        <w:docPartGallery w:val="Page Numbers (Bottom of Page)"/>
        <w:docPartUnique/>
      </w:docPartObj>
    </w:sdtPr>
    <w:sdtEndPr>
      <w:rPr>
        <w:rStyle w:val="PageNumber"/>
      </w:rPr>
    </w:sdtEndPr>
    <w:sdtContent>
      <w:p w14:paraId="7D619AAC" w14:textId="4D5C4D88" w:rsidR="00A21FFA" w:rsidRPr="00A21FFA" w:rsidRDefault="00A21FFA" w:rsidP="00697F31">
        <w:pPr>
          <w:pStyle w:val="Footer"/>
          <w:framePr w:wrap="none" w:vAnchor="text" w:hAnchor="margin" w:xAlign="right" w:y="1"/>
          <w:rPr>
            <w:rStyle w:val="PageNumber"/>
            <w:sz w:val="18"/>
            <w:szCs w:val="18"/>
          </w:rPr>
        </w:pPr>
        <w:r w:rsidRPr="00A21FFA">
          <w:rPr>
            <w:rStyle w:val="PageNumber"/>
            <w:sz w:val="18"/>
            <w:szCs w:val="18"/>
          </w:rPr>
          <w:fldChar w:fldCharType="begin"/>
        </w:r>
        <w:r w:rsidRPr="00A21FFA">
          <w:rPr>
            <w:rStyle w:val="PageNumber"/>
            <w:sz w:val="18"/>
            <w:szCs w:val="18"/>
          </w:rPr>
          <w:instrText xml:space="preserve"> PAGE </w:instrText>
        </w:r>
        <w:r w:rsidRPr="00A21FFA">
          <w:rPr>
            <w:rStyle w:val="PageNumber"/>
            <w:sz w:val="18"/>
            <w:szCs w:val="18"/>
          </w:rPr>
          <w:fldChar w:fldCharType="separate"/>
        </w:r>
        <w:r w:rsidR="000612A6">
          <w:rPr>
            <w:rStyle w:val="PageNumber"/>
            <w:noProof/>
            <w:sz w:val="18"/>
            <w:szCs w:val="18"/>
          </w:rPr>
          <w:t>4</w:t>
        </w:r>
        <w:r w:rsidRPr="00A21FFA">
          <w:rPr>
            <w:rStyle w:val="PageNumber"/>
            <w:sz w:val="18"/>
            <w:szCs w:val="18"/>
          </w:rPr>
          <w:fldChar w:fldCharType="end"/>
        </w:r>
      </w:p>
    </w:sdtContent>
  </w:sdt>
  <w:p w14:paraId="3B9FD2AA" w14:textId="77777777" w:rsidR="00A21FFA" w:rsidRDefault="00A21FFA" w:rsidP="00A21F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CA79" w14:textId="77777777" w:rsidR="006C60FB" w:rsidRDefault="006C60FB" w:rsidP="00A21FFA">
      <w:r>
        <w:separator/>
      </w:r>
    </w:p>
  </w:footnote>
  <w:footnote w:type="continuationSeparator" w:id="0">
    <w:p w14:paraId="0561C94B" w14:textId="77777777" w:rsidR="006C60FB" w:rsidRDefault="006C60FB" w:rsidP="00A2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D2380"/>
    <w:multiLevelType w:val="multilevel"/>
    <w:tmpl w:val="623AA6FC"/>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56"/>
    <w:rsid w:val="00055D51"/>
    <w:rsid w:val="000612A6"/>
    <w:rsid w:val="0011784D"/>
    <w:rsid w:val="002A5E51"/>
    <w:rsid w:val="003078F4"/>
    <w:rsid w:val="004870C8"/>
    <w:rsid w:val="004C6108"/>
    <w:rsid w:val="005B5A3D"/>
    <w:rsid w:val="0066622B"/>
    <w:rsid w:val="00690542"/>
    <w:rsid w:val="006C60FB"/>
    <w:rsid w:val="00791106"/>
    <w:rsid w:val="007F1FED"/>
    <w:rsid w:val="009758AC"/>
    <w:rsid w:val="00A20899"/>
    <w:rsid w:val="00A21FFA"/>
    <w:rsid w:val="00A31453"/>
    <w:rsid w:val="00A53656"/>
    <w:rsid w:val="00A5794F"/>
    <w:rsid w:val="00A76E4B"/>
    <w:rsid w:val="00B54AFF"/>
    <w:rsid w:val="00BE5F82"/>
    <w:rsid w:val="00C22774"/>
    <w:rsid w:val="00C70E82"/>
    <w:rsid w:val="00C83F2C"/>
    <w:rsid w:val="00D21F29"/>
    <w:rsid w:val="00E1472F"/>
    <w:rsid w:val="00ED43F3"/>
    <w:rsid w:val="00F16D33"/>
    <w:rsid w:val="00F31F1D"/>
    <w:rsid w:val="00FE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8E"/>
  <w15:chartTrackingRefBased/>
  <w15:docId w15:val="{C31958D6-7D38-7242-9E6F-810487FF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656"/>
    <w:rPr>
      <w:sz w:val="16"/>
      <w:szCs w:val="16"/>
    </w:rPr>
  </w:style>
  <w:style w:type="paragraph" w:styleId="CommentText">
    <w:name w:val="annotation text"/>
    <w:basedOn w:val="Normal"/>
    <w:link w:val="CommentTextChar"/>
    <w:uiPriority w:val="99"/>
    <w:semiHidden/>
    <w:unhideWhenUsed/>
    <w:rsid w:val="00A5365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536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6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3656"/>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A20899"/>
    <w:rPr>
      <w:color w:val="0563C1" w:themeColor="hyperlink"/>
      <w:u w:val="single"/>
    </w:rPr>
  </w:style>
  <w:style w:type="character" w:customStyle="1" w:styleId="UnresolvedMention1">
    <w:name w:val="Unresolved Mention1"/>
    <w:basedOn w:val="DefaultParagraphFont"/>
    <w:uiPriority w:val="99"/>
    <w:semiHidden/>
    <w:unhideWhenUsed/>
    <w:rsid w:val="00A20899"/>
    <w:rPr>
      <w:color w:val="605E5C"/>
      <w:shd w:val="clear" w:color="auto" w:fill="E1DFDD"/>
    </w:rPr>
  </w:style>
  <w:style w:type="paragraph" w:styleId="Footer">
    <w:name w:val="footer"/>
    <w:basedOn w:val="Normal"/>
    <w:link w:val="FooterChar"/>
    <w:uiPriority w:val="99"/>
    <w:unhideWhenUsed/>
    <w:rsid w:val="00A21FFA"/>
    <w:pPr>
      <w:tabs>
        <w:tab w:val="center" w:pos="4680"/>
        <w:tab w:val="right" w:pos="9360"/>
      </w:tabs>
    </w:pPr>
  </w:style>
  <w:style w:type="character" w:customStyle="1" w:styleId="FooterChar">
    <w:name w:val="Footer Char"/>
    <w:basedOn w:val="DefaultParagraphFont"/>
    <w:link w:val="Footer"/>
    <w:uiPriority w:val="99"/>
    <w:rsid w:val="00A21FFA"/>
    <w:rPr>
      <w:rFonts w:eastAsiaTheme="minorEastAsia"/>
    </w:rPr>
  </w:style>
  <w:style w:type="character" w:styleId="PageNumber">
    <w:name w:val="page number"/>
    <w:basedOn w:val="DefaultParagraphFont"/>
    <w:uiPriority w:val="99"/>
    <w:semiHidden/>
    <w:unhideWhenUsed/>
    <w:rsid w:val="00A21FFA"/>
  </w:style>
  <w:style w:type="paragraph" w:styleId="Header">
    <w:name w:val="header"/>
    <w:basedOn w:val="Normal"/>
    <w:link w:val="HeaderChar"/>
    <w:uiPriority w:val="99"/>
    <w:unhideWhenUsed/>
    <w:rsid w:val="00A21FFA"/>
    <w:pPr>
      <w:tabs>
        <w:tab w:val="center" w:pos="4680"/>
        <w:tab w:val="right" w:pos="9360"/>
      </w:tabs>
    </w:pPr>
  </w:style>
  <w:style w:type="character" w:customStyle="1" w:styleId="HeaderChar">
    <w:name w:val="Header Char"/>
    <w:basedOn w:val="DefaultParagraphFont"/>
    <w:link w:val="Header"/>
    <w:uiPriority w:val="99"/>
    <w:rsid w:val="00A21FFA"/>
    <w:rPr>
      <w:rFonts w:eastAsiaTheme="minorEastAsia"/>
    </w:rPr>
  </w:style>
  <w:style w:type="paragraph" w:styleId="ListParagraph">
    <w:name w:val="List Paragraph"/>
    <w:basedOn w:val="Normal"/>
    <w:uiPriority w:val="34"/>
    <w:qFormat/>
    <w:rsid w:val="00C70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7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M2XdbXZsvfYfsxdR1xG2qT7XZ07AopJubRH8ZX1Qt3s/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2018-10-01T23:40:00Z</dcterms:created>
  <dcterms:modified xsi:type="dcterms:W3CDTF">2018-10-01T23:41:00Z</dcterms:modified>
</cp:coreProperties>
</file>