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CEE26" w14:textId="7EBC05A8" w:rsidR="000B7A30" w:rsidRPr="007750C6" w:rsidRDefault="00D0546A" w:rsidP="00F70165">
      <w:pPr>
        <w:pBdr>
          <w:bottom w:val="single" w:sz="4" w:space="1" w:color="auto"/>
        </w:pBdr>
        <w:rPr>
          <w:b/>
          <w:bCs/>
        </w:rPr>
      </w:pPr>
      <w:r w:rsidRPr="007750C6">
        <w:rPr>
          <w:b/>
          <w:bCs/>
        </w:rPr>
        <w:t>Issue List</w:t>
      </w:r>
      <w:r w:rsidR="00F70165">
        <w:rPr>
          <w:b/>
          <w:bCs/>
        </w:rPr>
        <w:t xml:space="preserve"> – Status 26 January 2020</w:t>
      </w:r>
    </w:p>
    <w:p w14:paraId="380DEB16" w14:textId="5C65DFB5" w:rsidR="00D0546A" w:rsidRDefault="00D0546A"/>
    <w:p w14:paraId="4B4419ED" w14:textId="38BDF939" w:rsidR="00C1737D" w:rsidRDefault="00C1737D">
      <w:r>
        <w:t xml:space="preserve">Note: Blue highlighting denotes issues that were flagged but for which no change is proposed. </w:t>
      </w:r>
    </w:p>
    <w:p w14:paraId="31CA7859" w14:textId="77777777" w:rsidR="00C1737D" w:rsidRDefault="00C1737D"/>
    <w:p w14:paraId="23ADDCD8" w14:textId="46FE4BC3" w:rsidR="00F70165" w:rsidRPr="00F70165" w:rsidRDefault="00F70165">
      <w:pPr>
        <w:rPr>
          <w:b/>
          <w:bCs/>
        </w:rPr>
      </w:pPr>
      <w:r>
        <w:rPr>
          <w:b/>
          <w:bCs/>
        </w:rPr>
        <w:t>ACCREDITATION</w:t>
      </w:r>
    </w:p>
    <w:p w14:paraId="31E971B6" w14:textId="77777777" w:rsidR="00F70165" w:rsidRDefault="00F70165"/>
    <w:tbl>
      <w:tblPr>
        <w:tblStyle w:val="TableGrid"/>
        <w:tblW w:w="0" w:type="auto"/>
        <w:tblLook w:val="04A0" w:firstRow="1" w:lastRow="0" w:firstColumn="1" w:lastColumn="0" w:noHBand="0" w:noVBand="1"/>
      </w:tblPr>
      <w:tblGrid>
        <w:gridCol w:w="1075"/>
        <w:gridCol w:w="3958"/>
        <w:gridCol w:w="3958"/>
        <w:gridCol w:w="3959"/>
      </w:tblGrid>
      <w:tr w:rsidR="00D0546A" w:rsidRPr="00D0546A" w14:paraId="302E4906" w14:textId="77777777" w:rsidTr="00760968">
        <w:trPr>
          <w:tblHeader/>
        </w:trPr>
        <w:tc>
          <w:tcPr>
            <w:tcW w:w="1075" w:type="dxa"/>
            <w:shd w:val="clear" w:color="auto" w:fill="A5A5A5" w:themeFill="accent3"/>
          </w:tcPr>
          <w:p w14:paraId="2BFE384E" w14:textId="23701195" w:rsidR="00D0546A" w:rsidRPr="00D0546A" w:rsidRDefault="00D0546A">
            <w:pPr>
              <w:rPr>
                <w:b/>
                <w:bCs/>
                <w:sz w:val="22"/>
                <w:szCs w:val="22"/>
              </w:rPr>
            </w:pPr>
            <w:r w:rsidRPr="00D0546A">
              <w:rPr>
                <w:b/>
                <w:bCs/>
                <w:sz w:val="22"/>
                <w:szCs w:val="22"/>
              </w:rPr>
              <w:t># on Issue List</w:t>
            </w:r>
          </w:p>
        </w:tc>
        <w:tc>
          <w:tcPr>
            <w:tcW w:w="3958" w:type="dxa"/>
            <w:shd w:val="clear" w:color="auto" w:fill="A5A5A5" w:themeFill="accent3"/>
          </w:tcPr>
          <w:p w14:paraId="52C2DC68" w14:textId="0CC0E9B9" w:rsidR="00D0546A" w:rsidRPr="00D0546A" w:rsidRDefault="00D0546A">
            <w:pPr>
              <w:rPr>
                <w:b/>
                <w:bCs/>
                <w:sz w:val="22"/>
                <w:szCs w:val="22"/>
              </w:rPr>
            </w:pPr>
            <w:r w:rsidRPr="00D0546A">
              <w:rPr>
                <w:b/>
                <w:bCs/>
                <w:sz w:val="22"/>
                <w:szCs w:val="22"/>
              </w:rPr>
              <w:t>Comment (by)</w:t>
            </w:r>
          </w:p>
        </w:tc>
        <w:tc>
          <w:tcPr>
            <w:tcW w:w="3958" w:type="dxa"/>
            <w:shd w:val="clear" w:color="auto" w:fill="A5A5A5" w:themeFill="accent3"/>
          </w:tcPr>
          <w:p w14:paraId="188E53FB" w14:textId="65DAB8BC" w:rsidR="00D0546A" w:rsidRPr="00D0546A" w:rsidRDefault="00D0546A">
            <w:pPr>
              <w:rPr>
                <w:b/>
                <w:bCs/>
                <w:sz w:val="22"/>
                <w:szCs w:val="22"/>
              </w:rPr>
            </w:pPr>
            <w:r w:rsidRPr="00D0546A">
              <w:rPr>
                <w:b/>
                <w:bCs/>
                <w:sz w:val="22"/>
                <w:szCs w:val="22"/>
              </w:rPr>
              <w:t>Proposed Rewording</w:t>
            </w:r>
            <w:r w:rsidR="00DC4DDD">
              <w:rPr>
                <w:b/>
                <w:bCs/>
                <w:sz w:val="22"/>
                <w:szCs w:val="22"/>
              </w:rPr>
              <w:t xml:space="preserve"> (in bold)</w:t>
            </w:r>
          </w:p>
        </w:tc>
        <w:tc>
          <w:tcPr>
            <w:tcW w:w="3959" w:type="dxa"/>
            <w:shd w:val="clear" w:color="auto" w:fill="A5A5A5" w:themeFill="accent3"/>
          </w:tcPr>
          <w:p w14:paraId="3DD1AEDE" w14:textId="102107AA" w:rsidR="00D0546A" w:rsidRPr="00D0546A" w:rsidRDefault="00105452">
            <w:pPr>
              <w:rPr>
                <w:b/>
                <w:bCs/>
                <w:sz w:val="22"/>
                <w:szCs w:val="22"/>
              </w:rPr>
            </w:pPr>
            <w:r>
              <w:rPr>
                <w:b/>
                <w:bCs/>
                <w:sz w:val="22"/>
                <w:szCs w:val="22"/>
              </w:rPr>
              <w:t xml:space="preserve">Leadership </w:t>
            </w:r>
            <w:r w:rsidR="00D0546A" w:rsidRPr="00D0546A">
              <w:rPr>
                <w:b/>
                <w:bCs/>
                <w:sz w:val="22"/>
                <w:szCs w:val="22"/>
              </w:rPr>
              <w:t>Notes</w:t>
            </w:r>
          </w:p>
        </w:tc>
      </w:tr>
      <w:tr w:rsidR="00D0546A" w:rsidRPr="00D0546A" w14:paraId="12B06002" w14:textId="77777777" w:rsidTr="00760968">
        <w:tc>
          <w:tcPr>
            <w:tcW w:w="1075" w:type="dxa"/>
          </w:tcPr>
          <w:p w14:paraId="05375EA3" w14:textId="0D3C3B49" w:rsidR="00D0546A" w:rsidRPr="00D0546A" w:rsidRDefault="00D0546A">
            <w:pPr>
              <w:rPr>
                <w:sz w:val="22"/>
                <w:szCs w:val="22"/>
              </w:rPr>
            </w:pPr>
            <w:r w:rsidRPr="00D0546A">
              <w:rPr>
                <w:sz w:val="22"/>
                <w:szCs w:val="22"/>
              </w:rPr>
              <w:t>#21</w:t>
            </w:r>
          </w:p>
        </w:tc>
        <w:tc>
          <w:tcPr>
            <w:tcW w:w="3958" w:type="dxa"/>
          </w:tcPr>
          <w:p w14:paraId="38363528" w14:textId="0591486F" w:rsidR="00D0546A" w:rsidRPr="00D0546A" w:rsidRDefault="00D0546A">
            <w:pPr>
              <w:rPr>
                <w:sz w:val="22"/>
                <w:szCs w:val="22"/>
              </w:rPr>
            </w:pPr>
            <w:r w:rsidRPr="00D0546A">
              <w:rPr>
                <w:rFonts w:ascii="Calibri" w:hAnsi="Calibri" w:cs="Calibri"/>
                <w:color w:val="000000"/>
                <w:sz w:val="22"/>
                <w:szCs w:val="22"/>
              </w:rPr>
              <w:t>This can be either ICANN itself or an entity with which it contracts (IPC)</w:t>
            </w:r>
          </w:p>
        </w:tc>
        <w:tc>
          <w:tcPr>
            <w:tcW w:w="3958" w:type="dxa"/>
          </w:tcPr>
          <w:p w14:paraId="12A2243D" w14:textId="1802B077" w:rsidR="00D0546A" w:rsidRPr="00DC4DDD" w:rsidRDefault="00DC4DDD">
            <w:pPr>
              <w:rPr>
                <w:sz w:val="22"/>
                <w:szCs w:val="22"/>
              </w:rPr>
            </w:pPr>
            <w:r>
              <w:rPr>
                <w:rFonts w:ascii="Calibri" w:eastAsia="Calibri" w:hAnsi="Calibri" w:cs="Calibri"/>
                <w:bCs/>
                <w:color w:val="000000"/>
                <w:sz w:val="22"/>
                <w:szCs w:val="22"/>
              </w:rPr>
              <w:t xml:space="preserve">Current language: </w:t>
            </w:r>
            <w:r w:rsidR="00D0546A" w:rsidRPr="00DC4DDD">
              <w:rPr>
                <w:rFonts w:ascii="Calibri" w:eastAsia="Calibri" w:hAnsi="Calibri" w:cs="Calibri"/>
                <w:bCs/>
                <w:color w:val="000000"/>
                <w:sz w:val="22"/>
                <w:szCs w:val="22"/>
              </w:rPr>
              <w:t>Accreditation Authority Auditor - Independent entity that is contracted by ICANN org</w:t>
            </w:r>
            <w:r>
              <w:rPr>
                <w:rFonts w:ascii="Calibri" w:eastAsia="Calibri" w:hAnsi="Calibri" w:cs="Calibri"/>
                <w:b/>
                <w:color w:val="000000"/>
                <w:sz w:val="22"/>
                <w:szCs w:val="22"/>
              </w:rPr>
              <w:t>, or function that is carried out by ICANN Org itself if Accreditation Authority function is outsourced to a third party,</w:t>
            </w:r>
            <w:r w:rsidR="00D0546A" w:rsidRPr="00DC4DDD">
              <w:rPr>
                <w:rFonts w:ascii="Calibri" w:eastAsia="Calibri" w:hAnsi="Calibri" w:cs="Calibri"/>
                <w:bCs/>
                <w:color w:val="000000"/>
                <w:sz w:val="22"/>
                <w:szCs w:val="22"/>
              </w:rPr>
              <w:t xml:space="preserve"> to carry out auditing requirements as outlined in auditing preliminary recommendation</w:t>
            </w:r>
          </w:p>
        </w:tc>
        <w:tc>
          <w:tcPr>
            <w:tcW w:w="3959" w:type="dxa"/>
          </w:tcPr>
          <w:p w14:paraId="6298959C" w14:textId="3A387CE7" w:rsidR="00D0546A" w:rsidRPr="00D0546A" w:rsidRDefault="00D0546A">
            <w:pPr>
              <w:rPr>
                <w:sz w:val="22"/>
                <w:szCs w:val="22"/>
              </w:rPr>
            </w:pPr>
          </w:p>
        </w:tc>
      </w:tr>
      <w:tr w:rsidR="00DC4DDD" w:rsidRPr="00D0546A" w14:paraId="1152714F" w14:textId="77777777" w:rsidTr="00760968">
        <w:tc>
          <w:tcPr>
            <w:tcW w:w="1075" w:type="dxa"/>
          </w:tcPr>
          <w:p w14:paraId="135FFA81" w14:textId="184A608B" w:rsidR="00DC4DDD" w:rsidRPr="00D0546A" w:rsidRDefault="00DC4DDD" w:rsidP="00DC4DDD">
            <w:pPr>
              <w:rPr>
                <w:sz w:val="22"/>
                <w:szCs w:val="22"/>
              </w:rPr>
            </w:pPr>
            <w:r>
              <w:rPr>
                <w:sz w:val="22"/>
                <w:szCs w:val="22"/>
              </w:rPr>
              <w:t>#22</w:t>
            </w:r>
          </w:p>
        </w:tc>
        <w:tc>
          <w:tcPr>
            <w:tcW w:w="3958" w:type="dxa"/>
          </w:tcPr>
          <w:p w14:paraId="6419EF2B" w14:textId="64388BD9" w:rsidR="00DC4DDD" w:rsidRPr="00D0546A" w:rsidRDefault="00DC4DDD" w:rsidP="00DC4DDD">
            <w:pPr>
              <w:rPr>
                <w:sz w:val="22"/>
                <w:szCs w:val="22"/>
              </w:rPr>
            </w:pPr>
            <w:r w:rsidRPr="007E058E">
              <w:rPr>
                <w:rFonts w:cstheme="minorHAnsi"/>
                <w:sz w:val="22"/>
                <w:szCs w:val="22"/>
              </w:rPr>
              <w:t xml:space="preserve">In the accreditation principles below, principle (c) we say "The accreditation policy defines a single Accreditation Authority, run and managed by ICANN org." So how can ICANN revoke the agreement with itself? In </w:t>
            </w:r>
            <w:proofErr w:type="gramStart"/>
            <w:r w:rsidRPr="007E058E">
              <w:rPr>
                <w:rFonts w:cstheme="minorHAnsi"/>
                <w:sz w:val="22"/>
                <w:szCs w:val="22"/>
              </w:rPr>
              <w:t>addition</w:t>
            </w:r>
            <w:proofErr w:type="gramEnd"/>
            <w:r w:rsidRPr="007E058E">
              <w:rPr>
                <w:rFonts w:cstheme="minorHAnsi"/>
                <w:sz w:val="22"/>
                <w:szCs w:val="22"/>
              </w:rPr>
              <w:t xml:space="preserve"> if we have one single accreditation authority de-accrediting it leads to the collapse of the whole system leaving us with no system for disclosure of data as well as no guidance on how to build another one. Moreover, the term De-accreditation of Accreditation Authority is not a term used in the report, therefore its definition does not matter nor is necessary for the purpose of this report. In all cases I the issue of the accreditation authority being in breach of </w:t>
            </w:r>
            <w:r w:rsidRPr="007E058E">
              <w:rPr>
                <w:rFonts w:cstheme="minorHAnsi"/>
                <w:sz w:val="22"/>
                <w:szCs w:val="22"/>
              </w:rPr>
              <w:lastRenderedPageBreak/>
              <w:t>the requirements is addressed under "accreditation Authority" on page 19 and is mentioned on Page 34 in relation to the audits of the accrediting Authority (ALAC)</w:t>
            </w:r>
          </w:p>
        </w:tc>
        <w:tc>
          <w:tcPr>
            <w:tcW w:w="3958" w:type="dxa"/>
          </w:tcPr>
          <w:p w14:paraId="51F92953" w14:textId="5E0471EC" w:rsidR="00DC4DDD" w:rsidRPr="00DC4DDD" w:rsidRDefault="00DC4DDD" w:rsidP="00DC4DDD">
            <w:pPr>
              <w:rPr>
                <w:sz w:val="22"/>
                <w:szCs w:val="22"/>
              </w:rPr>
            </w:pPr>
            <w:r w:rsidRPr="00DC4DDD">
              <w:rPr>
                <w:rFonts w:cstheme="minorHAnsi"/>
                <w:sz w:val="22"/>
                <w:szCs w:val="22"/>
              </w:rPr>
              <w:lastRenderedPageBreak/>
              <w:t xml:space="preserve">ICANN org revokes the agreement with the accreditation authority, </w:t>
            </w:r>
            <w:r w:rsidRPr="00DC4DDD">
              <w:rPr>
                <w:rFonts w:cstheme="minorHAnsi"/>
                <w:b/>
                <w:bCs/>
                <w:sz w:val="22"/>
                <w:szCs w:val="22"/>
              </w:rPr>
              <w:t>if this function is outsourced to a third party,</w:t>
            </w:r>
            <w:r w:rsidRPr="00DC4DDD">
              <w:rPr>
                <w:rFonts w:cstheme="minorHAnsi"/>
                <w:sz w:val="22"/>
                <w:szCs w:val="22"/>
              </w:rPr>
              <w:t xml:space="preserve"> following which it is no longer approved to operate as the accreditation authority.</w:t>
            </w:r>
          </w:p>
        </w:tc>
        <w:tc>
          <w:tcPr>
            <w:tcW w:w="3959" w:type="dxa"/>
          </w:tcPr>
          <w:p w14:paraId="1BD68FAC" w14:textId="77777777" w:rsidR="00DC4DDD" w:rsidRPr="00D0546A" w:rsidRDefault="00DC4DDD" w:rsidP="00DC4DDD">
            <w:pPr>
              <w:rPr>
                <w:sz w:val="22"/>
                <w:szCs w:val="22"/>
              </w:rPr>
            </w:pPr>
          </w:p>
        </w:tc>
      </w:tr>
      <w:tr w:rsidR="00DC4DDD" w:rsidRPr="00D0546A" w14:paraId="5BE9153A" w14:textId="77777777" w:rsidTr="00222B42">
        <w:tc>
          <w:tcPr>
            <w:tcW w:w="1075" w:type="dxa"/>
            <w:shd w:val="clear" w:color="auto" w:fill="8EAADB" w:themeFill="accent1" w:themeFillTint="99"/>
          </w:tcPr>
          <w:p w14:paraId="22D1A38A" w14:textId="1806ABAE" w:rsidR="00DC4DDD" w:rsidRPr="00D0546A" w:rsidRDefault="00DC4DDD" w:rsidP="00DC4DDD">
            <w:pPr>
              <w:rPr>
                <w:sz w:val="22"/>
                <w:szCs w:val="22"/>
              </w:rPr>
            </w:pPr>
            <w:r>
              <w:rPr>
                <w:sz w:val="22"/>
                <w:szCs w:val="22"/>
              </w:rPr>
              <w:t>#23</w:t>
            </w:r>
          </w:p>
        </w:tc>
        <w:tc>
          <w:tcPr>
            <w:tcW w:w="3958" w:type="dxa"/>
            <w:shd w:val="clear" w:color="auto" w:fill="8EAADB" w:themeFill="accent1" w:themeFillTint="99"/>
          </w:tcPr>
          <w:p w14:paraId="5FE1EC77" w14:textId="77777777" w:rsidR="00DC4DDD" w:rsidRPr="009140DA" w:rsidRDefault="00DC4DDD" w:rsidP="00DC4DDD">
            <w:pPr>
              <w:rPr>
                <w:rFonts w:cstheme="minorHAnsi"/>
                <w:sz w:val="22"/>
                <w:szCs w:val="22"/>
              </w:rPr>
            </w:pPr>
            <w:r w:rsidRPr="009140DA">
              <w:rPr>
                <w:rFonts w:cstheme="minorHAnsi"/>
                <w:sz w:val="22"/>
                <w:szCs w:val="22"/>
              </w:rPr>
              <w:t>A term that could be added is De-authorization of identity provider</w:t>
            </w:r>
          </w:p>
          <w:p w14:paraId="5F7BB5AE" w14:textId="793982F8" w:rsidR="00DC4DDD" w:rsidRPr="00D0546A" w:rsidRDefault="00DC4DDD" w:rsidP="00DC4DDD">
            <w:pPr>
              <w:rPr>
                <w:sz w:val="22"/>
                <w:szCs w:val="22"/>
              </w:rPr>
            </w:pPr>
            <w:r>
              <w:rPr>
                <w:rFonts w:cstheme="minorHAnsi"/>
                <w:sz w:val="22"/>
                <w:szCs w:val="22"/>
              </w:rPr>
              <w:t>(ALAC)</w:t>
            </w:r>
          </w:p>
        </w:tc>
        <w:tc>
          <w:tcPr>
            <w:tcW w:w="3958" w:type="dxa"/>
            <w:shd w:val="clear" w:color="auto" w:fill="8EAADB" w:themeFill="accent1" w:themeFillTint="99"/>
          </w:tcPr>
          <w:p w14:paraId="27F5B82B" w14:textId="77777777" w:rsidR="00DC4DDD" w:rsidRPr="00D0546A" w:rsidRDefault="00DC4DDD" w:rsidP="00DC4DDD">
            <w:pPr>
              <w:rPr>
                <w:sz w:val="22"/>
                <w:szCs w:val="22"/>
              </w:rPr>
            </w:pPr>
          </w:p>
        </w:tc>
        <w:tc>
          <w:tcPr>
            <w:tcW w:w="3959" w:type="dxa"/>
            <w:shd w:val="clear" w:color="auto" w:fill="8EAADB" w:themeFill="accent1" w:themeFillTint="99"/>
          </w:tcPr>
          <w:p w14:paraId="5B0EA552" w14:textId="43E33381" w:rsidR="00DC4DDD" w:rsidRPr="00DC4DDD" w:rsidRDefault="00DC4DDD" w:rsidP="00DC4DDD">
            <w:pPr>
              <w:rPr>
                <w:sz w:val="22"/>
                <w:szCs w:val="22"/>
              </w:rPr>
            </w:pPr>
            <w:r w:rsidRPr="00DC4DDD">
              <w:rPr>
                <w:rFonts w:cstheme="minorHAnsi"/>
                <w:sz w:val="22"/>
                <w:szCs w:val="22"/>
              </w:rPr>
              <w:t>Is this something that the accreditation authority should determine as it is up to the accreditation authority to decide whether or not to make use of identity providers?</w:t>
            </w:r>
          </w:p>
        </w:tc>
      </w:tr>
      <w:tr w:rsidR="00DC4DDD" w:rsidRPr="00D0546A" w14:paraId="62A3DD34" w14:textId="77777777" w:rsidTr="00222B42">
        <w:tc>
          <w:tcPr>
            <w:tcW w:w="1075" w:type="dxa"/>
            <w:shd w:val="clear" w:color="auto" w:fill="8EAADB" w:themeFill="accent1" w:themeFillTint="99"/>
          </w:tcPr>
          <w:p w14:paraId="17E03521" w14:textId="446708DF" w:rsidR="00DC4DDD" w:rsidRPr="00D0546A" w:rsidRDefault="00DC4DDD" w:rsidP="00DC4DDD">
            <w:pPr>
              <w:rPr>
                <w:sz w:val="22"/>
                <w:szCs w:val="22"/>
              </w:rPr>
            </w:pPr>
            <w:r>
              <w:rPr>
                <w:sz w:val="22"/>
                <w:szCs w:val="22"/>
              </w:rPr>
              <w:t>#24</w:t>
            </w:r>
          </w:p>
        </w:tc>
        <w:tc>
          <w:tcPr>
            <w:tcW w:w="3958" w:type="dxa"/>
            <w:shd w:val="clear" w:color="auto" w:fill="8EAADB" w:themeFill="accent1" w:themeFillTint="99"/>
          </w:tcPr>
          <w:p w14:paraId="0F62EB6A" w14:textId="6DA4B9DD" w:rsidR="00DC4DDD" w:rsidRPr="00D0546A" w:rsidRDefault="00DC4DDD" w:rsidP="00DC4DDD">
            <w:pPr>
              <w:rPr>
                <w:sz w:val="22"/>
                <w:szCs w:val="22"/>
              </w:rPr>
            </w:pPr>
            <w:r w:rsidRPr="003215F7">
              <w:rPr>
                <w:rFonts w:cstheme="minorHAnsi"/>
                <w:sz w:val="22"/>
                <w:szCs w:val="22"/>
              </w:rPr>
              <w:t>Shouldn't this be reversed? The accredited entity must warrant that the individual using its credentials are acting on its authority, and the accredited entity can be held accountable for the individual's actions.</w:t>
            </w:r>
            <w:r>
              <w:rPr>
                <w:rFonts w:cstheme="minorHAnsi"/>
                <w:sz w:val="22"/>
                <w:szCs w:val="22"/>
              </w:rPr>
              <w:t xml:space="preserve"> (NCSG)</w:t>
            </w:r>
          </w:p>
        </w:tc>
        <w:tc>
          <w:tcPr>
            <w:tcW w:w="3958" w:type="dxa"/>
            <w:shd w:val="clear" w:color="auto" w:fill="8EAADB" w:themeFill="accent1" w:themeFillTint="99"/>
          </w:tcPr>
          <w:p w14:paraId="60EDEC5D" w14:textId="07ABA207" w:rsidR="00DC4DDD" w:rsidRPr="00DC4DDD" w:rsidRDefault="00DC4DDD" w:rsidP="00DC4DDD">
            <w:pPr>
              <w:rPr>
                <w:sz w:val="22"/>
                <w:szCs w:val="22"/>
              </w:rPr>
            </w:pPr>
            <w:r>
              <w:rPr>
                <w:rFonts w:ascii="Calibri" w:hAnsi="Calibri" w:cs="Calibri"/>
                <w:color w:val="000000"/>
                <w:sz w:val="22"/>
                <w:szCs w:val="22"/>
              </w:rPr>
              <w:t xml:space="preserve">Current language: </w:t>
            </w:r>
            <w:r w:rsidRPr="00DC4DDD">
              <w:rPr>
                <w:rFonts w:ascii="Calibri" w:hAnsi="Calibri" w:cs="Calibri"/>
                <w:color w:val="000000"/>
                <w:sz w:val="22"/>
                <w:szCs w:val="22"/>
              </w:rPr>
              <w:t>Both legal persons and/or individuals are eligible for accreditation. An individual accessing SSAD using the credentials of an accredited entity warrants that the individual is acting on the authority of the accredited entity. </w:t>
            </w:r>
          </w:p>
        </w:tc>
        <w:tc>
          <w:tcPr>
            <w:tcW w:w="3959" w:type="dxa"/>
            <w:shd w:val="clear" w:color="auto" w:fill="8EAADB" w:themeFill="accent1" w:themeFillTint="99"/>
          </w:tcPr>
          <w:p w14:paraId="48EA614F" w14:textId="72E38474" w:rsidR="00DC4DDD" w:rsidRPr="00DC4DDD" w:rsidRDefault="00DC4DDD" w:rsidP="00DC4DDD">
            <w:pPr>
              <w:rPr>
                <w:sz w:val="22"/>
                <w:szCs w:val="22"/>
              </w:rPr>
            </w:pPr>
            <w:r w:rsidRPr="00DC4DDD">
              <w:rPr>
                <w:rFonts w:cstheme="minorHAnsi"/>
                <w:sz w:val="22"/>
                <w:szCs w:val="22"/>
              </w:rPr>
              <w:t xml:space="preserve">The EPDP Team can discuss this proposal but this is what the group agreed to in Montreal – it seems difficult for an accredited entity to warrant this? </w:t>
            </w:r>
          </w:p>
        </w:tc>
      </w:tr>
      <w:tr w:rsidR="00DC4DDD" w:rsidRPr="00D0546A" w14:paraId="1E0DCA81" w14:textId="77777777" w:rsidTr="00222B42">
        <w:tc>
          <w:tcPr>
            <w:tcW w:w="1075" w:type="dxa"/>
            <w:shd w:val="clear" w:color="auto" w:fill="8EAADB" w:themeFill="accent1" w:themeFillTint="99"/>
          </w:tcPr>
          <w:p w14:paraId="1EFB86DE" w14:textId="1A62B33A" w:rsidR="00DC4DDD" w:rsidRDefault="00DC4DDD" w:rsidP="00DC4DDD">
            <w:pPr>
              <w:rPr>
                <w:sz w:val="22"/>
                <w:szCs w:val="22"/>
              </w:rPr>
            </w:pPr>
            <w:r>
              <w:rPr>
                <w:sz w:val="22"/>
                <w:szCs w:val="22"/>
              </w:rPr>
              <w:t>#25</w:t>
            </w:r>
          </w:p>
        </w:tc>
        <w:tc>
          <w:tcPr>
            <w:tcW w:w="3958" w:type="dxa"/>
            <w:shd w:val="clear" w:color="auto" w:fill="8EAADB" w:themeFill="accent1" w:themeFillTint="99"/>
          </w:tcPr>
          <w:p w14:paraId="3271BDE1" w14:textId="5E78A3D4" w:rsidR="00DC4DDD" w:rsidRPr="003215F7" w:rsidRDefault="00DC4DDD" w:rsidP="00DC4DDD">
            <w:pPr>
              <w:rPr>
                <w:rFonts w:cstheme="minorHAnsi"/>
                <w:sz w:val="22"/>
                <w:szCs w:val="22"/>
              </w:rPr>
            </w:pPr>
            <w:r w:rsidRPr="009140DA">
              <w:rPr>
                <w:rFonts w:cstheme="minorHAnsi"/>
                <w:sz w:val="22"/>
                <w:szCs w:val="22"/>
              </w:rPr>
              <w:t xml:space="preserve">each request should have one purpose, data sets disclosed vary depending on the purpose and it is important to be able to track the data disclosed to a requester for a certain purpose. In </w:t>
            </w:r>
            <w:proofErr w:type="gramStart"/>
            <w:r w:rsidRPr="009140DA">
              <w:rPr>
                <w:rFonts w:cstheme="minorHAnsi"/>
                <w:sz w:val="22"/>
                <w:szCs w:val="22"/>
              </w:rPr>
              <w:t>addition</w:t>
            </w:r>
            <w:proofErr w:type="gramEnd"/>
            <w:r w:rsidRPr="009140DA">
              <w:rPr>
                <w:rFonts w:cstheme="minorHAnsi"/>
                <w:sz w:val="22"/>
                <w:szCs w:val="22"/>
              </w:rPr>
              <w:t xml:space="preserve"> different purposes have different legal basis and different rights to the data subjects associated with it.</w:t>
            </w:r>
            <w:r>
              <w:rPr>
                <w:rFonts w:cstheme="minorHAnsi"/>
                <w:sz w:val="22"/>
                <w:szCs w:val="22"/>
              </w:rPr>
              <w:t xml:space="preserve"> (ALAC)</w:t>
            </w:r>
          </w:p>
        </w:tc>
        <w:tc>
          <w:tcPr>
            <w:tcW w:w="3958" w:type="dxa"/>
            <w:shd w:val="clear" w:color="auto" w:fill="8EAADB" w:themeFill="accent1" w:themeFillTint="99"/>
          </w:tcPr>
          <w:p w14:paraId="377B5529" w14:textId="4FC4FF6F" w:rsidR="00DC4DDD" w:rsidRPr="009140DA" w:rsidRDefault="00DC4DDD" w:rsidP="00DC4DDD">
            <w:pPr>
              <w:rPr>
                <w:rFonts w:ascii="Calibri" w:hAnsi="Calibri" w:cs="Calibri"/>
                <w:color w:val="000000"/>
                <w:sz w:val="22"/>
                <w:szCs w:val="22"/>
              </w:rPr>
            </w:pPr>
            <w:r>
              <w:rPr>
                <w:rFonts w:ascii="Calibri" w:hAnsi="Calibri" w:cs="Calibri"/>
                <w:color w:val="000000"/>
                <w:sz w:val="22"/>
                <w:szCs w:val="22"/>
              </w:rPr>
              <w:t xml:space="preserve">Current language: </w:t>
            </w:r>
            <w:r w:rsidRPr="009140DA">
              <w:rPr>
                <w:rFonts w:ascii="Calibri" w:hAnsi="Calibri" w:cs="Calibri"/>
                <w:color w:val="000000"/>
                <w:sz w:val="22"/>
                <w:szCs w:val="22"/>
              </w:rPr>
              <w:t>f. Assertion as to the purpose(s) of the request</w:t>
            </w:r>
          </w:p>
          <w:p w14:paraId="508E224D" w14:textId="77777777" w:rsidR="00DC4DDD" w:rsidRDefault="00DC4DDD" w:rsidP="00DC4DDD">
            <w:pPr>
              <w:rPr>
                <w:rFonts w:ascii="Calibri" w:hAnsi="Calibri" w:cs="Calibri"/>
                <w:color w:val="000000"/>
                <w:sz w:val="22"/>
                <w:szCs w:val="22"/>
              </w:rPr>
            </w:pPr>
          </w:p>
        </w:tc>
        <w:tc>
          <w:tcPr>
            <w:tcW w:w="3959" w:type="dxa"/>
            <w:shd w:val="clear" w:color="auto" w:fill="8EAADB" w:themeFill="accent1" w:themeFillTint="99"/>
          </w:tcPr>
          <w:p w14:paraId="77C6BB56" w14:textId="2A911E0E" w:rsidR="00DC4DDD" w:rsidRPr="00DC4DDD" w:rsidRDefault="00DC4DDD" w:rsidP="00DC4DDD">
            <w:pPr>
              <w:rPr>
                <w:rFonts w:cstheme="minorHAnsi"/>
                <w:sz w:val="22"/>
                <w:szCs w:val="22"/>
              </w:rPr>
            </w:pPr>
            <w:r w:rsidRPr="00DC4DDD">
              <w:rPr>
                <w:rFonts w:cstheme="minorHAnsi"/>
                <w:sz w:val="22"/>
                <w:szCs w:val="22"/>
              </w:rPr>
              <w:t xml:space="preserve">This is also </w:t>
            </w:r>
            <w:r w:rsidR="00FF0D60">
              <w:rPr>
                <w:rFonts w:cstheme="minorHAnsi"/>
                <w:sz w:val="22"/>
                <w:szCs w:val="22"/>
              </w:rPr>
              <w:t xml:space="preserve">a topic </w:t>
            </w:r>
            <w:r w:rsidRPr="00DC4DDD">
              <w:rPr>
                <w:rFonts w:cstheme="minorHAnsi"/>
                <w:sz w:val="22"/>
                <w:szCs w:val="22"/>
              </w:rPr>
              <w:t>that the group discussed and previously agreed – a request may have multiple purposes associated with it.</w:t>
            </w:r>
          </w:p>
        </w:tc>
      </w:tr>
      <w:tr w:rsidR="00DC4DDD" w:rsidRPr="00D0546A" w14:paraId="39FB5B1E" w14:textId="77777777" w:rsidTr="00760968">
        <w:tc>
          <w:tcPr>
            <w:tcW w:w="1075" w:type="dxa"/>
          </w:tcPr>
          <w:p w14:paraId="1440954B" w14:textId="748E83C9" w:rsidR="00DC4DDD" w:rsidRDefault="00DC4DDD" w:rsidP="00DC4DDD">
            <w:pPr>
              <w:rPr>
                <w:sz w:val="22"/>
                <w:szCs w:val="22"/>
              </w:rPr>
            </w:pPr>
            <w:r>
              <w:rPr>
                <w:sz w:val="22"/>
                <w:szCs w:val="22"/>
              </w:rPr>
              <w:t>#26</w:t>
            </w:r>
          </w:p>
        </w:tc>
        <w:tc>
          <w:tcPr>
            <w:tcW w:w="3958" w:type="dxa"/>
          </w:tcPr>
          <w:p w14:paraId="0CAC1E77" w14:textId="75037618" w:rsidR="00DC4DDD" w:rsidRPr="009140DA" w:rsidRDefault="00DC4DDD" w:rsidP="00DC4DDD">
            <w:pPr>
              <w:rPr>
                <w:rFonts w:cstheme="minorHAnsi"/>
                <w:sz w:val="22"/>
                <w:szCs w:val="22"/>
              </w:rPr>
            </w:pPr>
            <w:r w:rsidRPr="00EC293C">
              <w:rPr>
                <w:rFonts w:cstheme="minorHAnsi"/>
                <w:sz w:val="22"/>
                <w:szCs w:val="22"/>
              </w:rPr>
              <w:t>Suggest "preferable where lawful" (BC / IPC)</w:t>
            </w:r>
          </w:p>
        </w:tc>
        <w:tc>
          <w:tcPr>
            <w:tcW w:w="3958" w:type="dxa"/>
          </w:tcPr>
          <w:p w14:paraId="421978E6" w14:textId="0AFE8CD9" w:rsidR="00DC4DDD" w:rsidRDefault="00DC4DDD" w:rsidP="00DC4DDD">
            <w:pPr>
              <w:rPr>
                <w:rFonts w:ascii="Calibri" w:hAnsi="Calibri" w:cs="Calibri"/>
                <w:color w:val="000000"/>
                <w:sz w:val="22"/>
                <w:szCs w:val="22"/>
              </w:rPr>
            </w:pPr>
            <w:r>
              <w:rPr>
                <w:rFonts w:ascii="Calibri" w:eastAsia="Calibri" w:hAnsi="Calibri" w:cs="Calibri"/>
                <w:color w:val="000000"/>
                <w:sz w:val="22"/>
                <w:szCs w:val="22"/>
              </w:rPr>
              <w:t>g</w:t>
            </w:r>
            <w:r w:rsidRPr="00EC293C">
              <w:rPr>
                <w:rFonts w:ascii="Calibri" w:eastAsia="Calibri" w:hAnsi="Calibri" w:cs="Calibri"/>
                <w:color w:val="000000"/>
                <w:sz w:val="22"/>
                <w:szCs w:val="22"/>
              </w:rPr>
              <w:t xml:space="preserve">. Validation of Identity Credentials and Authorization Credentials, in addition to the information contained in the request, facilitate the decision of the authorization provider to accept or reject the Authorization of an SSAD request. For the avoidance of doubt, the presence of </w:t>
            </w:r>
            <w:r w:rsidRPr="00EC293C">
              <w:rPr>
                <w:rFonts w:ascii="Calibri" w:eastAsia="Calibri" w:hAnsi="Calibri" w:cs="Calibri"/>
                <w:color w:val="000000"/>
                <w:sz w:val="22"/>
                <w:szCs w:val="22"/>
              </w:rPr>
              <w:lastRenderedPageBreak/>
              <w:t xml:space="preserve">these credentials alone DOES NOT result in or mandate an automatic access / disclosure authorization. However, the ability to automate access/disclosure authorization decision making is possible under certain </w:t>
            </w:r>
            <w:r w:rsidRPr="00DC4DDD">
              <w:rPr>
                <w:rFonts w:ascii="Calibri" w:eastAsia="Calibri" w:hAnsi="Calibri" w:cs="Calibri"/>
                <w:color w:val="000000"/>
                <w:sz w:val="22"/>
                <w:szCs w:val="22"/>
              </w:rPr>
              <w:t>circumstances</w:t>
            </w:r>
            <w:r>
              <w:rPr>
                <w:rFonts w:ascii="Calibri" w:eastAsia="Calibri" w:hAnsi="Calibri" w:cs="Calibri"/>
                <w:color w:val="000000"/>
                <w:sz w:val="22"/>
                <w:szCs w:val="22"/>
              </w:rPr>
              <w:t xml:space="preserve"> </w:t>
            </w:r>
            <w:r>
              <w:rPr>
                <w:rFonts w:ascii="Calibri" w:eastAsia="Calibri" w:hAnsi="Calibri" w:cs="Calibri"/>
                <w:b/>
                <w:bCs/>
                <w:color w:val="000000"/>
                <w:sz w:val="22"/>
                <w:szCs w:val="22"/>
              </w:rPr>
              <w:t>where lawful</w:t>
            </w:r>
            <w:r w:rsidRPr="00EC293C">
              <w:rPr>
                <w:rFonts w:ascii="Calibri" w:eastAsia="Calibri" w:hAnsi="Calibri" w:cs="Calibri"/>
                <w:color w:val="000000"/>
                <w:sz w:val="22"/>
                <w:szCs w:val="22"/>
              </w:rPr>
              <w:t>.</w:t>
            </w:r>
          </w:p>
        </w:tc>
        <w:tc>
          <w:tcPr>
            <w:tcW w:w="3959" w:type="dxa"/>
          </w:tcPr>
          <w:p w14:paraId="663FD5D6" w14:textId="77777777" w:rsidR="00DC4DDD" w:rsidRPr="00DC4DDD" w:rsidRDefault="00DC4DDD" w:rsidP="00DC4DDD">
            <w:pPr>
              <w:rPr>
                <w:rFonts w:cstheme="minorHAnsi"/>
                <w:sz w:val="22"/>
                <w:szCs w:val="22"/>
              </w:rPr>
            </w:pPr>
          </w:p>
        </w:tc>
      </w:tr>
      <w:tr w:rsidR="00DC4DDD" w:rsidRPr="00D0546A" w14:paraId="578D562E" w14:textId="77777777" w:rsidTr="00222B42">
        <w:tc>
          <w:tcPr>
            <w:tcW w:w="1075" w:type="dxa"/>
            <w:shd w:val="clear" w:color="auto" w:fill="8EAADB" w:themeFill="accent1" w:themeFillTint="99"/>
          </w:tcPr>
          <w:p w14:paraId="7946C103" w14:textId="6401F8B6" w:rsidR="00DC4DDD" w:rsidRDefault="00DC4DDD" w:rsidP="00DC4DDD">
            <w:pPr>
              <w:rPr>
                <w:sz w:val="22"/>
                <w:szCs w:val="22"/>
              </w:rPr>
            </w:pPr>
            <w:r>
              <w:rPr>
                <w:sz w:val="22"/>
                <w:szCs w:val="22"/>
              </w:rPr>
              <w:t>#27</w:t>
            </w:r>
          </w:p>
        </w:tc>
        <w:tc>
          <w:tcPr>
            <w:tcW w:w="3958" w:type="dxa"/>
            <w:shd w:val="clear" w:color="auto" w:fill="8EAADB" w:themeFill="accent1" w:themeFillTint="99"/>
          </w:tcPr>
          <w:p w14:paraId="60945EDA" w14:textId="25F6266D" w:rsidR="00DC4DDD" w:rsidRPr="00FB0B79" w:rsidRDefault="00DC4DDD" w:rsidP="00DC4DDD">
            <w:pPr>
              <w:rPr>
                <w:rFonts w:cstheme="minorHAnsi"/>
                <w:sz w:val="22"/>
                <w:szCs w:val="22"/>
              </w:rPr>
            </w:pPr>
            <w:r w:rsidRPr="00FB0B79">
              <w:rPr>
                <w:rFonts w:cstheme="minorHAnsi"/>
                <w:sz w:val="22"/>
                <w:szCs w:val="22"/>
              </w:rPr>
              <w:t>Several team members have asked for our report to be agnostic to any specific data protection law, but reviewing the report in its entirety, we should be clear that the</w:t>
            </w:r>
            <w:r w:rsidR="00A713C1">
              <w:rPr>
                <w:rFonts w:cstheme="minorHAnsi"/>
                <w:sz w:val="22"/>
                <w:szCs w:val="22"/>
              </w:rPr>
              <w:t xml:space="preserve"> </w:t>
            </w:r>
            <w:r w:rsidRPr="00FB0B79">
              <w:rPr>
                <w:rFonts w:cstheme="minorHAnsi"/>
                <w:sz w:val="22"/>
                <w:szCs w:val="22"/>
              </w:rPr>
              <w:t xml:space="preserve">recommendations are a response to the regulatory challenges posed by the GDPR. </w:t>
            </w:r>
            <w:proofErr w:type="gramStart"/>
            <w:r w:rsidRPr="00FB0B79">
              <w:rPr>
                <w:rFonts w:cstheme="minorHAnsi"/>
                <w:sz w:val="22"/>
                <w:szCs w:val="22"/>
              </w:rPr>
              <w:t>This manifests</w:t>
            </w:r>
            <w:proofErr w:type="gramEnd"/>
            <w:r w:rsidRPr="00FB0B79">
              <w:rPr>
                <w:rFonts w:cstheme="minorHAnsi"/>
                <w:sz w:val="22"/>
                <w:szCs w:val="22"/>
              </w:rPr>
              <w:t xml:space="preserve"> itself in many areas, such as legal basis and reference to the EDPB. Therefore, it appears disingenuous to make the report appear to work for multiple data protection laws without further explanation. Thus, we should state that the recommendations shall contribute to the proper application of the GDPR and – by doing so – likely to a huge number of other data protection laws. </w:t>
            </w:r>
          </w:p>
          <w:p w14:paraId="2A677B50" w14:textId="3707B6E0" w:rsidR="00DC4DDD" w:rsidRPr="00EC293C" w:rsidRDefault="00DC4DDD" w:rsidP="00DC4DDD">
            <w:pPr>
              <w:rPr>
                <w:rFonts w:cstheme="minorHAnsi"/>
                <w:sz w:val="22"/>
                <w:szCs w:val="22"/>
              </w:rPr>
            </w:pPr>
            <w:r w:rsidRPr="00FB0B79">
              <w:rPr>
                <w:rFonts w:cstheme="minorHAnsi"/>
                <w:sz w:val="22"/>
                <w:szCs w:val="22"/>
              </w:rPr>
              <w:t xml:space="preserve">Further, in the same paragraph reference is made to an Accreditation Body Auditor (a.k.a. monitoring body). We suggest </w:t>
            </w:r>
            <w:proofErr w:type="gramStart"/>
            <w:r w:rsidRPr="00FB0B79">
              <w:rPr>
                <w:rFonts w:cstheme="minorHAnsi"/>
                <w:sz w:val="22"/>
                <w:szCs w:val="22"/>
              </w:rPr>
              <w:t>to delete</w:t>
            </w:r>
            <w:proofErr w:type="gramEnd"/>
            <w:r w:rsidRPr="00FB0B79">
              <w:rPr>
                <w:rFonts w:cstheme="minorHAnsi"/>
                <w:sz w:val="22"/>
                <w:szCs w:val="22"/>
              </w:rPr>
              <w:t xml:space="preserve"> the addition in brackets and ensure we do not introduce two terms for the same function and stick to Accreditation Body Auditor throughout the report. (ISPCP)</w:t>
            </w:r>
          </w:p>
        </w:tc>
        <w:tc>
          <w:tcPr>
            <w:tcW w:w="3958" w:type="dxa"/>
            <w:shd w:val="clear" w:color="auto" w:fill="8EAADB" w:themeFill="accent1" w:themeFillTint="99"/>
          </w:tcPr>
          <w:p w14:paraId="1A7397C2" w14:textId="62E131B4" w:rsidR="00A713C1" w:rsidRPr="00FB0B79" w:rsidRDefault="00A713C1" w:rsidP="00A713C1">
            <w:pPr>
              <w:pStyle w:val="NormalWeb"/>
              <w:spacing w:before="0" w:beforeAutospacing="0" w:after="0" w:afterAutospacing="0"/>
              <w:textAlignment w:val="baseline"/>
              <w:rPr>
                <w:rFonts w:ascii="Calibri" w:hAnsi="Calibri" w:cs="Calibri"/>
                <w:color w:val="000000"/>
                <w:sz w:val="22"/>
                <w:szCs w:val="22"/>
              </w:rPr>
            </w:pPr>
            <w:r>
              <w:rPr>
                <w:rFonts w:ascii="Calibri" w:eastAsia="Calibri" w:hAnsi="Calibri" w:cs="Calibri"/>
                <w:color w:val="000000"/>
                <w:sz w:val="22"/>
                <w:szCs w:val="22"/>
              </w:rPr>
              <w:t xml:space="preserve">Current language: </w:t>
            </w:r>
            <w:r>
              <w:rPr>
                <w:rFonts w:ascii="Calibri" w:hAnsi="Calibri" w:cs="Calibri"/>
                <w:color w:val="000000"/>
                <w:sz w:val="22"/>
                <w:szCs w:val="22"/>
              </w:rPr>
              <w:t xml:space="preserve">h. </w:t>
            </w:r>
            <w:r w:rsidRPr="00FB0B79">
              <w:rPr>
                <w:rFonts w:ascii="Calibri" w:hAnsi="Calibri" w:cs="Calibri"/>
                <w:color w:val="000000"/>
                <w:sz w:val="22"/>
                <w:szCs w:val="22"/>
              </w:rPr>
              <w:t xml:space="preserve">Defines a base line “code of conduct” that establishes a set of rules that </w:t>
            </w:r>
            <w:r w:rsidRPr="00A713C1">
              <w:rPr>
                <w:rFonts w:ascii="Calibri" w:hAnsi="Calibri" w:cs="Calibri"/>
                <w:color w:val="000000"/>
                <w:sz w:val="22"/>
                <w:szCs w:val="22"/>
              </w:rPr>
              <w:t>contribute to the proper application of data protection laws - including the GDPR</w:t>
            </w:r>
            <w:r w:rsidRPr="00FB0B79">
              <w:rPr>
                <w:rFonts w:ascii="Calibri" w:hAnsi="Calibri" w:cs="Calibri"/>
                <w:color w:val="000000"/>
                <w:sz w:val="22"/>
                <w:szCs w:val="22"/>
              </w:rPr>
              <w:t xml:space="preserve"> - for the ICANN community, including:</w:t>
            </w:r>
            <w:r>
              <w:rPr>
                <w:rFonts w:ascii="Calibri" w:hAnsi="Calibri" w:cs="Calibri"/>
                <w:color w:val="000000"/>
                <w:sz w:val="22"/>
                <w:szCs w:val="22"/>
              </w:rPr>
              <w:t xml:space="preserve"> (…)</w:t>
            </w:r>
          </w:p>
          <w:p w14:paraId="5EF28334" w14:textId="5F91B854" w:rsidR="00DC4DDD" w:rsidRDefault="00DC4DDD" w:rsidP="00DC4DDD">
            <w:pPr>
              <w:rPr>
                <w:rFonts w:ascii="Calibri" w:eastAsia="Calibri" w:hAnsi="Calibri" w:cs="Calibri"/>
                <w:color w:val="000000"/>
                <w:sz w:val="22"/>
                <w:szCs w:val="22"/>
              </w:rPr>
            </w:pPr>
          </w:p>
        </w:tc>
        <w:tc>
          <w:tcPr>
            <w:tcW w:w="3959" w:type="dxa"/>
            <w:shd w:val="clear" w:color="auto" w:fill="8EAADB" w:themeFill="accent1" w:themeFillTint="99"/>
          </w:tcPr>
          <w:p w14:paraId="18A04540" w14:textId="16B41E23" w:rsidR="00DC4DDD" w:rsidRPr="00A713C1" w:rsidRDefault="00A713C1" w:rsidP="00DC4DDD">
            <w:pPr>
              <w:rPr>
                <w:rFonts w:cstheme="minorHAnsi"/>
                <w:sz w:val="22"/>
                <w:szCs w:val="22"/>
              </w:rPr>
            </w:pPr>
            <w:r w:rsidRPr="00A713C1">
              <w:rPr>
                <w:rFonts w:cstheme="minorHAnsi"/>
                <w:sz w:val="22"/>
                <w:szCs w:val="22"/>
              </w:rPr>
              <w:t xml:space="preserve">This comment appears to be a general one and not specifically to this section. Consider asking the ISPCP to suggest language that could be included in the introduction to the report.  </w:t>
            </w:r>
          </w:p>
        </w:tc>
      </w:tr>
      <w:tr w:rsidR="007750C6" w:rsidRPr="00D0546A" w14:paraId="150E6378" w14:textId="77777777" w:rsidTr="00760968">
        <w:tc>
          <w:tcPr>
            <w:tcW w:w="1075" w:type="dxa"/>
          </w:tcPr>
          <w:p w14:paraId="479E91EB" w14:textId="34FEE0E5" w:rsidR="007750C6" w:rsidRDefault="007750C6" w:rsidP="00DC4DDD">
            <w:pPr>
              <w:rPr>
                <w:sz w:val="22"/>
                <w:szCs w:val="22"/>
              </w:rPr>
            </w:pPr>
            <w:r>
              <w:rPr>
                <w:sz w:val="22"/>
                <w:szCs w:val="22"/>
              </w:rPr>
              <w:lastRenderedPageBreak/>
              <w:t xml:space="preserve">#28 </w:t>
            </w:r>
          </w:p>
        </w:tc>
        <w:tc>
          <w:tcPr>
            <w:tcW w:w="3958" w:type="dxa"/>
          </w:tcPr>
          <w:p w14:paraId="35BC76F2" w14:textId="77777777" w:rsidR="007750C6" w:rsidRPr="00FB0B79" w:rsidRDefault="007750C6" w:rsidP="007750C6">
            <w:pPr>
              <w:rPr>
                <w:rFonts w:cstheme="minorHAnsi"/>
                <w:sz w:val="22"/>
                <w:szCs w:val="22"/>
              </w:rPr>
            </w:pPr>
            <w:r w:rsidRPr="00FB0B79">
              <w:rPr>
                <w:rFonts w:cstheme="minorHAnsi"/>
                <w:sz w:val="22"/>
                <w:szCs w:val="22"/>
              </w:rPr>
              <w:t>Add</w:t>
            </w:r>
            <w:proofErr w:type="gramStart"/>
            <w:r w:rsidRPr="00FB0B79">
              <w:rPr>
                <w:rFonts w:cstheme="minorHAnsi"/>
                <w:sz w:val="22"/>
                <w:szCs w:val="22"/>
              </w:rPr>
              <w:t>: ”to</w:t>
            </w:r>
            <w:proofErr w:type="gramEnd"/>
            <w:r w:rsidRPr="00FB0B79">
              <w:rPr>
                <w:rFonts w:cstheme="minorHAnsi"/>
                <w:sz w:val="22"/>
                <w:szCs w:val="22"/>
              </w:rPr>
              <w:t xml:space="preserve"> challenge actions taken by the Accreditation Authority” to clarify the scope of the dispute resolution and complaints process.</w:t>
            </w:r>
          </w:p>
          <w:p w14:paraId="2950BE83" w14:textId="1A2BF503" w:rsidR="007750C6" w:rsidRPr="00FB0B79" w:rsidRDefault="007750C6" w:rsidP="007750C6">
            <w:pPr>
              <w:rPr>
                <w:rFonts w:cstheme="minorHAnsi"/>
                <w:sz w:val="22"/>
                <w:szCs w:val="22"/>
              </w:rPr>
            </w:pPr>
            <w:r>
              <w:rPr>
                <w:rFonts w:cstheme="minorHAnsi"/>
                <w:sz w:val="22"/>
                <w:szCs w:val="22"/>
              </w:rPr>
              <w:t>(ISPCP)</w:t>
            </w:r>
          </w:p>
        </w:tc>
        <w:tc>
          <w:tcPr>
            <w:tcW w:w="3958" w:type="dxa"/>
          </w:tcPr>
          <w:p w14:paraId="18F6BC20" w14:textId="48A4E031" w:rsidR="007750C6" w:rsidRPr="00FB0B79" w:rsidRDefault="007750C6" w:rsidP="007750C6">
            <w:pPr>
              <w:rPr>
                <w:rFonts w:ascii="Calibri" w:hAnsi="Calibri" w:cs="Calibri"/>
                <w:color w:val="000000"/>
                <w:sz w:val="22"/>
                <w:szCs w:val="22"/>
              </w:rPr>
            </w:pPr>
            <w:r w:rsidRPr="00FB0B79">
              <w:rPr>
                <w:rFonts w:ascii="Calibri" w:hAnsi="Calibri" w:cs="Calibri"/>
                <w:color w:val="000000"/>
                <w:sz w:val="22"/>
                <w:szCs w:val="22"/>
              </w:rPr>
              <w:t>j) MUST define a dispute resolution and complaints process</w:t>
            </w:r>
            <w:r>
              <w:rPr>
                <w:rFonts w:ascii="Calibri" w:hAnsi="Calibri" w:cs="Calibri"/>
                <w:color w:val="000000"/>
                <w:sz w:val="22"/>
                <w:szCs w:val="22"/>
              </w:rPr>
              <w:t xml:space="preserve"> </w:t>
            </w:r>
            <w:r w:rsidRPr="007750C6">
              <w:rPr>
                <w:rFonts w:cstheme="minorHAnsi"/>
                <w:b/>
                <w:bCs/>
                <w:sz w:val="22"/>
                <w:szCs w:val="22"/>
              </w:rPr>
              <w:t>to challenge actions taken by the Accreditation Authority</w:t>
            </w:r>
            <w:r w:rsidRPr="00FB0B79">
              <w:rPr>
                <w:rFonts w:ascii="Calibri" w:hAnsi="Calibri" w:cs="Calibri"/>
                <w:color w:val="000000"/>
                <w:sz w:val="22"/>
                <w:szCs w:val="22"/>
              </w:rPr>
              <w:t>. </w:t>
            </w:r>
          </w:p>
          <w:p w14:paraId="19A96EC6" w14:textId="77777777" w:rsidR="007750C6" w:rsidRDefault="007750C6" w:rsidP="00A713C1">
            <w:pPr>
              <w:pStyle w:val="NormalWeb"/>
              <w:spacing w:before="0" w:beforeAutospacing="0" w:after="0" w:afterAutospacing="0"/>
              <w:textAlignment w:val="baseline"/>
              <w:rPr>
                <w:rFonts w:ascii="Calibri" w:eastAsia="Calibri" w:hAnsi="Calibri" w:cs="Calibri"/>
                <w:color w:val="000000"/>
                <w:sz w:val="22"/>
                <w:szCs w:val="22"/>
              </w:rPr>
            </w:pPr>
          </w:p>
        </w:tc>
        <w:tc>
          <w:tcPr>
            <w:tcW w:w="3959" w:type="dxa"/>
          </w:tcPr>
          <w:p w14:paraId="140B6AD7" w14:textId="77777777" w:rsidR="007750C6" w:rsidRPr="00A713C1" w:rsidRDefault="007750C6" w:rsidP="00DC4DDD">
            <w:pPr>
              <w:rPr>
                <w:rFonts w:cstheme="minorHAnsi"/>
                <w:sz w:val="22"/>
                <w:szCs w:val="22"/>
              </w:rPr>
            </w:pPr>
          </w:p>
        </w:tc>
      </w:tr>
      <w:tr w:rsidR="007750C6" w:rsidRPr="00D0546A" w14:paraId="18EFC84F" w14:textId="77777777" w:rsidTr="00760968">
        <w:tc>
          <w:tcPr>
            <w:tcW w:w="1075" w:type="dxa"/>
          </w:tcPr>
          <w:p w14:paraId="1CD7C57B" w14:textId="04A47A92" w:rsidR="007750C6" w:rsidRDefault="007750C6" w:rsidP="007750C6">
            <w:pPr>
              <w:rPr>
                <w:sz w:val="22"/>
                <w:szCs w:val="22"/>
              </w:rPr>
            </w:pPr>
            <w:r>
              <w:rPr>
                <w:sz w:val="22"/>
                <w:szCs w:val="22"/>
              </w:rPr>
              <w:t xml:space="preserve">#29 </w:t>
            </w:r>
          </w:p>
        </w:tc>
        <w:tc>
          <w:tcPr>
            <w:tcW w:w="3958" w:type="dxa"/>
          </w:tcPr>
          <w:p w14:paraId="78F1D400" w14:textId="77777777" w:rsidR="007750C6" w:rsidRPr="003215F7" w:rsidRDefault="007750C6" w:rsidP="007750C6">
            <w:pPr>
              <w:rPr>
                <w:rFonts w:cstheme="minorHAnsi"/>
                <w:sz w:val="22"/>
                <w:szCs w:val="22"/>
              </w:rPr>
            </w:pPr>
            <w:r w:rsidRPr="003215F7">
              <w:rPr>
                <w:rFonts w:cstheme="minorHAnsi"/>
                <w:sz w:val="22"/>
                <w:szCs w:val="22"/>
              </w:rPr>
              <w:t>NCSG has a problem with this, and several other similar assertions that seem to blur the line between bulk access and individual requests. In what sense is "each and every unique request for RDS data" being processed when thousands of them are submitted at the same time? We believe that assumptions about automatic access and disclosure are being insinuated into the draft report in a number of ways, and we want it to be known that we will resist that.</w:t>
            </w:r>
          </w:p>
          <w:p w14:paraId="705F0C71" w14:textId="77777777" w:rsidR="007750C6" w:rsidRDefault="007750C6" w:rsidP="007750C6">
            <w:pPr>
              <w:rPr>
                <w:rFonts w:cstheme="minorHAnsi"/>
                <w:sz w:val="22"/>
                <w:szCs w:val="22"/>
              </w:rPr>
            </w:pPr>
            <w:r w:rsidRPr="003215F7">
              <w:rPr>
                <w:rFonts w:cstheme="minorHAnsi"/>
                <w:sz w:val="22"/>
                <w:szCs w:val="22"/>
              </w:rPr>
              <w:t>(NCSG)</w:t>
            </w:r>
          </w:p>
          <w:p w14:paraId="096D426A" w14:textId="77777777" w:rsidR="007750C6" w:rsidRDefault="007750C6" w:rsidP="007750C6">
            <w:pPr>
              <w:rPr>
                <w:rFonts w:cstheme="minorHAnsi"/>
                <w:sz w:val="22"/>
                <w:szCs w:val="22"/>
              </w:rPr>
            </w:pPr>
          </w:p>
          <w:p w14:paraId="3F999D9F" w14:textId="77777777" w:rsidR="007750C6" w:rsidRPr="00EC293C" w:rsidRDefault="007750C6" w:rsidP="007750C6">
            <w:pPr>
              <w:rPr>
                <w:rFonts w:cstheme="minorHAnsi"/>
                <w:sz w:val="22"/>
                <w:szCs w:val="22"/>
              </w:rPr>
            </w:pPr>
            <w:r w:rsidRPr="00EC293C">
              <w:rPr>
                <w:rFonts w:cstheme="minorHAnsi"/>
                <w:sz w:val="22"/>
                <w:szCs w:val="22"/>
              </w:rPr>
              <w:t xml:space="preserve">I don’t understand the concern about this language. This merely says that multiple requests may be SUBMITTED together. Elsewhere, this policy requires each request to be evaluated on its own merits. </w:t>
            </w:r>
          </w:p>
          <w:p w14:paraId="0340B0AF" w14:textId="77777777" w:rsidR="007750C6" w:rsidRPr="00EC293C" w:rsidRDefault="007750C6" w:rsidP="007750C6">
            <w:pPr>
              <w:rPr>
                <w:rFonts w:cstheme="minorHAnsi"/>
                <w:sz w:val="22"/>
                <w:szCs w:val="22"/>
              </w:rPr>
            </w:pPr>
          </w:p>
          <w:p w14:paraId="63C6EDD5" w14:textId="77777777" w:rsidR="007750C6" w:rsidRPr="00EC293C" w:rsidRDefault="007750C6" w:rsidP="007750C6">
            <w:pPr>
              <w:rPr>
                <w:rFonts w:cstheme="minorHAnsi"/>
                <w:sz w:val="22"/>
                <w:szCs w:val="22"/>
              </w:rPr>
            </w:pPr>
            <w:r w:rsidRPr="00EC293C">
              <w:rPr>
                <w:rFonts w:cstheme="minorHAnsi"/>
                <w:sz w:val="22"/>
                <w:szCs w:val="22"/>
              </w:rPr>
              <w:t xml:space="preserve">We have agreed that prohibitions on “bulk access” are based on its definition in the 2013 RAA. </w:t>
            </w:r>
            <w:r>
              <w:rPr>
                <w:rFonts w:cstheme="minorHAnsi"/>
                <w:sz w:val="22"/>
                <w:szCs w:val="22"/>
              </w:rPr>
              <w:t>(IPC)</w:t>
            </w:r>
          </w:p>
          <w:p w14:paraId="619EF06D" w14:textId="77777777" w:rsidR="007750C6" w:rsidRDefault="007750C6" w:rsidP="007750C6">
            <w:pPr>
              <w:rPr>
                <w:rFonts w:cstheme="minorHAnsi"/>
                <w:sz w:val="22"/>
                <w:szCs w:val="22"/>
              </w:rPr>
            </w:pPr>
          </w:p>
          <w:p w14:paraId="1CBFC0CC" w14:textId="297A7398" w:rsidR="007750C6" w:rsidRPr="00FB0B79" w:rsidRDefault="007750C6" w:rsidP="007750C6">
            <w:pPr>
              <w:rPr>
                <w:rFonts w:cstheme="minorHAnsi"/>
                <w:sz w:val="22"/>
                <w:szCs w:val="22"/>
              </w:rPr>
            </w:pPr>
            <w:r>
              <w:rPr>
                <w:rFonts w:cstheme="minorHAnsi"/>
                <w:sz w:val="22"/>
                <w:szCs w:val="22"/>
              </w:rPr>
              <w:t>S</w:t>
            </w:r>
            <w:r w:rsidRPr="00EC293C">
              <w:rPr>
                <w:rFonts w:cstheme="minorHAnsi"/>
                <w:sz w:val="22"/>
                <w:szCs w:val="22"/>
              </w:rPr>
              <w:t xml:space="preserve">uggest changing to "submitted during a specific period of time" to recognize that </w:t>
            </w:r>
            <w:r w:rsidRPr="00EC293C">
              <w:rPr>
                <w:rFonts w:cstheme="minorHAnsi"/>
                <w:sz w:val="22"/>
                <w:szCs w:val="22"/>
              </w:rPr>
              <w:lastRenderedPageBreak/>
              <w:t>RDAP is the most likely protocol and that each request will be a discrete event occurring in in a series. (BC)</w:t>
            </w:r>
          </w:p>
        </w:tc>
        <w:tc>
          <w:tcPr>
            <w:tcW w:w="3958" w:type="dxa"/>
          </w:tcPr>
          <w:p w14:paraId="03542608" w14:textId="59DD0E5A" w:rsidR="007750C6" w:rsidRPr="00FB0B79" w:rsidRDefault="007750C6" w:rsidP="007750C6">
            <w:pPr>
              <w:rPr>
                <w:rFonts w:ascii="Calibri" w:hAnsi="Calibri" w:cs="Calibri"/>
                <w:color w:val="000000"/>
                <w:sz w:val="22"/>
                <w:szCs w:val="22"/>
              </w:rPr>
            </w:pPr>
            <w:r>
              <w:rPr>
                <w:rFonts w:ascii="Calibri" w:hAnsi="Calibri" w:cs="Calibri"/>
                <w:color w:val="000000"/>
                <w:sz w:val="22"/>
                <w:szCs w:val="22"/>
              </w:rPr>
              <w:lastRenderedPageBreak/>
              <w:t xml:space="preserve">Current language: </w:t>
            </w:r>
            <w:r w:rsidRPr="003215F7">
              <w:rPr>
                <w:rFonts w:ascii="Calibri" w:hAnsi="Calibri" w:cs="Calibri"/>
                <w:color w:val="000000"/>
                <w:sz w:val="22"/>
                <w:szCs w:val="22"/>
              </w:rPr>
              <w:t xml:space="preserve">t) Will not be restricted in the number of SSAD requests that can be submitted </w:t>
            </w:r>
            <w:r>
              <w:rPr>
                <w:rFonts w:ascii="Calibri" w:hAnsi="Calibri" w:cs="Calibri"/>
                <w:b/>
                <w:bCs/>
                <w:color w:val="000000"/>
                <w:sz w:val="22"/>
                <w:szCs w:val="22"/>
              </w:rPr>
              <w:t xml:space="preserve">during a specific period of </w:t>
            </w:r>
            <w:r w:rsidRPr="007750C6">
              <w:rPr>
                <w:rFonts w:ascii="Calibri" w:hAnsi="Calibri" w:cs="Calibri"/>
                <w:strike/>
                <w:color w:val="000000"/>
                <w:sz w:val="22"/>
                <w:szCs w:val="22"/>
              </w:rPr>
              <w:t>at a</w:t>
            </w:r>
            <w:r w:rsidRPr="003215F7">
              <w:rPr>
                <w:rFonts w:ascii="Calibri" w:hAnsi="Calibri" w:cs="Calibri"/>
                <w:color w:val="000000"/>
                <w:sz w:val="22"/>
                <w:szCs w:val="22"/>
              </w:rPr>
              <w:t xml:space="preserve"> time, except where the accredited entity poses a demonstrable threat to the SSAD. It is understood that possible limitations in SSAD’s response capacity and speed may apply. For further details see the response requirements preliminary recommendation</w:t>
            </w:r>
          </w:p>
        </w:tc>
        <w:tc>
          <w:tcPr>
            <w:tcW w:w="3959" w:type="dxa"/>
          </w:tcPr>
          <w:p w14:paraId="3D1BB4B2" w14:textId="198360CF" w:rsidR="007750C6" w:rsidRPr="007750C6" w:rsidRDefault="007750C6" w:rsidP="007750C6">
            <w:pPr>
              <w:rPr>
                <w:rFonts w:cstheme="minorHAnsi"/>
                <w:sz w:val="22"/>
                <w:szCs w:val="22"/>
              </w:rPr>
            </w:pPr>
            <w:r w:rsidRPr="007750C6">
              <w:rPr>
                <w:rFonts w:cstheme="minorHAnsi"/>
                <w:sz w:val="22"/>
                <w:szCs w:val="22"/>
              </w:rPr>
              <w:t xml:space="preserve">These comments also come up in other </w:t>
            </w:r>
            <w:proofErr w:type="gramStart"/>
            <w:r w:rsidRPr="007750C6">
              <w:rPr>
                <w:rFonts w:cstheme="minorHAnsi"/>
                <w:sz w:val="22"/>
                <w:szCs w:val="22"/>
              </w:rPr>
              <w:t>sections</w:t>
            </w:r>
            <w:proofErr w:type="gramEnd"/>
            <w:r w:rsidRPr="007750C6">
              <w:rPr>
                <w:rFonts w:cstheme="minorHAnsi"/>
                <w:sz w:val="22"/>
                <w:szCs w:val="22"/>
              </w:rPr>
              <w:t xml:space="preserve"> but the issue of multiple requests has been discussed and it was agreed that this is addressed by the recommendation that each request should be considered on its merits – regardless of whether it was submitted in a batch or individually. </w:t>
            </w:r>
            <w:r>
              <w:rPr>
                <w:rFonts w:cstheme="minorHAnsi"/>
                <w:sz w:val="22"/>
                <w:szCs w:val="22"/>
              </w:rPr>
              <w:t>Why is this not considered sufficient?</w:t>
            </w:r>
            <w:r w:rsidRPr="007750C6">
              <w:rPr>
                <w:rFonts w:cstheme="minorHAnsi"/>
                <w:sz w:val="22"/>
                <w:szCs w:val="22"/>
              </w:rPr>
              <w:t xml:space="preserve"> </w:t>
            </w:r>
          </w:p>
          <w:p w14:paraId="6AEFE39B" w14:textId="77777777" w:rsidR="007750C6" w:rsidRPr="007750C6" w:rsidRDefault="007750C6" w:rsidP="007750C6">
            <w:pPr>
              <w:rPr>
                <w:rFonts w:cstheme="minorHAnsi"/>
                <w:sz w:val="22"/>
                <w:szCs w:val="22"/>
              </w:rPr>
            </w:pPr>
          </w:p>
          <w:p w14:paraId="4E43C52A" w14:textId="0FFBB470" w:rsidR="007750C6" w:rsidRPr="007750C6" w:rsidRDefault="007750C6" w:rsidP="007750C6">
            <w:pPr>
              <w:rPr>
                <w:rFonts w:cstheme="minorHAnsi"/>
                <w:sz w:val="22"/>
                <w:szCs w:val="22"/>
              </w:rPr>
            </w:pPr>
            <w:r w:rsidRPr="007750C6">
              <w:rPr>
                <w:rFonts w:cstheme="minorHAnsi"/>
                <w:sz w:val="22"/>
                <w:szCs w:val="22"/>
              </w:rPr>
              <w:t xml:space="preserve">BC proposed addition seems non-controversial. </w:t>
            </w:r>
          </w:p>
        </w:tc>
      </w:tr>
      <w:tr w:rsidR="007750C6" w:rsidRPr="00D0546A" w14:paraId="78DED73D" w14:textId="77777777" w:rsidTr="00760968">
        <w:tc>
          <w:tcPr>
            <w:tcW w:w="1075" w:type="dxa"/>
          </w:tcPr>
          <w:p w14:paraId="758B61A8" w14:textId="30E963C0" w:rsidR="007750C6" w:rsidRDefault="007750C6" w:rsidP="007750C6">
            <w:pPr>
              <w:rPr>
                <w:sz w:val="22"/>
                <w:szCs w:val="22"/>
              </w:rPr>
            </w:pPr>
            <w:r>
              <w:rPr>
                <w:sz w:val="22"/>
                <w:szCs w:val="22"/>
              </w:rPr>
              <w:t xml:space="preserve">#30 </w:t>
            </w:r>
          </w:p>
        </w:tc>
        <w:tc>
          <w:tcPr>
            <w:tcW w:w="3958" w:type="dxa"/>
          </w:tcPr>
          <w:p w14:paraId="7F2E6EBA" w14:textId="5F82B9A8" w:rsidR="007750C6" w:rsidRPr="003215F7" w:rsidRDefault="007750C6" w:rsidP="007750C6">
            <w:pPr>
              <w:rPr>
                <w:rFonts w:cstheme="minorHAnsi"/>
                <w:sz w:val="22"/>
                <w:szCs w:val="22"/>
              </w:rPr>
            </w:pPr>
            <w:r w:rsidRPr="00FB0B79">
              <w:rPr>
                <w:rFonts w:cstheme="minorHAnsi"/>
                <w:sz w:val="22"/>
                <w:szCs w:val="22"/>
              </w:rPr>
              <w:t xml:space="preserve">The accreditation service will be a service that is financially sustainable. </w:t>
            </w:r>
            <w:proofErr w:type="spellStart"/>
            <w:proofErr w:type="gramStart"/>
            <w:r w:rsidRPr="00FB0B79">
              <w:rPr>
                <w:rFonts w:cstheme="minorHAnsi"/>
                <w:sz w:val="22"/>
                <w:szCs w:val="22"/>
              </w:rPr>
              <w:t>Fur</w:t>
            </w:r>
            <w:proofErr w:type="spellEnd"/>
            <w:r w:rsidRPr="00FB0B79">
              <w:rPr>
                <w:rFonts w:cstheme="minorHAnsi"/>
                <w:sz w:val="22"/>
                <w:szCs w:val="22"/>
              </w:rPr>
              <w:t xml:space="preserve"> further details,</w:t>
            </w:r>
            <w:proofErr w:type="gramEnd"/>
            <w:r w:rsidRPr="00FB0B79">
              <w:rPr>
                <w:rFonts w:cstheme="minorHAnsi"/>
                <w:sz w:val="22"/>
                <w:szCs w:val="22"/>
              </w:rPr>
              <w:t xml:space="preserve"> see the financial sustainability preliminary recommendation. The reason for the request for change is that the system will likely not only be designed to recover </w:t>
            </w:r>
            <w:proofErr w:type="gramStart"/>
            <w:r w:rsidRPr="00FB0B79">
              <w:rPr>
                <w:rFonts w:cstheme="minorHAnsi"/>
                <w:sz w:val="22"/>
                <w:szCs w:val="22"/>
              </w:rPr>
              <w:t>cost, but</w:t>
            </w:r>
            <w:proofErr w:type="gramEnd"/>
            <w:r w:rsidRPr="00FB0B79">
              <w:rPr>
                <w:rFonts w:cstheme="minorHAnsi"/>
                <w:sz w:val="22"/>
                <w:szCs w:val="22"/>
              </w:rPr>
              <w:t xml:space="preserve"> may also include a component to cover legal risk for the parties involved. </w:t>
            </w:r>
            <w:r>
              <w:rPr>
                <w:rFonts w:cstheme="minorHAnsi"/>
                <w:sz w:val="22"/>
                <w:szCs w:val="22"/>
              </w:rPr>
              <w:t>(ISPCP)</w:t>
            </w:r>
          </w:p>
        </w:tc>
        <w:tc>
          <w:tcPr>
            <w:tcW w:w="3958" w:type="dxa"/>
          </w:tcPr>
          <w:p w14:paraId="1E4762D0" w14:textId="6B0EC35D" w:rsidR="007750C6" w:rsidRPr="00C924B8" w:rsidRDefault="007750C6" w:rsidP="007750C6">
            <w:pPr>
              <w:rPr>
                <w:rFonts w:cstheme="minorHAnsi"/>
                <w:sz w:val="22"/>
                <w:szCs w:val="22"/>
              </w:rPr>
            </w:pPr>
            <w:r w:rsidRPr="007750C6">
              <w:rPr>
                <w:rFonts w:cstheme="minorHAnsi"/>
                <w:strike/>
                <w:sz w:val="22"/>
                <w:szCs w:val="22"/>
              </w:rPr>
              <w:t>The accreditation service should be part of a cost-recovery system.</w:t>
            </w:r>
            <w:r w:rsidRPr="00C924B8">
              <w:rPr>
                <w:rFonts w:cstheme="minorHAnsi"/>
                <w:sz w:val="22"/>
                <w:szCs w:val="22"/>
              </w:rPr>
              <w:t xml:space="preserve"> </w:t>
            </w:r>
            <w:bookmarkStart w:id="0" w:name="_GoBack"/>
            <w:bookmarkEnd w:id="0"/>
            <w:r w:rsidRPr="007750C6">
              <w:rPr>
                <w:rFonts w:cstheme="minorHAnsi"/>
                <w:b/>
                <w:bCs/>
                <w:sz w:val="22"/>
                <w:szCs w:val="22"/>
              </w:rPr>
              <w:t>The accreditation service will be a service that is financially sustainable.</w:t>
            </w:r>
            <w:r w:rsidRPr="00B6239E">
              <w:rPr>
                <w:rFonts w:cstheme="minorHAnsi"/>
                <w:i/>
                <w:iCs/>
                <w:sz w:val="22"/>
                <w:szCs w:val="22"/>
              </w:rPr>
              <w:t xml:space="preserve"> </w:t>
            </w:r>
            <w:r w:rsidRPr="00C924B8">
              <w:rPr>
                <w:rFonts w:cstheme="minorHAnsi"/>
                <w:sz w:val="22"/>
                <w:szCs w:val="22"/>
              </w:rPr>
              <w:t>For further details, see the financial sustainability preliminary recommendation. </w:t>
            </w:r>
          </w:p>
          <w:p w14:paraId="335AE0B7" w14:textId="77777777" w:rsidR="007750C6" w:rsidRDefault="007750C6" w:rsidP="007750C6">
            <w:pPr>
              <w:rPr>
                <w:rFonts w:ascii="Calibri" w:hAnsi="Calibri" w:cs="Calibri"/>
                <w:color w:val="000000"/>
                <w:sz w:val="22"/>
                <w:szCs w:val="22"/>
              </w:rPr>
            </w:pPr>
          </w:p>
        </w:tc>
        <w:tc>
          <w:tcPr>
            <w:tcW w:w="3959" w:type="dxa"/>
          </w:tcPr>
          <w:p w14:paraId="406B8BCC" w14:textId="77777777" w:rsidR="007750C6" w:rsidRPr="007750C6" w:rsidRDefault="007750C6" w:rsidP="007750C6">
            <w:pPr>
              <w:rPr>
                <w:rFonts w:cstheme="minorHAnsi"/>
                <w:sz w:val="22"/>
                <w:szCs w:val="22"/>
              </w:rPr>
            </w:pPr>
          </w:p>
        </w:tc>
      </w:tr>
    </w:tbl>
    <w:p w14:paraId="4FCBF6BF" w14:textId="3A3A9925" w:rsidR="00D0546A" w:rsidRDefault="00D0546A"/>
    <w:p w14:paraId="7511E6F2" w14:textId="5CAD713C" w:rsidR="00F70165" w:rsidRPr="00760968" w:rsidRDefault="00760968">
      <w:pPr>
        <w:rPr>
          <w:b/>
          <w:bCs/>
        </w:rPr>
      </w:pPr>
      <w:r w:rsidRPr="00760968">
        <w:rPr>
          <w:b/>
          <w:bCs/>
        </w:rPr>
        <w:t>RECEIPT OF ACKNOWLEDGEMENT</w:t>
      </w:r>
    </w:p>
    <w:p w14:paraId="077A7F9E" w14:textId="77777777" w:rsidR="00F70165" w:rsidRDefault="00F70165"/>
    <w:tbl>
      <w:tblPr>
        <w:tblStyle w:val="TableGrid"/>
        <w:tblW w:w="0" w:type="auto"/>
        <w:tblLook w:val="04A0" w:firstRow="1" w:lastRow="0" w:firstColumn="1" w:lastColumn="0" w:noHBand="0" w:noVBand="1"/>
      </w:tblPr>
      <w:tblGrid>
        <w:gridCol w:w="1075"/>
        <w:gridCol w:w="3960"/>
        <w:gridCol w:w="3960"/>
        <w:gridCol w:w="3955"/>
      </w:tblGrid>
      <w:tr w:rsidR="00760968" w:rsidRPr="00D0546A" w14:paraId="5F1441FC" w14:textId="77777777" w:rsidTr="00760968">
        <w:trPr>
          <w:tblHeader/>
        </w:trPr>
        <w:tc>
          <w:tcPr>
            <w:tcW w:w="1075" w:type="dxa"/>
            <w:shd w:val="clear" w:color="auto" w:fill="A5A5A5" w:themeFill="accent3"/>
          </w:tcPr>
          <w:p w14:paraId="583A7406" w14:textId="6C9601D8" w:rsidR="00F70165" w:rsidRPr="00D0546A" w:rsidRDefault="00F70165" w:rsidP="00F93925">
            <w:pPr>
              <w:rPr>
                <w:b/>
                <w:bCs/>
                <w:sz w:val="22"/>
                <w:szCs w:val="22"/>
              </w:rPr>
            </w:pPr>
            <w:r w:rsidRPr="00D0546A">
              <w:rPr>
                <w:b/>
                <w:bCs/>
                <w:sz w:val="22"/>
                <w:szCs w:val="22"/>
              </w:rPr>
              <w:t># on Issue List</w:t>
            </w:r>
          </w:p>
        </w:tc>
        <w:tc>
          <w:tcPr>
            <w:tcW w:w="3960" w:type="dxa"/>
            <w:shd w:val="clear" w:color="auto" w:fill="A5A5A5" w:themeFill="accent3"/>
          </w:tcPr>
          <w:p w14:paraId="5581FF71" w14:textId="77777777" w:rsidR="00F70165" w:rsidRPr="00D0546A" w:rsidRDefault="00F70165" w:rsidP="00F93925">
            <w:pPr>
              <w:rPr>
                <w:b/>
                <w:bCs/>
                <w:sz w:val="22"/>
                <w:szCs w:val="22"/>
              </w:rPr>
            </w:pPr>
            <w:r w:rsidRPr="00D0546A">
              <w:rPr>
                <w:b/>
                <w:bCs/>
                <w:sz w:val="22"/>
                <w:szCs w:val="22"/>
              </w:rPr>
              <w:t>Comment (by)</w:t>
            </w:r>
          </w:p>
        </w:tc>
        <w:tc>
          <w:tcPr>
            <w:tcW w:w="3960" w:type="dxa"/>
            <w:shd w:val="clear" w:color="auto" w:fill="A5A5A5" w:themeFill="accent3"/>
          </w:tcPr>
          <w:p w14:paraId="77317627" w14:textId="77777777" w:rsidR="00F70165" w:rsidRPr="00D0546A" w:rsidRDefault="00F70165" w:rsidP="00F93925">
            <w:pPr>
              <w:rPr>
                <w:b/>
                <w:bCs/>
                <w:sz w:val="22"/>
                <w:szCs w:val="22"/>
              </w:rPr>
            </w:pPr>
            <w:r w:rsidRPr="00D0546A">
              <w:rPr>
                <w:b/>
                <w:bCs/>
                <w:sz w:val="22"/>
                <w:szCs w:val="22"/>
              </w:rPr>
              <w:t>Proposed Rewording</w:t>
            </w:r>
            <w:r>
              <w:rPr>
                <w:b/>
                <w:bCs/>
                <w:sz w:val="22"/>
                <w:szCs w:val="22"/>
              </w:rPr>
              <w:t xml:space="preserve"> (in bold)</w:t>
            </w:r>
          </w:p>
        </w:tc>
        <w:tc>
          <w:tcPr>
            <w:tcW w:w="3955" w:type="dxa"/>
            <w:shd w:val="clear" w:color="auto" w:fill="A5A5A5" w:themeFill="accent3"/>
          </w:tcPr>
          <w:p w14:paraId="3F8EA9C8" w14:textId="2A1D4796" w:rsidR="00F70165" w:rsidRPr="00D0546A" w:rsidRDefault="00105452" w:rsidP="00F93925">
            <w:pPr>
              <w:rPr>
                <w:b/>
                <w:bCs/>
                <w:sz w:val="22"/>
                <w:szCs w:val="22"/>
              </w:rPr>
            </w:pPr>
            <w:r>
              <w:rPr>
                <w:b/>
                <w:bCs/>
                <w:sz w:val="22"/>
                <w:szCs w:val="22"/>
              </w:rPr>
              <w:t xml:space="preserve">Leadership </w:t>
            </w:r>
            <w:r w:rsidR="00F70165" w:rsidRPr="00D0546A">
              <w:rPr>
                <w:b/>
                <w:bCs/>
                <w:sz w:val="22"/>
                <w:szCs w:val="22"/>
              </w:rPr>
              <w:t>Notes</w:t>
            </w:r>
          </w:p>
        </w:tc>
      </w:tr>
      <w:tr w:rsidR="00760968" w:rsidRPr="00D0546A" w14:paraId="4B13308E" w14:textId="77777777" w:rsidTr="00222B42">
        <w:tc>
          <w:tcPr>
            <w:tcW w:w="1075" w:type="dxa"/>
            <w:shd w:val="clear" w:color="auto" w:fill="8EAADB" w:themeFill="accent1" w:themeFillTint="99"/>
          </w:tcPr>
          <w:p w14:paraId="273442B4" w14:textId="297CB99C" w:rsidR="00F70165" w:rsidRPr="00D0546A" w:rsidRDefault="00F70165" w:rsidP="00F93925">
            <w:pPr>
              <w:rPr>
                <w:sz w:val="22"/>
                <w:szCs w:val="22"/>
              </w:rPr>
            </w:pPr>
            <w:r>
              <w:rPr>
                <w:sz w:val="22"/>
                <w:szCs w:val="22"/>
              </w:rPr>
              <w:t xml:space="preserve">#36 </w:t>
            </w:r>
          </w:p>
        </w:tc>
        <w:tc>
          <w:tcPr>
            <w:tcW w:w="3960" w:type="dxa"/>
            <w:shd w:val="clear" w:color="auto" w:fill="8EAADB" w:themeFill="accent1" w:themeFillTint="99"/>
          </w:tcPr>
          <w:p w14:paraId="1AEFCB49" w14:textId="58809347" w:rsidR="00F70165" w:rsidRPr="00D0546A" w:rsidRDefault="00F70165" w:rsidP="00F93925">
            <w:pPr>
              <w:rPr>
                <w:sz w:val="22"/>
                <w:szCs w:val="22"/>
              </w:rPr>
            </w:pPr>
            <w:r w:rsidRPr="00205315">
              <w:rPr>
                <w:rFonts w:cstheme="minorHAnsi"/>
                <w:sz w:val="22"/>
                <w:szCs w:val="22"/>
              </w:rPr>
              <w:t>"Urgent" requests (circumstances that pose an imminent threat to life, serious bodily injury, critical infrastructure ((online and offline)) or child exploitation) require a different system. Consider ensuring that normal business hours are prominently posted on the relevant web site along with a dedicated contact number for the exclusive use of urgent requesters to contact the potential disclosing party and notify them of the request. We should also consider how urgent requests should be handled after normal business hours.</w:t>
            </w:r>
            <w:r>
              <w:rPr>
                <w:rFonts w:cstheme="minorHAnsi"/>
                <w:sz w:val="22"/>
                <w:szCs w:val="22"/>
              </w:rPr>
              <w:t xml:space="preserve"> (GAC)</w:t>
            </w:r>
          </w:p>
        </w:tc>
        <w:tc>
          <w:tcPr>
            <w:tcW w:w="3960" w:type="dxa"/>
            <w:shd w:val="clear" w:color="auto" w:fill="8EAADB" w:themeFill="accent1" w:themeFillTint="99"/>
          </w:tcPr>
          <w:p w14:paraId="7C566577" w14:textId="4E87B6D7" w:rsidR="00F70165" w:rsidRPr="00F70165" w:rsidRDefault="00F70165" w:rsidP="00F93925">
            <w:pPr>
              <w:rPr>
                <w:sz w:val="22"/>
                <w:szCs w:val="22"/>
              </w:rPr>
            </w:pPr>
            <w:r w:rsidRPr="00F70165">
              <w:rPr>
                <w:rFonts w:ascii="Calibri" w:hAnsi="Calibri" w:cs="Calibri"/>
                <w:color w:val="000000"/>
                <w:sz w:val="22"/>
                <w:szCs w:val="22"/>
              </w:rPr>
              <w:t>The EPDP Team recommends that, consistent with the EPDP Phase 1 recommendations, the response time for acknowledging receipt of a SSAD request should be without undue delay, but not more than two (2) business days from receipt, unless (</w:t>
            </w:r>
            <w:proofErr w:type="spellStart"/>
            <w:r w:rsidRPr="00F70165">
              <w:rPr>
                <w:rFonts w:ascii="Calibri" w:hAnsi="Calibri" w:cs="Calibri"/>
                <w:color w:val="000000"/>
                <w:sz w:val="22"/>
                <w:szCs w:val="22"/>
              </w:rPr>
              <w:t>i</w:t>
            </w:r>
            <w:proofErr w:type="spellEnd"/>
            <w:r w:rsidRPr="00F70165">
              <w:rPr>
                <w:rFonts w:ascii="Calibri" w:hAnsi="Calibri" w:cs="Calibri"/>
                <w:color w:val="000000"/>
                <w:sz w:val="22"/>
                <w:szCs w:val="22"/>
              </w:rPr>
              <w:t>) shown circumstances do not make this possible or (ii) the SSAD is implemented using technologies which allow instantaneous responses to disclosure requests, in which case, the acknowledgement of receipt must be instantaneous. </w:t>
            </w:r>
          </w:p>
        </w:tc>
        <w:tc>
          <w:tcPr>
            <w:tcW w:w="3955" w:type="dxa"/>
            <w:shd w:val="clear" w:color="auto" w:fill="8EAADB" w:themeFill="accent1" w:themeFillTint="99"/>
          </w:tcPr>
          <w:p w14:paraId="197F7E0B" w14:textId="750A4CE8" w:rsidR="00F70165" w:rsidRPr="00D0546A" w:rsidRDefault="00F70165" w:rsidP="00F93925">
            <w:pPr>
              <w:rPr>
                <w:sz w:val="22"/>
                <w:szCs w:val="22"/>
              </w:rPr>
            </w:pPr>
            <w:r>
              <w:rPr>
                <w:sz w:val="22"/>
                <w:szCs w:val="22"/>
              </w:rPr>
              <w:t xml:space="preserve">Note – </w:t>
            </w:r>
            <w:r w:rsidR="00222B42">
              <w:rPr>
                <w:sz w:val="22"/>
                <w:szCs w:val="22"/>
              </w:rPr>
              <w:t xml:space="preserve">The Registrar Accreditation Agreement already maintains requirements for </w:t>
            </w:r>
            <w:r w:rsidR="00832BA6">
              <w:rPr>
                <w:sz w:val="22"/>
                <w:szCs w:val="22"/>
              </w:rPr>
              <w:t>reports of abusive use in Section 3.18, e.g., “[r]</w:t>
            </w:r>
            <w:proofErr w:type="spellStart"/>
            <w:r w:rsidR="00832BA6" w:rsidRPr="00832BA6">
              <w:rPr>
                <w:sz w:val="22"/>
                <w:szCs w:val="22"/>
              </w:rPr>
              <w:t>egistrar</w:t>
            </w:r>
            <w:proofErr w:type="spellEnd"/>
            <w:r w:rsidR="00832BA6" w:rsidRPr="00832BA6">
              <w:rPr>
                <w:sz w:val="22"/>
                <w:szCs w:val="22"/>
              </w:rPr>
              <w:t xml:space="preserve"> shall maintain an abuse contact to receive reports of abuse involving Registered Names sponsored by Registrar, including reports of Illegal Activity. Registrar shall </w:t>
            </w:r>
            <w:r w:rsidR="00832BA6" w:rsidRPr="00C1737D">
              <w:rPr>
                <w:b/>
                <w:bCs/>
                <w:sz w:val="22"/>
                <w:szCs w:val="22"/>
              </w:rPr>
              <w:t>publish an email address to receive such reports on the home page of Registrar's website</w:t>
            </w:r>
            <w:r w:rsidR="00832BA6" w:rsidRPr="00832BA6">
              <w:rPr>
                <w:sz w:val="22"/>
                <w:szCs w:val="22"/>
              </w:rPr>
              <w:t xml:space="preserve"> (or in another standardized place that may be designated by ICANN from time to time). Registrar shall take reasonable and prompt steps to investigate and respond appropriately to </w:t>
            </w:r>
            <w:r w:rsidR="00832BA6" w:rsidRPr="00832BA6">
              <w:rPr>
                <w:sz w:val="22"/>
                <w:szCs w:val="22"/>
              </w:rPr>
              <w:lastRenderedPageBreak/>
              <w:t>any reports of abuse.</w:t>
            </w:r>
            <w:r w:rsidR="00832BA6">
              <w:rPr>
                <w:sz w:val="22"/>
                <w:szCs w:val="22"/>
              </w:rPr>
              <w:t xml:space="preserve">” </w:t>
            </w:r>
            <w:r>
              <w:rPr>
                <w:sz w:val="22"/>
                <w:szCs w:val="22"/>
              </w:rPr>
              <w:t xml:space="preserve">SLA for urgent request is </w:t>
            </w:r>
            <w:r w:rsidR="00760968">
              <w:rPr>
                <w:sz w:val="22"/>
                <w:szCs w:val="22"/>
              </w:rPr>
              <w:t>dealt with in the response requirements</w:t>
            </w:r>
            <w:r w:rsidR="00832BA6">
              <w:rPr>
                <w:sz w:val="22"/>
                <w:szCs w:val="22"/>
              </w:rPr>
              <w:t xml:space="preserve"> and an updated SLA for urgent requests is included in the Chameleon proposal</w:t>
            </w:r>
            <w:r w:rsidR="00760968">
              <w:rPr>
                <w:sz w:val="22"/>
                <w:szCs w:val="22"/>
              </w:rPr>
              <w:t xml:space="preserve"> section. Consider adding language there that requires CPs to post business hours on the relevant web site along with contact information for the exclusive use of urgent requestors.</w:t>
            </w:r>
          </w:p>
        </w:tc>
      </w:tr>
    </w:tbl>
    <w:p w14:paraId="7502E4E4" w14:textId="04DDFCEB" w:rsidR="00D0546A" w:rsidRDefault="00D0546A"/>
    <w:p w14:paraId="533C68FC" w14:textId="64AC9340" w:rsidR="00760968" w:rsidRDefault="00760968">
      <w:pPr>
        <w:rPr>
          <w:b/>
          <w:bCs/>
        </w:rPr>
      </w:pPr>
      <w:r w:rsidRPr="00760968">
        <w:rPr>
          <w:b/>
          <w:bCs/>
        </w:rPr>
        <w:t>RESPONSE REQUIREMENTS</w:t>
      </w:r>
    </w:p>
    <w:p w14:paraId="4B99DF6E" w14:textId="691D6F5A" w:rsidR="00760968" w:rsidRDefault="00760968">
      <w:pPr>
        <w:rPr>
          <w:b/>
          <w:bCs/>
        </w:rPr>
      </w:pPr>
    </w:p>
    <w:tbl>
      <w:tblPr>
        <w:tblStyle w:val="TableGrid"/>
        <w:tblW w:w="0" w:type="auto"/>
        <w:tblLook w:val="04A0" w:firstRow="1" w:lastRow="0" w:firstColumn="1" w:lastColumn="0" w:noHBand="0" w:noVBand="1"/>
      </w:tblPr>
      <w:tblGrid>
        <w:gridCol w:w="1165"/>
        <w:gridCol w:w="4050"/>
        <w:gridCol w:w="3870"/>
        <w:gridCol w:w="3865"/>
      </w:tblGrid>
      <w:tr w:rsidR="00760968" w:rsidRPr="00D0546A" w14:paraId="6C077C84" w14:textId="77777777" w:rsidTr="00760968">
        <w:trPr>
          <w:tblHeader/>
        </w:trPr>
        <w:tc>
          <w:tcPr>
            <w:tcW w:w="1165" w:type="dxa"/>
            <w:shd w:val="clear" w:color="auto" w:fill="A5A5A5" w:themeFill="accent3"/>
          </w:tcPr>
          <w:p w14:paraId="732C1FEB" w14:textId="70E5FD1B" w:rsidR="00760968" w:rsidRPr="00D0546A" w:rsidRDefault="00760968" w:rsidP="00F93925">
            <w:pPr>
              <w:rPr>
                <w:b/>
                <w:bCs/>
                <w:sz w:val="22"/>
                <w:szCs w:val="22"/>
              </w:rPr>
            </w:pPr>
            <w:r w:rsidRPr="00D0546A">
              <w:rPr>
                <w:b/>
                <w:bCs/>
                <w:sz w:val="22"/>
                <w:szCs w:val="22"/>
              </w:rPr>
              <w:t># on Issue List</w:t>
            </w:r>
          </w:p>
        </w:tc>
        <w:tc>
          <w:tcPr>
            <w:tcW w:w="4050" w:type="dxa"/>
            <w:shd w:val="clear" w:color="auto" w:fill="A5A5A5" w:themeFill="accent3"/>
          </w:tcPr>
          <w:p w14:paraId="7ED16CA2" w14:textId="77777777" w:rsidR="00760968" w:rsidRPr="00D0546A" w:rsidRDefault="00760968" w:rsidP="00F93925">
            <w:pPr>
              <w:rPr>
                <w:b/>
                <w:bCs/>
                <w:sz w:val="22"/>
                <w:szCs w:val="22"/>
              </w:rPr>
            </w:pPr>
            <w:r w:rsidRPr="00D0546A">
              <w:rPr>
                <w:b/>
                <w:bCs/>
                <w:sz w:val="22"/>
                <w:szCs w:val="22"/>
              </w:rPr>
              <w:t>Comment (by)</w:t>
            </w:r>
          </w:p>
        </w:tc>
        <w:tc>
          <w:tcPr>
            <w:tcW w:w="3870" w:type="dxa"/>
            <w:shd w:val="clear" w:color="auto" w:fill="A5A5A5" w:themeFill="accent3"/>
          </w:tcPr>
          <w:p w14:paraId="43418334" w14:textId="77777777" w:rsidR="00760968" w:rsidRPr="00D0546A" w:rsidRDefault="00760968" w:rsidP="00F93925">
            <w:pPr>
              <w:rPr>
                <w:b/>
                <w:bCs/>
                <w:sz w:val="22"/>
                <w:szCs w:val="22"/>
              </w:rPr>
            </w:pPr>
            <w:r w:rsidRPr="00D0546A">
              <w:rPr>
                <w:b/>
                <w:bCs/>
                <w:sz w:val="22"/>
                <w:szCs w:val="22"/>
              </w:rPr>
              <w:t>Proposed Rewording</w:t>
            </w:r>
            <w:r>
              <w:rPr>
                <w:b/>
                <w:bCs/>
                <w:sz w:val="22"/>
                <w:szCs w:val="22"/>
              </w:rPr>
              <w:t xml:space="preserve"> (in bold)</w:t>
            </w:r>
          </w:p>
        </w:tc>
        <w:tc>
          <w:tcPr>
            <w:tcW w:w="3865" w:type="dxa"/>
            <w:shd w:val="clear" w:color="auto" w:fill="A5A5A5" w:themeFill="accent3"/>
          </w:tcPr>
          <w:p w14:paraId="43534193" w14:textId="48ADC607" w:rsidR="00760968" w:rsidRPr="00D0546A" w:rsidRDefault="00105452" w:rsidP="00F93925">
            <w:pPr>
              <w:rPr>
                <w:b/>
                <w:bCs/>
                <w:sz w:val="22"/>
                <w:szCs w:val="22"/>
              </w:rPr>
            </w:pPr>
            <w:r>
              <w:rPr>
                <w:b/>
                <w:bCs/>
                <w:sz w:val="22"/>
                <w:szCs w:val="22"/>
              </w:rPr>
              <w:t xml:space="preserve">Leadership </w:t>
            </w:r>
            <w:r w:rsidR="00760968" w:rsidRPr="00D0546A">
              <w:rPr>
                <w:b/>
                <w:bCs/>
                <w:sz w:val="22"/>
                <w:szCs w:val="22"/>
              </w:rPr>
              <w:t>Notes</w:t>
            </w:r>
          </w:p>
        </w:tc>
      </w:tr>
      <w:tr w:rsidR="00760968" w:rsidRPr="00D0546A" w14:paraId="5D8813CC" w14:textId="77777777" w:rsidTr="00222B42">
        <w:tc>
          <w:tcPr>
            <w:tcW w:w="1165" w:type="dxa"/>
            <w:shd w:val="clear" w:color="auto" w:fill="8EAADB" w:themeFill="accent1" w:themeFillTint="99"/>
          </w:tcPr>
          <w:p w14:paraId="7640C52B" w14:textId="0C2BFF44" w:rsidR="00760968" w:rsidRPr="00D0546A" w:rsidRDefault="00760968" w:rsidP="00F93925">
            <w:pPr>
              <w:rPr>
                <w:sz w:val="22"/>
                <w:szCs w:val="22"/>
              </w:rPr>
            </w:pPr>
            <w:r>
              <w:rPr>
                <w:sz w:val="22"/>
                <w:szCs w:val="22"/>
              </w:rPr>
              <w:t>#45</w:t>
            </w:r>
          </w:p>
        </w:tc>
        <w:tc>
          <w:tcPr>
            <w:tcW w:w="4050" w:type="dxa"/>
            <w:shd w:val="clear" w:color="auto" w:fill="8EAADB" w:themeFill="accent1" w:themeFillTint="99"/>
          </w:tcPr>
          <w:p w14:paraId="2DA987FB" w14:textId="77777777" w:rsidR="00760968" w:rsidRDefault="00760968" w:rsidP="00760968">
            <w:pPr>
              <w:rPr>
                <w:rFonts w:cstheme="minorHAnsi"/>
                <w:sz w:val="22"/>
                <w:szCs w:val="22"/>
              </w:rPr>
            </w:pPr>
            <w:r w:rsidRPr="00AF7278">
              <w:rPr>
                <w:rFonts w:cstheme="minorHAnsi"/>
                <w:sz w:val="22"/>
                <w:szCs w:val="22"/>
              </w:rPr>
              <w:t>Suggestion from Brian King: We should insert language akin to that in the P/P policy "Disclosure cannot be refused solely for lack of any of the following: (</w:t>
            </w:r>
            <w:proofErr w:type="spellStart"/>
            <w:r w:rsidRPr="00AF7278">
              <w:rPr>
                <w:rFonts w:cstheme="minorHAnsi"/>
                <w:sz w:val="22"/>
                <w:szCs w:val="22"/>
              </w:rPr>
              <w:t>i</w:t>
            </w:r>
            <w:proofErr w:type="spellEnd"/>
            <w:r w:rsidRPr="00AF7278">
              <w:rPr>
                <w:rFonts w:cstheme="minorHAnsi"/>
                <w:sz w:val="22"/>
                <w:szCs w:val="22"/>
              </w:rPr>
              <w:t>) a court order; (ii) a subpoena; (iii) a pending civil action; or (iv) a UDRP or URS proceeding; nor can refusal to disclose be solely based on the fact that the Request is founded on alleged intellectual property infringement in content on a website associated with the domain name."</w:t>
            </w:r>
          </w:p>
          <w:p w14:paraId="5BD271E9" w14:textId="77777777" w:rsidR="00760968" w:rsidRDefault="00760968" w:rsidP="00760968"/>
          <w:p w14:paraId="54EBA540" w14:textId="77777777" w:rsidR="00760968" w:rsidRDefault="00760968" w:rsidP="00760968">
            <w:pPr>
              <w:rPr>
                <w:rFonts w:cstheme="minorHAnsi"/>
                <w:sz w:val="22"/>
                <w:szCs w:val="22"/>
              </w:rPr>
            </w:pPr>
            <w:r w:rsidRPr="00AF7278">
              <w:rPr>
                <w:rFonts w:cstheme="minorHAnsi"/>
                <w:sz w:val="22"/>
                <w:szCs w:val="22"/>
              </w:rPr>
              <w:t>I see no reason for our policy to categorically eliminate what in some cases could be perfectly valid reasons not to disclose. The last part (IP infringement in content on a website)</w:t>
            </w:r>
            <w:r>
              <w:rPr>
                <w:rFonts w:cstheme="minorHAnsi"/>
                <w:sz w:val="22"/>
                <w:szCs w:val="22"/>
              </w:rPr>
              <w:t xml:space="preserve"> </w:t>
            </w:r>
            <w:r w:rsidRPr="00AF7278">
              <w:rPr>
                <w:rFonts w:cstheme="minorHAnsi"/>
                <w:sz w:val="22"/>
                <w:szCs w:val="22"/>
              </w:rPr>
              <w:t>(NCSG)</w:t>
            </w:r>
          </w:p>
          <w:p w14:paraId="6F2F6D1A" w14:textId="77777777" w:rsidR="00760968" w:rsidRDefault="00760968" w:rsidP="00760968">
            <w:pPr>
              <w:rPr>
                <w:rFonts w:cstheme="minorHAnsi"/>
                <w:sz w:val="22"/>
                <w:szCs w:val="22"/>
              </w:rPr>
            </w:pPr>
          </w:p>
          <w:p w14:paraId="09796B05" w14:textId="77777777" w:rsidR="00760968" w:rsidRDefault="00760968" w:rsidP="00760968">
            <w:pPr>
              <w:rPr>
                <w:rFonts w:cstheme="minorHAnsi"/>
                <w:sz w:val="22"/>
                <w:szCs w:val="22"/>
              </w:rPr>
            </w:pPr>
            <w:r>
              <w:rPr>
                <w:rFonts w:cstheme="minorHAnsi"/>
                <w:sz w:val="22"/>
                <w:szCs w:val="22"/>
              </w:rPr>
              <w:t xml:space="preserve">‘For </w:t>
            </w:r>
            <w:proofErr w:type="gramStart"/>
            <w:r>
              <w:rPr>
                <w:rFonts w:cstheme="minorHAnsi"/>
                <w:sz w:val="22"/>
                <w:szCs w:val="22"/>
              </w:rPr>
              <w:t>example</w:t>
            </w:r>
            <w:proofErr w:type="gramEnd"/>
            <w:r>
              <w:rPr>
                <w:rFonts w:cstheme="minorHAnsi"/>
                <w:sz w:val="22"/>
                <w:szCs w:val="22"/>
              </w:rPr>
              <w:t>’ – delete (IPC)</w:t>
            </w:r>
          </w:p>
          <w:p w14:paraId="120B59F0" w14:textId="77777777" w:rsidR="00760968" w:rsidRDefault="00760968" w:rsidP="00760968">
            <w:pPr>
              <w:rPr>
                <w:rFonts w:cstheme="minorHAnsi"/>
                <w:sz w:val="22"/>
                <w:szCs w:val="22"/>
              </w:rPr>
            </w:pPr>
          </w:p>
          <w:p w14:paraId="2DD8EE25" w14:textId="58860BBA" w:rsidR="00760968" w:rsidRPr="00D0546A" w:rsidRDefault="00760968" w:rsidP="00760968">
            <w:pPr>
              <w:rPr>
                <w:sz w:val="22"/>
                <w:szCs w:val="22"/>
              </w:rPr>
            </w:pPr>
            <w:r>
              <w:rPr>
                <w:rFonts w:cstheme="minorHAnsi"/>
                <w:sz w:val="22"/>
                <w:szCs w:val="22"/>
              </w:rPr>
              <w:t>Insert</w:t>
            </w:r>
            <w:r w:rsidRPr="00B3310D">
              <w:rPr>
                <w:rFonts w:cstheme="minorHAnsi"/>
                <w:sz w:val="22"/>
                <w:szCs w:val="22"/>
              </w:rPr>
              <w:t>: if the request was denied, in whole or in part, because the requested data is already publicly available, the response should indicate exactly where.</w:t>
            </w:r>
            <w:r>
              <w:rPr>
                <w:rFonts w:cstheme="minorHAnsi"/>
                <w:sz w:val="22"/>
                <w:szCs w:val="22"/>
              </w:rPr>
              <w:t xml:space="preserve"> (IPC)</w:t>
            </w:r>
          </w:p>
        </w:tc>
        <w:tc>
          <w:tcPr>
            <w:tcW w:w="3870" w:type="dxa"/>
            <w:shd w:val="clear" w:color="auto" w:fill="8EAADB" w:themeFill="accent1" w:themeFillTint="99"/>
          </w:tcPr>
          <w:p w14:paraId="7634CE17" w14:textId="24872D8A" w:rsidR="00760968" w:rsidRPr="00F70165" w:rsidRDefault="00760968" w:rsidP="00F93925">
            <w:pPr>
              <w:rPr>
                <w:sz w:val="22"/>
                <w:szCs w:val="22"/>
              </w:rPr>
            </w:pPr>
            <w:r>
              <w:rPr>
                <w:rFonts w:ascii="Calibri" w:hAnsi="Calibri" w:cs="Calibri"/>
                <w:color w:val="000000"/>
                <w:sz w:val="22"/>
                <w:szCs w:val="22"/>
              </w:rPr>
              <w:lastRenderedPageBreak/>
              <w:t xml:space="preserve">Current language: </w:t>
            </w:r>
            <w:r w:rsidRPr="00AF7278">
              <w:rPr>
                <w:rFonts w:ascii="Calibri" w:hAnsi="Calibri" w:cs="Calibri"/>
                <w:color w:val="000000"/>
                <w:sz w:val="22"/>
                <w:szCs w:val="22"/>
              </w:rPr>
              <w:t xml:space="preserve">d. Responses where disclosure of data (in whole or in part) has been denied should </w:t>
            </w:r>
            <w:proofErr w:type="gramStart"/>
            <w:r w:rsidRPr="00AF7278">
              <w:rPr>
                <w:rFonts w:ascii="Calibri" w:hAnsi="Calibri" w:cs="Calibri"/>
                <w:color w:val="000000"/>
                <w:sz w:val="22"/>
                <w:szCs w:val="22"/>
              </w:rPr>
              <w:t>include:</w:t>
            </w:r>
            <w:proofErr w:type="gramEnd"/>
            <w:r w:rsidRPr="00AF7278">
              <w:rPr>
                <w:rFonts w:ascii="Calibri" w:hAnsi="Calibri" w:cs="Calibri"/>
                <w:color w:val="000000"/>
                <w:sz w:val="22"/>
                <w:szCs w:val="22"/>
              </w:rPr>
              <w:t xml:space="preserve"> rationale sufficient for the requestor to understand the reasons for the decision, including, for example, an analysis and explanation of how the balancing test was applied (if applicable). Additionally, in its response, the entity receiving the access/disclosure request must include information on how public registration data can be obtained.</w:t>
            </w:r>
          </w:p>
        </w:tc>
        <w:tc>
          <w:tcPr>
            <w:tcW w:w="3865" w:type="dxa"/>
            <w:shd w:val="clear" w:color="auto" w:fill="8EAADB" w:themeFill="accent1" w:themeFillTint="99"/>
          </w:tcPr>
          <w:p w14:paraId="62D34196" w14:textId="3A89CAF0" w:rsidR="00760968" w:rsidRPr="00760968" w:rsidRDefault="00760968" w:rsidP="00F93925">
            <w:pPr>
              <w:rPr>
                <w:sz w:val="22"/>
                <w:szCs w:val="22"/>
              </w:rPr>
            </w:pPr>
            <w:r w:rsidRPr="00760968">
              <w:rPr>
                <w:rFonts w:cstheme="minorHAnsi"/>
                <w:sz w:val="22"/>
                <w:szCs w:val="22"/>
              </w:rPr>
              <w:t>EPDP Team to consider but it appears to go too far to include in policy for which reasons disclosure cannot be refused as each case may be different?</w:t>
            </w:r>
          </w:p>
        </w:tc>
      </w:tr>
      <w:tr w:rsidR="00105452" w:rsidRPr="00D0546A" w14:paraId="7EDEE2A3" w14:textId="77777777" w:rsidTr="00760968">
        <w:tc>
          <w:tcPr>
            <w:tcW w:w="1165" w:type="dxa"/>
          </w:tcPr>
          <w:p w14:paraId="2E6C4CC2" w14:textId="02FBC1CC" w:rsidR="00105452" w:rsidRDefault="00105452" w:rsidP="00F93925">
            <w:pPr>
              <w:rPr>
                <w:sz w:val="22"/>
                <w:szCs w:val="22"/>
              </w:rPr>
            </w:pPr>
            <w:r>
              <w:rPr>
                <w:sz w:val="22"/>
                <w:szCs w:val="22"/>
              </w:rPr>
              <w:t>#46</w:t>
            </w:r>
          </w:p>
        </w:tc>
        <w:tc>
          <w:tcPr>
            <w:tcW w:w="4050" w:type="dxa"/>
          </w:tcPr>
          <w:p w14:paraId="47A970A4" w14:textId="77777777" w:rsidR="00105452" w:rsidRPr="006B4810" w:rsidRDefault="00105452" w:rsidP="00105452">
            <w:pPr>
              <w:rPr>
                <w:rFonts w:cstheme="minorHAnsi"/>
                <w:sz w:val="22"/>
                <w:szCs w:val="22"/>
              </w:rPr>
            </w:pPr>
            <w:r w:rsidRPr="006B4810">
              <w:rPr>
                <w:rFonts w:cstheme="minorHAnsi"/>
                <w:sz w:val="22"/>
                <w:szCs w:val="22"/>
              </w:rPr>
              <w:t>Suggestion from Daniel Halloran: Should this be ‘OR’?</w:t>
            </w:r>
          </w:p>
          <w:p w14:paraId="4A530CEF" w14:textId="77777777" w:rsidR="00105452" w:rsidRDefault="00105452" w:rsidP="00105452">
            <w:pPr>
              <w:rPr>
                <w:rFonts w:cstheme="minorHAnsi"/>
                <w:sz w:val="22"/>
                <w:szCs w:val="22"/>
              </w:rPr>
            </w:pPr>
          </w:p>
          <w:p w14:paraId="6F23FFFE" w14:textId="77777777" w:rsidR="00105452" w:rsidRDefault="00105452" w:rsidP="00105452">
            <w:pPr>
              <w:rPr>
                <w:rFonts w:cstheme="minorHAnsi"/>
                <w:sz w:val="22"/>
                <w:szCs w:val="22"/>
              </w:rPr>
            </w:pPr>
            <w:r w:rsidRPr="006B4810">
              <w:rPr>
                <w:rFonts w:cstheme="minorHAnsi"/>
                <w:sz w:val="22"/>
                <w:szCs w:val="22"/>
              </w:rPr>
              <w:t>It definitely should be OR (NCSG)</w:t>
            </w:r>
          </w:p>
          <w:p w14:paraId="5320A4F0" w14:textId="77777777" w:rsidR="00105452" w:rsidRPr="00B3310D" w:rsidRDefault="00105452" w:rsidP="00105452">
            <w:pPr>
              <w:rPr>
                <w:rFonts w:cstheme="minorHAnsi"/>
                <w:sz w:val="22"/>
                <w:szCs w:val="22"/>
              </w:rPr>
            </w:pPr>
          </w:p>
          <w:p w14:paraId="0BC9846C" w14:textId="26647A28" w:rsidR="00105452" w:rsidRPr="00AF7278" w:rsidRDefault="00105452" w:rsidP="00105452">
            <w:pPr>
              <w:rPr>
                <w:rFonts w:cstheme="minorHAnsi"/>
                <w:sz w:val="22"/>
                <w:szCs w:val="22"/>
              </w:rPr>
            </w:pPr>
            <w:r w:rsidRPr="00B3310D">
              <w:rPr>
                <w:rFonts w:cstheme="minorHAnsi"/>
                <w:sz w:val="22"/>
                <w:szCs w:val="22"/>
              </w:rPr>
              <w:t xml:space="preserve">“OR” makes more sense here. If we’re trying to address two separate scenarios, it probably makes sense to make </w:t>
            </w:r>
            <w:proofErr w:type="gramStart"/>
            <w:r w:rsidRPr="00B3310D">
              <w:rPr>
                <w:rFonts w:cstheme="minorHAnsi"/>
                <w:sz w:val="22"/>
                <w:szCs w:val="22"/>
              </w:rPr>
              <w:t>this two sentences</w:t>
            </w:r>
            <w:proofErr w:type="gramEnd"/>
            <w:r w:rsidRPr="00B3310D">
              <w:rPr>
                <w:rFonts w:cstheme="minorHAnsi"/>
                <w:sz w:val="22"/>
                <w:szCs w:val="22"/>
              </w:rPr>
              <w:t>. Disclosure shouldn’t “result in inconsistency with these policy recommendations” in any situation I can envision – what scenario are we trying to address with this language? (IPC)</w:t>
            </w:r>
          </w:p>
        </w:tc>
        <w:tc>
          <w:tcPr>
            <w:tcW w:w="3870" w:type="dxa"/>
          </w:tcPr>
          <w:p w14:paraId="4CE9E3D2" w14:textId="3069C7D0" w:rsidR="00105452" w:rsidRDefault="00105452" w:rsidP="00F93925">
            <w:pPr>
              <w:rPr>
                <w:rFonts w:ascii="Calibri" w:hAnsi="Calibri" w:cs="Calibri"/>
                <w:color w:val="000000"/>
                <w:sz w:val="22"/>
                <w:szCs w:val="22"/>
              </w:rPr>
            </w:pPr>
            <w:r w:rsidRPr="006B4810">
              <w:rPr>
                <w:rFonts w:ascii="Calibri" w:hAnsi="Calibri" w:cs="Calibri"/>
                <w:color w:val="000000"/>
                <w:sz w:val="22"/>
                <w:szCs w:val="22"/>
              </w:rPr>
              <w:t xml:space="preserve">The EPDP Team recommends that if </w:t>
            </w:r>
            <w:r w:rsidRPr="00105452">
              <w:rPr>
                <w:rFonts w:ascii="Calibri" w:hAnsi="Calibri" w:cs="Calibri"/>
                <w:strike/>
                <w:color w:val="000000"/>
                <w:sz w:val="22"/>
                <w:szCs w:val="22"/>
              </w:rPr>
              <w:t>the entity disclosing the data</w:t>
            </w:r>
            <w:r w:rsidRPr="006B4810">
              <w:rPr>
                <w:rFonts w:ascii="Calibri" w:hAnsi="Calibri" w:cs="Calibri"/>
                <w:color w:val="000000"/>
                <w:sz w:val="22"/>
                <w:szCs w:val="22"/>
              </w:rPr>
              <w:t xml:space="preserve"> </w:t>
            </w:r>
            <w:r>
              <w:rPr>
                <w:rFonts w:ascii="Calibri" w:hAnsi="Calibri" w:cs="Calibri"/>
                <w:b/>
                <w:bCs/>
                <w:color w:val="000000"/>
                <w:sz w:val="22"/>
                <w:szCs w:val="22"/>
              </w:rPr>
              <w:t xml:space="preserve">a Contracted Party </w:t>
            </w:r>
            <w:r w:rsidRPr="006B4810">
              <w:rPr>
                <w:rFonts w:ascii="Calibri" w:hAnsi="Calibri" w:cs="Calibri"/>
                <w:color w:val="000000"/>
                <w:sz w:val="22"/>
                <w:szCs w:val="22"/>
              </w:rPr>
              <w:t xml:space="preserve">determines that disclosure would be in violation of applicable laws </w:t>
            </w:r>
            <w:r w:rsidRPr="00105452">
              <w:rPr>
                <w:rFonts w:ascii="Calibri" w:hAnsi="Calibri" w:cs="Calibri"/>
                <w:strike/>
                <w:color w:val="000000"/>
                <w:sz w:val="22"/>
                <w:szCs w:val="22"/>
              </w:rPr>
              <w:t>AND</w:t>
            </w:r>
            <w:r w:rsidRPr="006B4810">
              <w:rPr>
                <w:rFonts w:ascii="Calibri" w:hAnsi="Calibri" w:cs="Calibri"/>
                <w:color w:val="000000"/>
                <w:sz w:val="22"/>
                <w:szCs w:val="22"/>
              </w:rPr>
              <w:t xml:space="preserve"> </w:t>
            </w:r>
            <w:proofErr w:type="spellStart"/>
            <w:r>
              <w:rPr>
                <w:rFonts w:ascii="Calibri" w:hAnsi="Calibri" w:cs="Calibri"/>
                <w:b/>
                <w:bCs/>
                <w:color w:val="000000"/>
                <w:sz w:val="22"/>
                <w:szCs w:val="22"/>
              </w:rPr>
              <w:t>and</w:t>
            </w:r>
            <w:proofErr w:type="spellEnd"/>
            <w:r>
              <w:rPr>
                <w:rFonts w:ascii="Calibri" w:hAnsi="Calibri" w:cs="Calibri"/>
                <w:b/>
                <w:bCs/>
                <w:color w:val="000000"/>
                <w:sz w:val="22"/>
                <w:szCs w:val="22"/>
              </w:rPr>
              <w:t xml:space="preserve"> consequently </w:t>
            </w:r>
            <w:r w:rsidRPr="006B4810">
              <w:rPr>
                <w:rFonts w:ascii="Calibri" w:hAnsi="Calibri" w:cs="Calibri"/>
                <w:color w:val="000000"/>
                <w:sz w:val="22"/>
                <w:szCs w:val="22"/>
              </w:rPr>
              <w:t xml:space="preserve">result in inconsistency with these policy recommendations, the </w:t>
            </w:r>
            <w:r w:rsidRPr="00105452">
              <w:rPr>
                <w:rFonts w:ascii="Calibri" w:hAnsi="Calibri" w:cs="Calibri"/>
                <w:strike/>
                <w:color w:val="000000"/>
                <w:sz w:val="22"/>
                <w:szCs w:val="22"/>
              </w:rPr>
              <w:t>entity disclosing the data</w:t>
            </w:r>
            <w:r w:rsidRPr="006B4810">
              <w:rPr>
                <w:rFonts w:ascii="Calibri" w:hAnsi="Calibri" w:cs="Calibri"/>
                <w:color w:val="000000"/>
                <w:sz w:val="22"/>
                <w:szCs w:val="22"/>
              </w:rPr>
              <w:t xml:space="preserve"> </w:t>
            </w:r>
            <w:r>
              <w:rPr>
                <w:rFonts w:ascii="Calibri" w:hAnsi="Calibri" w:cs="Calibri"/>
                <w:b/>
                <w:bCs/>
                <w:color w:val="000000"/>
                <w:sz w:val="22"/>
                <w:szCs w:val="22"/>
              </w:rPr>
              <w:t xml:space="preserve">Contracted Party </w:t>
            </w:r>
            <w:r w:rsidRPr="006B4810">
              <w:rPr>
                <w:rFonts w:ascii="Calibri" w:hAnsi="Calibri" w:cs="Calibri"/>
                <w:color w:val="000000"/>
                <w:sz w:val="22"/>
                <w:szCs w:val="22"/>
              </w:rPr>
              <w:t>must document the rationale and communicate this information to the requestor and ICANN Compliance (if requested).</w:t>
            </w:r>
          </w:p>
        </w:tc>
        <w:tc>
          <w:tcPr>
            <w:tcW w:w="3865" w:type="dxa"/>
          </w:tcPr>
          <w:p w14:paraId="43D5DF28" w14:textId="6382EBC8" w:rsidR="00105452" w:rsidRPr="00105452" w:rsidRDefault="00105452" w:rsidP="00F93925">
            <w:pPr>
              <w:rPr>
                <w:rFonts w:cstheme="minorHAnsi"/>
                <w:sz w:val="22"/>
                <w:szCs w:val="22"/>
              </w:rPr>
            </w:pPr>
            <w:r w:rsidRPr="00105452">
              <w:rPr>
                <w:rFonts w:cstheme="minorHAnsi"/>
                <w:sz w:val="22"/>
                <w:szCs w:val="22"/>
              </w:rPr>
              <w:t>Changing this to or seems to change the meaning of the original intent – alternative wording proposed.</w:t>
            </w:r>
          </w:p>
        </w:tc>
      </w:tr>
      <w:tr w:rsidR="00105452" w:rsidRPr="00D0546A" w14:paraId="08D36BA3" w14:textId="77777777" w:rsidTr="00222B42">
        <w:tc>
          <w:tcPr>
            <w:tcW w:w="1165" w:type="dxa"/>
            <w:shd w:val="clear" w:color="auto" w:fill="8EAADB" w:themeFill="accent1" w:themeFillTint="99"/>
          </w:tcPr>
          <w:p w14:paraId="3748745D" w14:textId="6190793F" w:rsidR="00105452" w:rsidRDefault="00105452" w:rsidP="00F93925">
            <w:pPr>
              <w:rPr>
                <w:sz w:val="22"/>
                <w:szCs w:val="22"/>
              </w:rPr>
            </w:pPr>
            <w:r>
              <w:rPr>
                <w:sz w:val="22"/>
                <w:szCs w:val="22"/>
              </w:rPr>
              <w:t>#47</w:t>
            </w:r>
          </w:p>
        </w:tc>
        <w:tc>
          <w:tcPr>
            <w:tcW w:w="4050" w:type="dxa"/>
            <w:shd w:val="clear" w:color="auto" w:fill="8EAADB" w:themeFill="accent1" w:themeFillTint="99"/>
          </w:tcPr>
          <w:p w14:paraId="71A4F21E" w14:textId="31D4FC3F" w:rsidR="00105452" w:rsidRPr="006B4810" w:rsidRDefault="00105452" w:rsidP="00105452">
            <w:pPr>
              <w:rPr>
                <w:rFonts w:cstheme="minorHAnsi"/>
                <w:sz w:val="22"/>
                <w:szCs w:val="22"/>
              </w:rPr>
            </w:pPr>
            <w:r w:rsidRPr="00C60B34">
              <w:rPr>
                <w:rFonts w:ascii="Calibri" w:hAnsi="Calibri" w:cs="Calibri"/>
                <w:color w:val="000000"/>
                <w:sz w:val="22"/>
                <w:szCs w:val="22"/>
              </w:rPr>
              <w:t>The section on Implementation Guidance starting at the bottom of p.27 seems to be mostly duplicative of other parts of the report. We suggest deleting it. (ISPCP)</w:t>
            </w:r>
          </w:p>
        </w:tc>
        <w:tc>
          <w:tcPr>
            <w:tcW w:w="3870" w:type="dxa"/>
            <w:shd w:val="clear" w:color="auto" w:fill="8EAADB" w:themeFill="accent1" w:themeFillTint="99"/>
          </w:tcPr>
          <w:p w14:paraId="5FFFB376" w14:textId="62EC9845" w:rsidR="00105452" w:rsidRPr="00C60B34" w:rsidRDefault="00105452" w:rsidP="00105452">
            <w:pPr>
              <w:pStyle w:val="NormalWeb"/>
              <w:spacing w:before="0" w:beforeAutospacing="0" w:after="0" w:afterAutospacing="0"/>
              <w:rPr>
                <w:sz w:val="22"/>
                <w:szCs w:val="22"/>
              </w:rPr>
            </w:pPr>
            <w:r>
              <w:rPr>
                <w:rFonts w:ascii="Calibri" w:hAnsi="Calibri" w:cs="Calibri"/>
                <w:color w:val="000000"/>
                <w:sz w:val="22"/>
                <w:szCs w:val="22"/>
              </w:rPr>
              <w:t xml:space="preserve">Current language: </w:t>
            </w:r>
            <w:r w:rsidRPr="00C60B34">
              <w:rPr>
                <w:rFonts w:ascii="Calibri" w:hAnsi="Calibri" w:cs="Calibri"/>
                <w:color w:val="000000"/>
                <w:sz w:val="22"/>
                <w:szCs w:val="22"/>
              </w:rPr>
              <w:t>Implementation Guidance:</w:t>
            </w:r>
          </w:p>
          <w:p w14:paraId="6F94A00A" w14:textId="77777777" w:rsidR="00105452" w:rsidRPr="00C60B34" w:rsidRDefault="00105452" w:rsidP="00105452">
            <w:pPr>
              <w:pStyle w:val="NormalWeb"/>
              <w:numPr>
                <w:ilvl w:val="0"/>
                <w:numId w:val="2"/>
              </w:numPr>
              <w:spacing w:before="0" w:beforeAutospacing="0" w:after="0" w:afterAutospacing="0"/>
              <w:textAlignment w:val="baseline"/>
              <w:rPr>
                <w:rFonts w:ascii="Calibri" w:hAnsi="Calibri" w:cs="Calibri"/>
                <w:color w:val="000000"/>
                <w:sz w:val="22"/>
                <w:szCs w:val="22"/>
              </w:rPr>
            </w:pPr>
            <w:r w:rsidRPr="00C60B34">
              <w:rPr>
                <w:rFonts w:ascii="Calibri" w:hAnsi="Calibri" w:cs="Calibri"/>
                <w:color w:val="000000"/>
                <w:sz w:val="22"/>
                <w:szCs w:val="22"/>
              </w:rPr>
              <w:t>The entity receiving the access/disclosure request must confirm that the request is syntactically correct, including proper and valid Authentication and Authorization</w:t>
            </w:r>
            <w:r>
              <w:rPr>
                <w:rFonts w:ascii="Calibri" w:hAnsi="Calibri" w:cs="Calibri"/>
                <w:color w:val="000000"/>
                <w:sz w:val="22"/>
                <w:szCs w:val="22"/>
              </w:rPr>
              <w:t xml:space="preserve"> Credentials. </w:t>
            </w:r>
            <w:r w:rsidRPr="00C60B34">
              <w:rPr>
                <w:rFonts w:ascii="Calibri" w:hAnsi="Calibri" w:cs="Calibri"/>
                <w:color w:val="000000"/>
                <w:sz w:val="22"/>
                <w:szCs w:val="22"/>
              </w:rPr>
              <w:t xml:space="preserve">Should the entity receiving the access/disclosure request establish that the request is syntactically incorrect, the entity receiving the access/disclosure request must reply </w:t>
            </w:r>
            <w:r w:rsidRPr="00C60B34">
              <w:rPr>
                <w:rFonts w:ascii="Calibri" w:hAnsi="Calibri" w:cs="Calibri"/>
                <w:color w:val="000000"/>
                <w:sz w:val="22"/>
                <w:szCs w:val="22"/>
              </w:rPr>
              <w:lastRenderedPageBreak/>
              <w:t>with an error response to the requestor detailing the errors that have been detected. </w:t>
            </w:r>
          </w:p>
          <w:p w14:paraId="33CC883C" w14:textId="77777777" w:rsidR="00105452" w:rsidRPr="00C60B34" w:rsidRDefault="00105452" w:rsidP="00105452">
            <w:pPr>
              <w:pStyle w:val="NormalWeb"/>
              <w:numPr>
                <w:ilvl w:val="0"/>
                <w:numId w:val="2"/>
              </w:numPr>
              <w:spacing w:before="0" w:beforeAutospacing="0" w:after="0" w:afterAutospacing="0"/>
              <w:textAlignment w:val="baseline"/>
              <w:rPr>
                <w:rFonts w:ascii="Calibri" w:hAnsi="Calibri" w:cs="Calibri"/>
                <w:color w:val="000000"/>
                <w:sz w:val="22"/>
                <w:szCs w:val="22"/>
              </w:rPr>
            </w:pPr>
            <w:r w:rsidRPr="00C60B34">
              <w:rPr>
                <w:rFonts w:ascii="Calibri" w:hAnsi="Calibri" w:cs="Calibri"/>
                <w:color w:val="000000"/>
                <w:sz w:val="22"/>
                <w:szCs w:val="22"/>
              </w:rPr>
              <w:t>Should the entity receiving the access/disclosure request establish that the request is incomplete, the entity receiving the access/disclosure request must reply with an incomplete request response to the requestor detailing which data required by policy is missing, providing an opportunity for the requestor to amend its request.</w:t>
            </w:r>
          </w:p>
          <w:p w14:paraId="48932F27" w14:textId="77777777" w:rsidR="00105452" w:rsidRPr="00C60B34" w:rsidRDefault="00105452" w:rsidP="00105452">
            <w:pPr>
              <w:pStyle w:val="NormalWeb"/>
              <w:numPr>
                <w:ilvl w:val="0"/>
                <w:numId w:val="2"/>
              </w:numPr>
              <w:spacing w:before="0" w:beforeAutospacing="0" w:after="0" w:afterAutospacing="0"/>
              <w:textAlignment w:val="baseline"/>
              <w:rPr>
                <w:rFonts w:ascii="Calibri" w:hAnsi="Calibri" w:cs="Calibri"/>
                <w:color w:val="000000"/>
                <w:sz w:val="22"/>
                <w:szCs w:val="22"/>
              </w:rPr>
            </w:pPr>
            <w:proofErr w:type="gramStart"/>
            <w:r w:rsidRPr="00C60B34">
              <w:rPr>
                <w:rFonts w:ascii="Calibri" w:hAnsi="Calibri" w:cs="Calibri"/>
                <w:color w:val="000000"/>
                <w:sz w:val="22"/>
                <w:szCs w:val="22"/>
              </w:rPr>
              <w:t>Typically</w:t>
            </w:r>
            <w:proofErr w:type="gramEnd"/>
            <w:r w:rsidRPr="00C60B34">
              <w:rPr>
                <w:rFonts w:ascii="Calibri" w:hAnsi="Calibri" w:cs="Calibri"/>
                <w:color w:val="000000"/>
                <w:sz w:val="22"/>
                <w:szCs w:val="22"/>
              </w:rPr>
              <w:t xml:space="preserve"> the acknowledgement response will include a “ticket number” or unique identifier to allow for future interactions with the SSAD.  </w:t>
            </w:r>
          </w:p>
          <w:p w14:paraId="5FE95D09" w14:textId="5184BE56" w:rsidR="00105452" w:rsidRPr="006B4810" w:rsidRDefault="00105452" w:rsidP="00105452">
            <w:pPr>
              <w:rPr>
                <w:rFonts w:ascii="Calibri" w:hAnsi="Calibri" w:cs="Calibri"/>
                <w:color w:val="000000"/>
                <w:sz w:val="22"/>
                <w:szCs w:val="22"/>
              </w:rPr>
            </w:pPr>
            <w:r w:rsidRPr="00C60B34">
              <w:rPr>
                <w:rFonts w:ascii="Calibri" w:hAnsi="Calibri" w:cs="Calibri"/>
                <w:color w:val="000000"/>
                <w:sz w:val="22"/>
                <w:szCs w:val="22"/>
              </w:rPr>
              <w:t xml:space="preserve">An example of online critical infrastructure includes root servers; an example of offline critical infrastructure includes bridges. </w:t>
            </w:r>
            <w:r w:rsidRPr="00105452">
              <w:rPr>
                <w:rFonts w:ascii="Calibri" w:hAnsi="Calibri" w:cs="Calibri"/>
                <w:color w:val="000000"/>
                <w:sz w:val="22"/>
                <w:szCs w:val="22"/>
              </w:rPr>
              <w:t>[examples to be provided by the EPDP Team]</w:t>
            </w:r>
          </w:p>
        </w:tc>
        <w:tc>
          <w:tcPr>
            <w:tcW w:w="3865" w:type="dxa"/>
            <w:shd w:val="clear" w:color="auto" w:fill="8EAADB" w:themeFill="accent1" w:themeFillTint="99"/>
          </w:tcPr>
          <w:p w14:paraId="16A31117" w14:textId="0577A062" w:rsidR="00105452" w:rsidRPr="00105452" w:rsidRDefault="00105452" w:rsidP="00F93925">
            <w:pPr>
              <w:rPr>
                <w:rFonts w:cstheme="minorHAnsi"/>
                <w:sz w:val="22"/>
                <w:szCs w:val="22"/>
              </w:rPr>
            </w:pPr>
            <w:r w:rsidRPr="00105452">
              <w:rPr>
                <w:rFonts w:cstheme="minorHAnsi"/>
                <w:sz w:val="22"/>
                <w:szCs w:val="22"/>
              </w:rPr>
              <w:lastRenderedPageBreak/>
              <w:t>This section was originally created to separate out implementation related items from policy recommendations. If the group agrees that it is duplicative, it can be removed.</w:t>
            </w:r>
          </w:p>
        </w:tc>
      </w:tr>
    </w:tbl>
    <w:p w14:paraId="2945BB38" w14:textId="22AD09AA" w:rsidR="00760968" w:rsidRDefault="00760968">
      <w:pPr>
        <w:rPr>
          <w:b/>
          <w:bCs/>
        </w:rPr>
      </w:pPr>
    </w:p>
    <w:p w14:paraId="63588749" w14:textId="7A917233" w:rsidR="00105452" w:rsidRDefault="00105452">
      <w:pPr>
        <w:rPr>
          <w:b/>
          <w:bCs/>
        </w:rPr>
      </w:pPr>
      <w:r>
        <w:rPr>
          <w:b/>
          <w:bCs/>
        </w:rPr>
        <w:t>ACCEPTABLE USE POLICY</w:t>
      </w:r>
    </w:p>
    <w:p w14:paraId="14AAC543" w14:textId="77777777" w:rsidR="00105452" w:rsidRDefault="00105452">
      <w:pPr>
        <w:rPr>
          <w:b/>
          <w:bCs/>
        </w:rPr>
      </w:pPr>
    </w:p>
    <w:tbl>
      <w:tblPr>
        <w:tblStyle w:val="TableGrid"/>
        <w:tblW w:w="0" w:type="auto"/>
        <w:tblLook w:val="04A0" w:firstRow="1" w:lastRow="0" w:firstColumn="1" w:lastColumn="0" w:noHBand="0" w:noVBand="1"/>
      </w:tblPr>
      <w:tblGrid>
        <w:gridCol w:w="1075"/>
        <w:gridCol w:w="3960"/>
        <w:gridCol w:w="3960"/>
        <w:gridCol w:w="3955"/>
      </w:tblGrid>
      <w:tr w:rsidR="00105452" w:rsidRPr="00D0546A" w14:paraId="4EAD5256" w14:textId="77777777" w:rsidTr="00F93925">
        <w:trPr>
          <w:tblHeader/>
        </w:trPr>
        <w:tc>
          <w:tcPr>
            <w:tcW w:w="1075" w:type="dxa"/>
            <w:shd w:val="clear" w:color="auto" w:fill="A5A5A5" w:themeFill="accent3"/>
          </w:tcPr>
          <w:p w14:paraId="7E6A2FC5" w14:textId="77777777" w:rsidR="00105452" w:rsidRPr="00D0546A" w:rsidRDefault="00105452" w:rsidP="00F93925">
            <w:pPr>
              <w:rPr>
                <w:b/>
                <w:bCs/>
                <w:sz w:val="22"/>
                <w:szCs w:val="22"/>
              </w:rPr>
            </w:pPr>
            <w:r w:rsidRPr="00D0546A">
              <w:rPr>
                <w:b/>
                <w:bCs/>
                <w:sz w:val="22"/>
                <w:szCs w:val="22"/>
              </w:rPr>
              <w:t># on Issue List</w:t>
            </w:r>
          </w:p>
        </w:tc>
        <w:tc>
          <w:tcPr>
            <w:tcW w:w="3960" w:type="dxa"/>
            <w:shd w:val="clear" w:color="auto" w:fill="A5A5A5" w:themeFill="accent3"/>
          </w:tcPr>
          <w:p w14:paraId="4AB78463" w14:textId="77777777" w:rsidR="00105452" w:rsidRPr="00D0546A" w:rsidRDefault="00105452" w:rsidP="00F93925">
            <w:pPr>
              <w:rPr>
                <w:b/>
                <w:bCs/>
                <w:sz w:val="22"/>
                <w:szCs w:val="22"/>
              </w:rPr>
            </w:pPr>
            <w:r w:rsidRPr="00D0546A">
              <w:rPr>
                <w:b/>
                <w:bCs/>
                <w:sz w:val="22"/>
                <w:szCs w:val="22"/>
              </w:rPr>
              <w:t>Comment (by)</w:t>
            </w:r>
          </w:p>
        </w:tc>
        <w:tc>
          <w:tcPr>
            <w:tcW w:w="3960" w:type="dxa"/>
            <w:shd w:val="clear" w:color="auto" w:fill="A5A5A5" w:themeFill="accent3"/>
          </w:tcPr>
          <w:p w14:paraId="7D5EB27D" w14:textId="77777777" w:rsidR="00105452" w:rsidRPr="00D0546A" w:rsidRDefault="00105452" w:rsidP="00F93925">
            <w:pPr>
              <w:rPr>
                <w:b/>
                <w:bCs/>
                <w:sz w:val="22"/>
                <w:szCs w:val="22"/>
              </w:rPr>
            </w:pPr>
            <w:r w:rsidRPr="00D0546A">
              <w:rPr>
                <w:b/>
                <w:bCs/>
                <w:sz w:val="22"/>
                <w:szCs w:val="22"/>
              </w:rPr>
              <w:t>Proposed Rewording</w:t>
            </w:r>
            <w:r>
              <w:rPr>
                <w:b/>
                <w:bCs/>
                <w:sz w:val="22"/>
                <w:szCs w:val="22"/>
              </w:rPr>
              <w:t xml:space="preserve"> (in bold)</w:t>
            </w:r>
          </w:p>
        </w:tc>
        <w:tc>
          <w:tcPr>
            <w:tcW w:w="3955" w:type="dxa"/>
            <w:shd w:val="clear" w:color="auto" w:fill="A5A5A5" w:themeFill="accent3"/>
          </w:tcPr>
          <w:p w14:paraId="34F24E29" w14:textId="77777777" w:rsidR="00105452" w:rsidRPr="00D0546A" w:rsidRDefault="00105452" w:rsidP="00F93925">
            <w:pPr>
              <w:rPr>
                <w:b/>
                <w:bCs/>
                <w:sz w:val="22"/>
                <w:szCs w:val="22"/>
              </w:rPr>
            </w:pPr>
            <w:r>
              <w:rPr>
                <w:b/>
                <w:bCs/>
                <w:sz w:val="22"/>
                <w:szCs w:val="22"/>
              </w:rPr>
              <w:t xml:space="preserve">Leadership </w:t>
            </w:r>
            <w:r w:rsidRPr="00D0546A">
              <w:rPr>
                <w:b/>
                <w:bCs/>
                <w:sz w:val="22"/>
                <w:szCs w:val="22"/>
              </w:rPr>
              <w:t>Notes</w:t>
            </w:r>
          </w:p>
        </w:tc>
      </w:tr>
      <w:tr w:rsidR="00105452" w:rsidRPr="00D0546A" w14:paraId="450D1A0C" w14:textId="77777777" w:rsidTr="00222B42">
        <w:tc>
          <w:tcPr>
            <w:tcW w:w="1075" w:type="dxa"/>
            <w:shd w:val="clear" w:color="auto" w:fill="8EAADB" w:themeFill="accent1" w:themeFillTint="99"/>
          </w:tcPr>
          <w:p w14:paraId="6A3C861B" w14:textId="32DBB703" w:rsidR="00105452" w:rsidRPr="00D0546A" w:rsidRDefault="00105452" w:rsidP="00F93925">
            <w:pPr>
              <w:rPr>
                <w:sz w:val="22"/>
                <w:szCs w:val="22"/>
              </w:rPr>
            </w:pPr>
            <w:r>
              <w:rPr>
                <w:sz w:val="22"/>
                <w:szCs w:val="22"/>
              </w:rPr>
              <w:t>#48</w:t>
            </w:r>
          </w:p>
        </w:tc>
        <w:tc>
          <w:tcPr>
            <w:tcW w:w="3960" w:type="dxa"/>
            <w:shd w:val="clear" w:color="auto" w:fill="8EAADB" w:themeFill="accent1" w:themeFillTint="99"/>
          </w:tcPr>
          <w:p w14:paraId="3208C9F4" w14:textId="77777777" w:rsidR="00105452" w:rsidRPr="00420437" w:rsidRDefault="00105452" w:rsidP="00105452">
            <w:pPr>
              <w:pStyle w:val="CommentText"/>
              <w:rPr>
                <w:sz w:val="22"/>
                <w:szCs w:val="22"/>
              </w:rPr>
            </w:pPr>
            <w:r w:rsidRPr="00420437">
              <w:rPr>
                <w:noProof/>
                <w:sz w:val="22"/>
                <w:szCs w:val="22"/>
              </w:rPr>
              <w:t>I do not envisage any mechanism within SSAD enabling a request for historical data, so this recomendation seems harmless but unnecessary. It's also redundant to at least 2 other references below. (BC)</w:t>
            </w:r>
          </w:p>
          <w:p w14:paraId="163863A5" w14:textId="77777777" w:rsidR="00105452" w:rsidRPr="00420437" w:rsidRDefault="00105452" w:rsidP="00105452">
            <w:pPr>
              <w:rPr>
                <w:rFonts w:cstheme="minorHAnsi"/>
                <w:sz w:val="22"/>
                <w:szCs w:val="22"/>
              </w:rPr>
            </w:pPr>
          </w:p>
          <w:p w14:paraId="2EF1A3FC" w14:textId="0C5367CB" w:rsidR="00105452" w:rsidRPr="00D0546A" w:rsidRDefault="00105452" w:rsidP="00105452">
            <w:pPr>
              <w:rPr>
                <w:sz w:val="22"/>
                <w:szCs w:val="22"/>
              </w:rPr>
            </w:pPr>
            <w:r w:rsidRPr="00420437">
              <w:rPr>
                <w:noProof/>
                <w:sz w:val="22"/>
                <w:szCs w:val="22"/>
              </w:rPr>
              <w:t xml:space="preserve">Unclear: if requestor wrongly requests historical data AND current data, is the request for current data still considered? In any case, </w:t>
            </w:r>
            <w:bookmarkStart w:id="1" w:name="_Hlk28968118"/>
            <w:r w:rsidRPr="00420437">
              <w:rPr>
                <w:noProof/>
                <w:sz w:val="22"/>
                <w:szCs w:val="22"/>
              </w:rPr>
              <w:t>it’s redundant with other language (see c. in last subsection of recommendation 9.)</w:t>
            </w:r>
            <w:bookmarkEnd w:id="1"/>
            <w:r w:rsidRPr="00420437">
              <w:rPr>
                <w:noProof/>
                <w:sz w:val="22"/>
                <w:szCs w:val="22"/>
              </w:rPr>
              <w:t xml:space="preserve"> (IPC)</w:t>
            </w:r>
          </w:p>
        </w:tc>
        <w:tc>
          <w:tcPr>
            <w:tcW w:w="3960" w:type="dxa"/>
            <w:shd w:val="clear" w:color="auto" w:fill="8EAADB" w:themeFill="accent1" w:themeFillTint="99"/>
          </w:tcPr>
          <w:p w14:paraId="16DCE2F8" w14:textId="15508D47" w:rsidR="00105452" w:rsidRPr="00420437" w:rsidRDefault="00105452" w:rsidP="00105452">
            <w:pPr>
              <w:rPr>
                <w:rFonts w:cstheme="minorHAnsi"/>
                <w:sz w:val="22"/>
                <w:szCs w:val="22"/>
              </w:rPr>
            </w:pPr>
            <w:r>
              <w:rPr>
                <w:rFonts w:cstheme="minorHAnsi"/>
                <w:color w:val="000000"/>
                <w:sz w:val="22"/>
                <w:szCs w:val="22"/>
              </w:rPr>
              <w:lastRenderedPageBreak/>
              <w:t xml:space="preserve">Current language: </w:t>
            </w:r>
            <w:r w:rsidRPr="00420437">
              <w:rPr>
                <w:rFonts w:cstheme="minorHAnsi"/>
                <w:color w:val="000000"/>
                <w:sz w:val="22"/>
                <w:szCs w:val="22"/>
              </w:rPr>
              <w:t>a) Must only request data from the current RDS data set (no historic data)</w:t>
            </w:r>
          </w:p>
          <w:p w14:paraId="072CBCCA" w14:textId="36085018" w:rsidR="00105452" w:rsidRPr="00F70165" w:rsidRDefault="00105452" w:rsidP="00F93925">
            <w:pPr>
              <w:rPr>
                <w:sz w:val="22"/>
                <w:szCs w:val="22"/>
              </w:rPr>
            </w:pPr>
          </w:p>
        </w:tc>
        <w:tc>
          <w:tcPr>
            <w:tcW w:w="3955" w:type="dxa"/>
            <w:shd w:val="clear" w:color="auto" w:fill="8EAADB" w:themeFill="accent1" w:themeFillTint="99"/>
          </w:tcPr>
          <w:p w14:paraId="5A533460" w14:textId="4F6F08C6" w:rsidR="00105452" w:rsidRPr="00105452" w:rsidRDefault="00105452" w:rsidP="00F93925">
            <w:pPr>
              <w:rPr>
                <w:sz w:val="22"/>
                <w:szCs w:val="22"/>
              </w:rPr>
            </w:pPr>
            <w:r w:rsidRPr="00105452">
              <w:rPr>
                <w:rFonts w:cstheme="minorHAnsi"/>
                <w:sz w:val="22"/>
                <w:szCs w:val="22"/>
              </w:rPr>
              <w:t>If it is considered harmless suggest leaving it as some have stated that this is important to be restated where applicable.</w:t>
            </w:r>
          </w:p>
        </w:tc>
      </w:tr>
      <w:tr w:rsidR="00105452" w:rsidRPr="00D0546A" w14:paraId="5873B93F" w14:textId="77777777" w:rsidTr="00C1737D">
        <w:tc>
          <w:tcPr>
            <w:tcW w:w="1075" w:type="dxa"/>
            <w:shd w:val="clear" w:color="auto" w:fill="auto"/>
          </w:tcPr>
          <w:p w14:paraId="17ED1BD5" w14:textId="215627E6" w:rsidR="00105452" w:rsidRDefault="00105452" w:rsidP="00F93925">
            <w:pPr>
              <w:rPr>
                <w:sz w:val="22"/>
                <w:szCs w:val="22"/>
              </w:rPr>
            </w:pPr>
            <w:r>
              <w:rPr>
                <w:sz w:val="22"/>
                <w:szCs w:val="22"/>
              </w:rPr>
              <w:t>#49</w:t>
            </w:r>
          </w:p>
        </w:tc>
        <w:tc>
          <w:tcPr>
            <w:tcW w:w="3960" w:type="dxa"/>
            <w:shd w:val="clear" w:color="auto" w:fill="auto"/>
          </w:tcPr>
          <w:p w14:paraId="7E518B99" w14:textId="07BA32C1" w:rsidR="00105452" w:rsidRPr="00105452" w:rsidRDefault="00105452" w:rsidP="00105452">
            <w:pPr>
              <w:rPr>
                <w:rFonts w:cstheme="minorHAnsi"/>
                <w:sz w:val="22"/>
                <w:szCs w:val="22"/>
              </w:rPr>
            </w:pPr>
            <w:r w:rsidRPr="00420437">
              <w:rPr>
                <w:rFonts w:cstheme="minorHAnsi"/>
                <w:sz w:val="22"/>
                <w:szCs w:val="22"/>
              </w:rPr>
              <w:t xml:space="preserve">‘and every unique’ - </w:t>
            </w:r>
            <w:r w:rsidRPr="009F66B0">
              <w:rPr>
                <w:rFonts w:cstheme="minorHAnsi"/>
                <w:sz w:val="22"/>
                <w:szCs w:val="22"/>
              </w:rPr>
              <w:t>Unclear and redundant: delete. (IPC)</w:t>
            </w:r>
          </w:p>
        </w:tc>
        <w:tc>
          <w:tcPr>
            <w:tcW w:w="3960" w:type="dxa"/>
            <w:shd w:val="clear" w:color="auto" w:fill="auto"/>
          </w:tcPr>
          <w:p w14:paraId="196568E4" w14:textId="5F609BC7" w:rsidR="00105452" w:rsidRDefault="00105452" w:rsidP="00105452">
            <w:pPr>
              <w:rPr>
                <w:rFonts w:cstheme="minorHAnsi"/>
                <w:color w:val="000000"/>
                <w:sz w:val="22"/>
                <w:szCs w:val="22"/>
              </w:rPr>
            </w:pPr>
            <w:r w:rsidRPr="00420437">
              <w:rPr>
                <w:rFonts w:ascii="Calibri" w:hAnsi="Calibri" w:cs="Calibri"/>
                <w:color w:val="000000"/>
                <w:sz w:val="22"/>
                <w:szCs w:val="22"/>
              </w:rPr>
              <w:t xml:space="preserve">b) </w:t>
            </w:r>
            <w:r w:rsidRPr="00420437">
              <w:rPr>
                <w:rFonts w:ascii="Calibri" w:eastAsia="Calibri" w:hAnsi="Calibri" w:cs="Calibri"/>
                <w:color w:val="000000"/>
                <w:sz w:val="22"/>
                <w:szCs w:val="22"/>
              </w:rPr>
              <w:t xml:space="preserve">Must, for each </w:t>
            </w:r>
            <w:r w:rsidRPr="00C1737D">
              <w:rPr>
                <w:rFonts w:ascii="Calibri" w:eastAsia="Calibri" w:hAnsi="Calibri" w:cs="Calibri"/>
                <w:b/>
                <w:bCs/>
                <w:strike/>
                <w:color w:val="000000"/>
                <w:sz w:val="22"/>
                <w:szCs w:val="22"/>
              </w:rPr>
              <w:t>and every unique</w:t>
            </w:r>
            <w:r w:rsidRPr="00420437">
              <w:rPr>
                <w:rFonts w:ascii="Calibri" w:eastAsia="Calibri" w:hAnsi="Calibri" w:cs="Calibri"/>
                <w:color w:val="000000"/>
                <w:sz w:val="22"/>
                <w:szCs w:val="22"/>
              </w:rPr>
              <w:t xml:space="preserve"> request for RDS data, provide representations of the corresponding purpose and lawful basis for the processing, which will be subject to auditing (see the auditing preliminary recommendation for further details);</w:t>
            </w:r>
          </w:p>
        </w:tc>
        <w:tc>
          <w:tcPr>
            <w:tcW w:w="3955" w:type="dxa"/>
            <w:shd w:val="clear" w:color="auto" w:fill="auto"/>
          </w:tcPr>
          <w:p w14:paraId="6275B37D" w14:textId="77777777" w:rsidR="00105452" w:rsidRPr="00105452" w:rsidRDefault="00105452" w:rsidP="00F93925">
            <w:pPr>
              <w:rPr>
                <w:rFonts w:cstheme="minorHAnsi"/>
                <w:sz w:val="22"/>
                <w:szCs w:val="22"/>
              </w:rPr>
            </w:pPr>
          </w:p>
        </w:tc>
      </w:tr>
      <w:tr w:rsidR="00FF0D60" w:rsidRPr="00D0546A" w14:paraId="15BE0998" w14:textId="77777777" w:rsidTr="00222B42">
        <w:tc>
          <w:tcPr>
            <w:tcW w:w="1075" w:type="dxa"/>
            <w:shd w:val="clear" w:color="auto" w:fill="8EAADB" w:themeFill="accent1" w:themeFillTint="99"/>
          </w:tcPr>
          <w:p w14:paraId="131E6FE9" w14:textId="3BF40D83" w:rsidR="00FF0D60" w:rsidRDefault="00FF0D60" w:rsidP="00FF0D60">
            <w:pPr>
              <w:rPr>
                <w:sz w:val="22"/>
                <w:szCs w:val="22"/>
              </w:rPr>
            </w:pPr>
            <w:r>
              <w:rPr>
                <w:sz w:val="22"/>
                <w:szCs w:val="22"/>
              </w:rPr>
              <w:t>#50</w:t>
            </w:r>
          </w:p>
        </w:tc>
        <w:tc>
          <w:tcPr>
            <w:tcW w:w="3960" w:type="dxa"/>
            <w:shd w:val="clear" w:color="auto" w:fill="8EAADB" w:themeFill="accent1" w:themeFillTint="99"/>
          </w:tcPr>
          <w:p w14:paraId="11B7EB5B" w14:textId="652BC4CA" w:rsidR="00FF0D60" w:rsidRPr="00420437" w:rsidRDefault="00FF0D60" w:rsidP="00FF0D60">
            <w:pPr>
              <w:rPr>
                <w:rFonts w:cstheme="minorHAnsi"/>
                <w:sz w:val="22"/>
                <w:szCs w:val="22"/>
              </w:rPr>
            </w:pPr>
            <w:r w:rsidRPr="009F66B0">
              <w:rPr>
                <w:rFonts w:cstheme="minorHAnsi"/>
                <w:sz w:val="22"/>
                <w:szCs w:val="22"/>
              </w:rPr>
              <w:t xml:space="preserve">different purposes have different lawful basis and different data subject rights associated with it. </w:t>
            </w:r>
            <w:proofErr w:type="gramStart"/>
            <w:r w:rsidRPr="009F66B0">
              <w:rPr>
                <w:rFonts w:cstheme="minorHAnsi"/>
                <w:sz w:val="22"/>
                <w:szCs w:val="22"/>
              </w:rPr>
              <w:t>therefore</w:t>
            </w:r>
            <w:proofErr w:type="gramEnd"/>
            <w:r w:rsidRPr="009F66B0">
              <w:rPr>
                <w:rFonts w:cstheme="minorHAnsi"/>
                <w:sz w:val="22"/>
                <w:szCs w:val="22"/>
              </w:rPr>
              <w:t xml:space="preserve"> submitting a request with different purposes does not really work. However, the data might be used for purposes related and consistent with the original submitted purpose. if we allow a single request to have multiple purposes then in assessing the request it should be treated as multiple separate requests each with a single purpose. where disclosure could be allowed for one of the purposes and denied for the others. </w:t>
            </w:r>
            <w:proofErr w:type="gramStart"/>
            <w:r w:rsidRPr="009F66B0">
              <w:rPr>
                <w:rFonts w:cstheme="minorHAnsi"/>
                <w:sz w:val="22"/>
                <w:szCs w:val="22"/>
              </w:rPr>
              <w:t>Also</w:t>
            </w:r>
            <w:proofErr w:type="gramEnd"/>
            <w:r w:rsidRPr="009F66B0">
              <w:rPr>
                <w:rFonts w:cstheme="minorHAnsi"/>
                <w:sz w:val="22"/>
                <w:szCs w:val="22"/>
              </w:rPr>
              <w:t xml:space="preserve"> if we take b) and d) into consideration then practically speaking the request would be treated as multiple separate requests (ALAC)</w:t>
            </w:r>
          </w:p>
        </w:tc>
        <w:tc>
          <w:tcPr>
            <w:tcW w:w="3960" w:type="dxa"/>
            <w:shd w:val="clear" w:color="auto" w:fill="8EAADB" w:themeFill="accent1" w:themeFillTint="99"/>
          </w:tcPr>
          <w:p w14:paraId="396AB84B" w14:textId="77777777" w:rsidR="00FF0D60" w:rsidRDefault="00FF0D60" w:rsidP="00FF0D60">
            <w:r>
              <w:rPr>
                <w:rFonts w:ascii="Calibri" w:hAnsi="Calibri" w:cs="Calibri"/>
                <w:color w:val="000000"/>
                <w:sz w:val="22"/>
                <w:szCs w:val="22"/>
              </w:rPr>
              <w:t>c</w:t>
            </w:r>
            <w:r w:rsidRPr="009F66B0">
              <w:rPr>
                <w:rFonts w:ascii="Calibri" w:eastAsia="Calibri" w:hAnsi="Calibri" w:cs="Calibri"/>
                <w:color w:val="000000"/>
                <w:sz w:val="22"/>
                <w:szCs w:val="22"/>
              </w:rPr>
              <w:t>) MAY request data from the SSAD for multiple purposes per request, for the same set of data requested;</w:t>
            </w:r>
          </w:p>
          <w:p w14:paraId="57CCADE4" w14:textId="77777777" w:rsidR="00FF0D60" w:rsidRPr="00420437" w:rsidRDefault="00FF0D60" w:rsidP="00FF0D60">
            <w:pPr>
              <w:rPr>
                <w:rFonts w:ascii="Calibri" w:hAnsi="Calibri" w:cs="Calibri"/>
                <w:color w:val="000000"/>
                <w:sz w:val="22"/>
                <w:szCs w:val="22"/>
              </w:rPr>
            </w:pPr>
          </w:p>
        </w:tc>
        <w:tc>
          <w:tcPr>
            <w:tcW w:w="3955" w:type="dxa"/>
            <w:shd w:val="clear" w:color="auto" w:fill="8EAADB" w:themeFill="accent1" w:themeFillTint="99"/>
          </w:tcPr>
          <w:p w14:paraId="6237E7A1" w14:textId="7BC8F311" w:rsidR="00FF0D60" w:rsidRPr="00105452" w:rsidRDefault="00FF0D60" w:rsidP="00FF0D60">
            <w:pPr>
              <w:rPr>
                <w:rFonts w:cstheme="minorHAnsi"/>
                <w:sz w:val="22"/>
                <w:szCs w:val="22"/>
              </w:rPr>
            </w:pPr>
            <w:r>
              <w:rPr>
                <w:rFonts w:cstheme="minorHAnsi"/>
                <w:sz w:val="22"/>
                <w:szCs w:val="22"/>
              </w:rPr>
              <w:t xml:space="preserve">See also #25. </w:t>
            </w:r>
            <w:r w:rsidRPr="00DC4DDD">
              <w:rPr>
                <w:rFonts w:cstheme="minorHAnsi"/>
                <w:sz w:val="22"/>
                <w:szCs w:val="22"/>
              </w:rPr>
              <w:t xml:space="preserve">This is also </w:t>
            </w:r>
            <w:r>
              <w:rPr>
                <w:rFonts w:cstheme="minorHAnsi"/>
                <w:sz w:val="22"/>
                <w:szCs w:val="22"/>
              </w:rPr>
              <w:t xml:space="preserve">a topic </w:t>
            </w:r>
            <w:r w:rsidRPr="00DC4DDD">
              <w:rPr>
                <w:rFonts w:cstheme="minorHAnsi"/>
                <w:sz w:val="22"/>
                <w:szCs w:val="22"/>
              </w:rPr>
              <w:t>that the group discussed and previously agreed – a request may have multiple purposes associated with it.</w:t>
            </w:r>
          </w:p>
        </w:tc>
      </w:tr>
      <w:tr w:rsidR="002A3C2D" w:rsidRPr="00D0546A" w14:paraId="3FE338EC" w14:textId="77777777" w:rsidTr="00222B42">
        <w:tc>
          <w:tcPr>
            <w:tcW w:w="1075" w:type="dxa"/>
            <w:shd w:val="clear" w:color="auto" w:fill="8EAADB" w:themeFill="accent1" w:themeFillTint="99"/>
          </w:tcPr>
          <w:p w14:paraId="1966E319" w14:textId="68B12FFC" w:rsidR="002A3C2D" w:rsidRDefault="002A3C2D" w:rsidP="00FF0D60">
            <w:pPr>
              <w:rPr>
                <w:sz w:val="22"/>
                <w:szCs w:val="22"/>
              </w:rPr>
            </w:pPr>
            <w:r>
              <w:rPr>
                <w:sz w:val="22"/>
                <w:szCs w:val="22"/>
              </w:rPr>
              <w:lastRenderedPageBreak/>
              <w:t>#51</w:t>
            </w:r>
          </w:p>
        </w:tc>
        <w:tc>
          <w:tcPr>
            <w:tcW w:w="3960" w:type="dxa"/>
            <w:shd w:val="clear" w:color="auto" w:fill="8EAADB" w:themeFill="accent1" w:themeFillTint="99"/>
          </w:tcPr>
          <w:p w14:paraId="1B22FD57" w14:textId="708ACAD5" w:rsidR="002A3C2D" w:rsidRPr="009F66B0" w:rsidRDefault="002A3C2D" w:rsidP="00FF0D60">
            <w:pPr>
              <w:rPr>
                <w:rFonts w:cstheme="minorHAnsi"/>
                <w:sz w:val="22"/>
                <w:szCs w:val="22"/>
              </w:rPr>
            </w:pPr>
            <w:r>
              <w:rPr>
                <w:rFonts w:cstheme="minorHAnsi"/>
                <w:sz w:val="22"/>
                <w:szCs w:val="22"/>
              </w:rPr>
              <w:t xml:space="preserve">‘intended use’ - </w:t>
            </w:r>
            <w:r w:rsidRPr="00420437">
              <w:rPr>
                <w:rFonts w:cstheme="minorHAnsi"/>
                <w:sz w:val="22"/>
                <w:szCs w:val="22"/>
              </w:rPr>
              <w:t>Unclear how this is different from “stated purpose”.</w:t>
            </w:r>
            <w:r>
              <w:rPr>
                <w:rFonts w:cstheme="minorHAnsi"/>
                <w:sz w:val="22"/>
                <w:szCs w:val="22"/>
              </w:rPr>
              <w:t xml:space="preserve"> (IPC)</w:t>
            </w:r>
          </w:p>
        </w:tc>
        <w:tc>
          <w:tcPr>
            <w:tcW w:w="3960" w:type="dxa"/>
            <w:shd w:val="clear" w:color="auto" w:fill="8EAADB" w:themeFill="accent1" w:themeFillTint="99"/>
          </w:tcPr>
          <w:p w14:paraId="285DC27B" w14:textId="41923CD3" w:rsidR="002A3C2D" w:rsidRDefault="002A3C2D" w:rsidP="00FF0D60">
            <w:pPr>
              <w:rPr>
                <w:rFonts w:ascii="Calibri" w:hAnsi="Calibri" w:cs="Calibri"/>
                <w:color w:val="000000"/>
                <w:sz w:val="22"/>
                <w:szCs w:val="22"/>
              </w:rPr>
            </w:pPr>
            <w:r>
              <w:rPr>
                <w:rFonts w:ascii="Calibri" w:hAnsi="Calibri" w:cs="Calibri"/>
                <w:color w:val="000000"/>
                <w:sz w:val="22"/>
                <w:szCs w:val="22"/>
              </w:rPr>
              <w:t xml:space="preserve">Current wording: </w:t>
            </w:r>
            <w:r w:rsidRPr="00420437">
              <w:rPr>
                <w:rFonts w:ascii="Calibri" w:hAnsi="Calibri" w:cs="Calibri"/>
                <w:color w:val="000000"/>
                <w:sz w:val="22"/>
                <w:szCs w:val="22"/>
              </w:rPr>
              <w:t xml:space="preserve">d) </w:t>
            </w:r>
            <w:r w:rsidRPr="00420437">
              <w:rPr>
                <w:rFonts w:ascii="Calibri" w:eastAsia="Calibri" w:hAnsi="Calibri" w:cs="Calibri"/>
                <w:color w:val="000000"/>
                <w:sz w:val="22"/>
                <w:szCs w:val="22"/>
              </w:rPr>
              <w:t>For each stated purpose must provide (</w:t>
            </w:r>
            <w:proofErr w:type="spellStart"/>
            <w:r w:rsidRPr="00420437">
              <w:rPr>
                <w:rFonts w:ascii="Calibri" w:eastAsia="Calibri" w:hAnsi="Calibri" w:cs="Calibri"/>
                <w:color w:val="000000"/>
                <w:sz w:val="22"/>
                <w:szCs w:val="22"/>
              </w:rPr>
              <w:t>i</w:t>
            </w:r>
            <w:proofErr w:type="spellEnd"/>
            <w:r w:rsidRPr="00420437">
              <w:rPr>
                <w:rFonts w:ascii="Calibri" w:eastAsia="Calibri" w:hAnsi="Calibri" w:cs="Calibri"/>
                <w:color w:val="000000"/>
                <w:sz w:val="22"/>
                <w:szCs w:val="22"/>
              </w:rPr>
              <w:t>) representation regarding the intended use of the requested data and (ii) representation that the requestor will only process the data for the stated purpose(s). These representations will be subject to auditing (see auditing preliminary recommendation further details);</w:t>
            </w:r>
          </w:p>
        </w:tc>
        <w:tc>
          <w:tcPr>
            <w:tcW w:w="3955" w:type="dxa"/>
            <w:shd w:val="clear" w:color="auto" w:fill="8EAADB" w:themeFill="accent1" w:themeFillTint="99"/>
          </w:tcPr>
          <w:p w14:paraId="2FFAB44A" w14:textId="3FA5C02F" w:rsidR="002A3C2D" w:rsidRPr="002A3C2D" w:rsidRDefault="002A3C2D" w:rsidP="00FF0D60">
            <w:pPr>
              <w:rPr>
                <w:rFonts w:cstheme="minorHAnsi"/>
                <w:sz w:val="22"/>
                <w:szCs w:val="22"/>
              </w:rPr>
            </w:pPr>
            <w:r w:rsidRPr="002A3C2D">
              <w:rPr>
                <w:rFonts w:cstheme="minorHAnsi"/>
                <w:sz w:val="22"/>
                <w:szCs w:val="22"/>
              </w:rPr>
              <w:t>There does appear to be a difference – EPDP Team to consider but note that this language was previously agreed.</w:t>
            </w:r>
          </w:p>
        </w:tc>
      </w:tr>
      <w:tr w:rsidR="00D6472B" w:rsidRPr="00D0546A" w14:paraId="598A2A13" w14:textId="77777777" w:rsidTr="00F93925">
        <w:tc>
          <w:tcPr>
            <w:tcW w:w="1075" w:type="dxa"/>
          </w:tcPr>
          <w:p w14:paraId="7E981A72" w14:textId="0837DC9C" w:rsidR="00D6472B" w:rsidRDefault="00D6472B" w:rsidP="00FF0D60">
            <w:pPr>
              <w:rPr>
                <w:sz w:val="22"/>
                <w:szCs w:val="22"/>
              </w:rPr>
            </w:pPr>
            <w:r>
              <w:rPr>
                <w:sz w:val="22"/>
                <w:szCs w:val="22"/>
              </w:rPr>
              <w:t>#53</w:t>
            </w:r>
          </w:p>
        </w:tc>
        <w:tc>
          <w:tcPr>
            <w:tcW w:w="3960" w:type="dxa"/>
          </w:tcPr>
          <w:p w14:paraId="6216FC40" w14:textId="77777777" w:rsidR="00D6472B" w:rsidRDefault="00D6472B" w:rsidP="00D6472B">
            <w:pPr>
              <w:rPr>
                <w:rFonts w:cstheme="minorHAnsi"/>
                <w:sz w:val="22"/>
                <w:szCs w:val="22"/>
              </w:rPr>
            </w:pPr>
            <w:r w:rsidRPr="00C60B34">
              <w:rPr>
                <w:rFonts w:cstheme="minorHAnsi"/>
                <w:sz w:val="22"/>
                <w:szCs w:val="22"/>
              </w:rPr>
              <w:t xml:space="preserve">This section only refers to the right to erasure. We suggest </w:t>
            </w:r>
            <w:proofErr w:type="gramStart"/>
            <w:r w:rsidRPr="00C60B34">
              <w:rPr>
                <w:rFonts w:cstheme="minorHAnsi"/>
                <w:sz w:val="22"/>
                <w:szCs w:val="22"/>
              </w:rPr>
              <w:t>to include</w:t>
            </w:r>
            <w:proofErr w:type="gramEnd"/>
            <w:r w:rsidRPr="00C60B34">
              <w:rPr>
                <w:rFonts w:cstheme="minorHAnsi"/>
                <w:sz w:val="22"/>
                <w:szCs w:val="22"/>
              </w:rPr>
              <w:t xml:space="preserve"> all rights of the data subject that need to be informed about under the GDPR or – in more general te</w:t>
            </w:r>
            <w:r>
              <w:rPr>
                <w:rFonts w:cstheme="minorHAnsi"/>
                <w:sz w:val="22"/>
                <w:szCs w:val="22"/>
              </w:rPr>
              <w:t>r</w:t>
            </w:r>
            <w:r w:rsidRPr="00C60B34">
              <w:rPr>
                <w:rFonts w:cstheme="minorHAnsi"/>
                <w:sz w:val="22"/>
                <w:szCs w:val="22"/>
              </w:rPr>
              <w:t>ms, just make reference to the information duties in the GDPR. (ISPCP)</w:t>
            </w:r>
          </w:p>
          <w:p w14:paraId="26D80A34" w14:textId="77777777" w:rsidR="00D6472B" w:rsidRDefault="00D6472B" w:rsidP="00D6472B"/>
          <w:p w14:paraId="2C3B7303" w14:textId="490C3665" w:rsidR="00D6472B" w:rsidRDefault="00D6472B" w:rsidP="00D6472B">
            <w:pPr>
              <w:rPr>
                <w:rFonts w:cstheme="minorHAnsi"/>
                <w:sz w:val="22"/>
                <w:szCs w:val="22"/>
              </w:rPr>
            </w:pPr>
            <w:r w:rsidRPr="00D41DED">
              <w:rPr>
                <w:rFonts w:cstheme="minorHAnsi"/>
                <w:sz w:val="22"/>
                <w:szCs w:val="22"/>
              </w:rPr>
              <w:t>why do we specifically and only mention erasure, there are other rights like rectification (ALAC)</w:t>
            </w:r>
          </w:p>
        </w:tc>
        <w:tc>
          <w:tcPr>
            <w:tcW w:w="3960" w:type="dxa"/>
          </w:tcPr>
          <w:p w14:paraId="1BD16920" w14:textId="0D8D45E2" w:rsidR="00D6472B" w:rsidRPr="00C60B34" w:rsidRDefault="00D6472B" w:rsidP="00D6472B">
            <w:pPr>
              <w:rPr>
                <w:rFonts w:ascii="Calibri" w:hAnsi="Calibri" w:cs="Calibri"/>
                <w:color w:val="000000"/>
                <w:sz w:val="22"/>
                <w:szCs w:val="22"/>
              </w:rPr>
            </w:pPr>
            <w:r>
              <w:rPr>
                <w:rFonts w:ascii="Calibri" w:hAnsi="Calibri" w:cs="Calibri"/>
                <w:color w:val="000000"/>
                <w:sz w:val="22"/>
                <w:szCs w:val="22"/>
              </w:rPr>
              <w:t xml:space="preserve">g) </w:t>
            </w:r>
            <w:r w:rsidRPr="00C60B34">
              <w:rPr>
                <w:rFonts w:ascii="Calibri" w:hAnsi="Calibri" w:cs="Calibri"/>
                <w:color w:val="000000"/>
                <w:sz w:val="22"/>
                <w:szCs w:val="22"/>
              </w:rPr>
              <w:t>Where required by applicable law, must provide mechanism under which the data subject may exercise its right to erasure</w:t>
            </w:r>
            <w:r>
              <w:rPr>
                <w:rFonts w:ascii="Calibri" w:hAnsi="Calibri" w:cs="Calibri"/>
                <w:color w:val="000000"/>
                <w:sz w:val="22"/>
                <w:szCs w:val="22"/>
              </w:rPr>
              <w:t xml:space="preserve"> </w:t>
            </w:r>
            <w:r w:rsidRPr="00D6472B">
              <w:rPr>
                <w:rFonts w:cstheme="minorHAnsi"/>
                <w:b/>
                <w:bCs/>
                <w:sz w:val="22"/>
                <w:szCs w:val="22"/>
              </w:rPr>
              <w:t>and any other applicable rights</w:t>
            </w:r>
            <w:r w:rsidRPr="00C60B34">
              <w:rPr>
                <w:rFonts w:ascii="Calibri" w:hAnsi="Calibri" w:cs="Calibri"/>
                <w:color w:val="000000"/>
                <w:sz w:val="22"/>
                <w:szCs w:val="22"/>
              </w:rPr>
              <w:t>;</w:t>
            </w:r>
          </w:p>
          <w:p w14:paraId="7FB80DA2" w14:textId="77777777" w:rsidR="00D6472B" w:rsidRDefault="00D6472B" w:rsidP="00FF0D60">
            <w:pPr>
              <w:rPr>
                <w:rFonts w:ascii="Calibri" w:hAnsi="Calibri" w:cs="Calibri"/>
                <w:color w:val="000000"/>
                <w:sz w:val="22"/>
                <w:szCs w:val="22"/>
              </w:rPr>
            </w:pPr>
          </w:p>
        </w:tc>
        <w:tc>
          <w:tcPr>
            <w:tcW w:w="3955" w:type="dxa"/>
          </w:tcPr>
          <w:p w14:paraId="52EFEDFF" w14:textId="77777777" w:rsidR="00D6472B" w:rsidRPr="002A3C2D" w:rsidRDefault="00D6472B" w:rsidP="00FF0D60">
            <w:pPr>
              <w:rPr>
                <w:rFonts w:cstheme="minorHAnsi"/>
                <w:sz w:val="22"/>
                <w:szCs w:val="22"/>
              </w:rPr>
            </w:pPr>
          </w:p>
        </w:tc>
      </w:tr>
      <w:tr w:rsidR="00D6472B" w:rsidRPr="00D0546A" w14:paraId="3862EC75" w14:textId="77777777" w:rsidTr="00C1737D">
        <w:tc>
          <w:tcPr>
            <w:tcW w:w="1075" w:type="dxa"/>
            <w:shd w:val="clear" w:color="auto" w:fill="8EAADB" w:themeFill="accent1" w:themeFillTint="99"/>
          </w:tcPr>
          <w:p w14:paraId="67DE309E" w14:textId="15CE8B64" w:rsidR="00D6472B" w:rsidRDefault="00D6472B" w:rsidP="00FF0D60">
            <w:pPr>
              <w:rPr>
                <w:sz w:val="22"/>
                <w:szCs w:val="22"/>
              </w:rPr>
            </w:pPr>
            <w:r>
              <w:rPr>
                <w:sz w:val="22"/>
                <w:szCs w:val="22"/>
              </w:rPr>
              <w:t>#5</w:t>
            </w:r>
            <w:r w:rsidR="00163FEF">
              <w:rPr>
                <w:sz w:val="22"/>
                <w:szCs w:val="22"/>
              </w:rPr>
              <w:t>5</w:t>
            </w:r>
          </w:p>
        </w:tc>
        <w:tc>
          <w:tcPr>
            <w:tcW w:w="3960" w:type="dxa"/>
            <w:shd w:val="clear" w:color="auto" w:fill="8EAADB" w:themeFill="accent1" w:themeFillTint="99"/>
          </w:tcPr>
          <w:p w14:paraId="51FBF8F6" w14:textId="46160BFC" w:rsidR="00D6472B" w:rsidRPr="00C60B34" w:rsidRDefault="00D6472B" w:rsidP="00D6472B">
            <w:pPr>
              <w:rPr>
                <w:rFonts w:cstheme="minorHAnsi"/>
                <w:sz w:val="22"/>
                <w:szCs w:val="22"/>
              </w:rPr>
            </w:pPr>
            <w:r>
              <w:rPr>
                <w:rFonts w:cstheme="minorHAnsi"/>
                <w:sz w:val="22"/>
                <w:szCs w:val="22"/>
              </w:rPr>
              <w:t xml:space="preserve">‘no historic data’ - </w:t>
            </w:r>
            <w:r w:rsidRPr="00420437">
              <w:rPr>
                <w:rFonts w:cstheme="minorHAnsi"/>
                <w:sz w:val="22"/>
                <w:szCs w:val="22"/>
              </w:rPr>
              <w:t>Delete: it’s redundant with other language (see c. in last subsection of recommendation 9.)</w:t>
            </w:r>
            <w:r>
              <w:rPr>
                <w:rFonts w:cstheme="minorHAnsi"/>
                <w:sz w:val="22"/>
                <w:szCs w:val="22"/>
              </w:rPr>
              <w:t xml:space="preserve"> (IPC)</w:t>
            </w:r>
          </w:p>
        </w:tc>
        <w:tc>
          <w:tcPr>
            <w:tcW w:w="3960" w:type="dxa"/>
            <w:shd w:val="clear" w:color="auto" w:fill="8EAADB" w:themeFill="accent1" w:themeFillTint="99"/>
          </w:tcPr>
          <w:p w14:paraId="4A8ACDDB" w14:textId="3B3042D6" w:rsidR="00D6472B" w:rsidRDefault="00D66C9D" w:rsidP="00D6472B">
            <w:pPr>
              <w:rPr>
                <w:rFonts w:ascii="Calibri" w:hAnsi="Calibri" w:cs="Calibri"/>
                <w:color w:val="000000"/>
                <w:sz w:val="22"/>
                <w:szCs w:val="22"/>
              </w:rPr>
            </w:pPr>
            <w:r>
              <w:rPr>
                <w:rFonts w:ascii="Calibri" w:hAnsi="Calibri" w:cs="Calibri"/>
                <w:color w:val="000000"/>
                <w:sz w:val="22"/>
                <w:szCs w:val="22"/>
              </w:rPr>
              <w:t xml:space="preserve">Current wording: </w:t>
            </w:r>
            <w:r w:rsidRPr="00420437">
              <w:rPr>
                <w:rFonts w:ascii="Calibri" w:hAnsi="Calibri" w:cs="Calibri"/>
                <w:color w:val="000000"/>
                <w:sz w:val="22"/>
                <w:szCs w:val="22"/>
              </w:rPr>
              <w:t>a) Must return current data or a subset thereof in response to a request (no historic data);</w:t>
            </w:r>
          </w:p>
        </w:tc>
        <w:tc>
          <w:tcPr>
            <w:tcW w:w="3955" w:type="dxa"/>
            <w:shd w:val="clear" w:color="auto" w:fill="8EAADB" w:themeFill="accent1" w:themeFillTint="99"/>
          </w:tcPr>
          <w:p w14:paraId="4A083841" w14:textId="79FBBDD4" w:rsidR="00D6472B" w:rsidRPr="002A3C2D" w:rsidRDefault="00163FEF" w:rsidP="00FF0D60">
            <w:pPr>
              <w:rPr>
                <w:rFonts w:cstheme="minorHAnsi"/>
                <w:sz w:val="22"/>
                <w:szCs w:val="22"/>
              </w:rPr>
            </w:pPr>
            <w:r w:rsidRPr="00105452">
              <w:rPr>
                <w:rFonts w:cstheme="minorHAnsi"/>
                <w:sz w:val="22"/>
                <w:szCs w:val="22"/>
              </w:rPr>
              <w:t>If it is considered harmless suggest leaving it as some have stated that this is important to be restated where applicable</w:t>
            </w:r>
          </w:p>
        </w:tc>
      </w:tr>
      <w:tr w:rsidR="00163FEF" w:rsidRPr="00D0546A" w14:paraId="1EFA8DB7" w14:textId="77777777" w:rsidTr="00F93925">
        <w:tc>
          <w:tcPr>
            <w:tcW w:w="1075" w:type="dxa"/>
          </w:tcPr>
          <w:p w14:paraId="3B75537A" w14:textId="63994881" w:rsidR="00163FEF" w:rsidRDefault="00163FEF" w:rsidP="00163FEF">
            <w:pPr>
              <w:rPr>
                <w:sz w:val="22"/>
                <w:szCs w:val="22"/>
              </w:rPr>
            </w:pPr>
            <w:r>
              <w:rPr>
                <w:sz w:val="22"/>
                <w:szCs w:val="22"/>
              </w:rPr>
              <w:t>#56</w:t>
            </w:r>
          </w:p>
        </w:tc>
        <w:tc>
          <w:tcPr>
            <w:tcW w:w="3960" w:type="dxa"/>
          </w:tcPr>
          <w:p w14:paraId="408D040D" w14:textId="77777777" w:rsidR="00163FEF" w:rsidRPr="0023175F" w:rsidRDefault="00163FEF" w:rsidP="00163FEF">
            <w:pPr>
              <w:pStyle w:val="CommentText"/>
              <w:rPr>
                <w:rFonts w:asciiTheme="minorHAnsi" w:hAnsiTheme="minorHAnsi" w:cstheme="minorHAnsi"/>
                <w:sz w:val="22"/>
                <w:szCs w:val="22"/>
              </w:rPr>
            </w:pPr>
            <w:r w:rsidRPr="0023175F">
              <w:rPr>
                <w:rFonts w:asciiTheme="minorHAnsi" w:hAnsiTheme="minorHAnsi" w:cstheme="minorHAnsi"/>
                <w:sz w:val="22"/>
                <w:szCs w:val="22"/>
              </w:rPr>
              <w:t>2 comments:</w:t>
            </w:r>
          </w:p>
          <w:p w14:paraId="43FD8A8D" w14:textId="77777777" w:rsidR="00163FEF" w:rsidRDefault="00163FEF" w:rsidP="00163FEF">
            <w:pPr>
              <w:pStyle w:val="CommentText"/>
              <w:numPr>
                <w:ilvl w:val="0"/>
                <w:numId w:val="3"/>
              </w:numPr>
              <w:rPr>
                <w:rFonts w:asciiTheme="minorHAnsi" w:hAnsiTheme="minorHAnsi" w:cstheme="minorHAnsi"/>
                <w:sz w:val="22"/>
                <w:szCs w:val="22"/>
              </w:rPr>
            </w:pPr>
            <w:r w:rsidRPr="0023175F">
              <w:rPr>
                <w:rFonts w:asciiTheme="minorHAnsi" w:hAnsiTheme="minorHAnsi" w:cstheme="minorHAnsi"/>
                <w:sz w:val="22"/>
                <w:szCs w:val="22"/>
              </w:rPr>
              <w:t xml:space="preserve"> Replace with “inform.”</w:t>
            </w:r>
          </w:p>
          <w:p w14:paraId="1F103BF9" w14:textId="1BC086BC" w:rsidR="00163FEF" w:rsidRPr="00163FEF" w:rsidRDefault="00163FEF" w:rsidP="00163FEF">
            <w:pPr>
              <w:pStyle w:val="CommentText"/>
              <w:numPr>
                <w:ilvl w:val="0"/>
                <w:numId w:val="3"/>
              </w:numPr>
              <w:rPr>
                <w:rFonts w:asciiTheme="minorHAnsi" w:hAnsiTheme="minorHAnsi" w:cstheme="minorHAnsi"/>
                <w:sz w:val="22"/>
                <w:szCs w:val="22"/>
              </w:rPr>
            </w:pPr>
            <w:r w:rsidRPr="00163FEF">
              <w:rPr>
                <w:rFonts w:cstheme="minorHAnsi"/>
                <w:sz w:val="22"/>
                <w:szCs w:val="22"/>
              </w:rPr>
              <w:t>When: upon request or in their privacy policy? (IPC)</w:t>
            </w:r>
          </w:p>
        </w:tc>
        <w:tc>
          <w:tcPr>
            <w:tcW w:w="3960" w:type="dxa"/>
          </w:tcPr>
          <w:p w14:paraId="4CD99254" w14:textId="51974E05" w:rsidR="00163FEF" w:rsidRDefault="00163FEF" w:rsidP="00163FEF">
            <w:pPr>
              <w:rPr>
                <w:rFonts w:ascii="Calibri" w:hAnsi="Calibri" w:cs="Calibri"/>
                <w:color w:val="000000"/>
                <w:sz w:val="22"/>
                <w:szCs w:val="22"/>
              </w:rPr>
            </w:pPr>
            <w:r w:rsidRPr="0023175F">
              <w:rPr>
                <w:rFonts w:ascii="Calibri" w:eastAsia="Calibri" w:hAnsi="Calibri" w:cs="Calibri"/>
                <w:color w:val="000000"/>
                <w:sz w:val="22"/>
                <w:szCs w:val="22"/>
              </w:rPr>
              <w:t xml:space="preserve">h) Confidentiality of disclosure requests – Data controllers of RDS data must </w:t>
            </w:r>
            <w:r w:rsidRPr="00163FEF">
              <w:rPr>
                <w:rFonts w:ascii="Calibri" w:eastAsia="Calibri" w:hAnsi="Calibri" w:cs="Calibri"/>
                <w:strike/>
                <w:color w:val="000000"/>
                <w:sz w:val="22"/>
                <w:szCs w:val="22"/>
              </w:rPr>
              <w:t>make it clear to</w:t>
            </w:r>
            <w:r w:rsidRPr="0023175F">
              <w:rPr>
                <w:rFonts w:ascii="Calibri" w:eastAsia="Calibri" w:hAnsi="Calibri" w:cs="Calibri"/>
                <w:color w:val="000000"/>
                <w:sz w:val="22"/>
                <w:szCs w:val="22"/>
              </w:rPr>
              <w:t xml:space="preserve"> </w:t>
            </w:r>
            <w:r>
              <w:rPr>
                <w:rFonts w:ascii="Calibri" w:eastAsia="Calibri" w:hAnsi="Calibri" w:cs="Calibri"/>
                <w:b/>
                <w:bCs/>
                <w:color w:val="000000"/>
                <w:sz w:val="22"/>
                <w:szCs w:val="22"/>
              </w:rPr>
              <w:t xml:space="preserve">inform </w:t>
            </w:r>
            <w:r w:rsidRPr="0023175F">
              <w:rPr>
                <w:rFonts w:ascii="Calibri" w:eastAsia="Calibri" w:hAnsi="Calibri" w:cs="Calibri"/>
                <w:color w:val="000000"/>
                <w:sz w:val="22"/>
                <w:szCs w:val="22"/>
              </w:rPr>
              <w:t xml:space="preserve">data subjects the types of entities/third parties which may process their data. Upon a request from a </w:t>
            </w:r>
            <w:proofErr w:type="gramStart"/>
            <w:r w:rsidRPr="0023175F">
              <w:rPr>
                <w:rFonts w:ascii="Calibri" w:eastAsia="Calibri" w:hAnsi="Calibri" w:cs="Calibri"/>
                <w:color w:val="000000"/>
                <w:sz w:val="22"/>
                <w:szCs w:val="22"/>
              </w:rPr>
              <w:t>data subject the exact processing activities of their data</w:t>
            </w:r>
            <w:proofErr w:type="gramEnd"/>
            <w:r w:rsidRPr="0023175F">
              <w:rPr>
                <w:rFonts w:ascii="Calibri" w:eastAsia="Calibri" w:hAnsi="Calibri" w:cs="Calibri"/>
                <w:color w:val="000000"/>
                <w:sz w:val="22"/>
                <w:szCs w:val="22"/>
              </w:rPr>
              <w:t xml:space="preserve"> within the SSAD, should be disclosed as soon as reasonably </w:t>
            </w:r>
            <w:r w:rsidRPr="0023175F">
              <w:rPr>
                <w:rFonts w:ascii="Calibri" w:eastAsia="Calibri" w:hAnsi="Calibri" w:cs="Calibri"/>
                <w:color w:val="000000"/>
                <w:sz w:val="22"/>
                <w:szCs w:val="22"/>
              </w:rPr>
              <w:lastRenderedPageBreak/>
              <w:t>feasible.</w:t>
            </w:r>
            <w:r w:rsidRPr="0023175F">
              <w:rPr>
                <w:sz w:val="22"/>
                <w:szCs w:val="22"/>
              </w:rPr>
              <w:t> </w:t>
            </w:r>
            <w:proofErr w:type="gramStart"/>
            <w:r w:rsidRPr="0023175F">
              <w:rPr>
                <w:rFonts w:ascii="Calibri" w:eastAsia="Calibri" w:hAnsi="Calibri" w:cs="Calibri"/>
                <w:color w:val="000000"/>
                <w:sz w:val="22"/>
                <w:szCs w:val="22"/>
              </w:rPr>
              <w:t>However</w:t>
            </w:r>
            <w:proofErr w:type="gramEnd"/>
            <w:r w:rsidRPr="0023175F">
              <w:rPr>
                <w:rFonts w:ascii="Calibri" w:eastAsia="Calibri" w:hAnsi="Calibri" w:cs="Calibri"/>
                <w:color w:val="000000"/>
                <w:sz w:val="22"/>
                <w:szCs w:val="22"/>
              </w:rPr>
              <w:t xml:space="preserve"> the nature of legal investigations or procedures may require SSAD and/or the disclosing entity keep the nature or existence of these requests confidential from the data </w:t>
            </w:r>
            <w:r>
              <w:rPr>
                <w:rFonts w:ascii="Calibri" w:eastAsia="Calibri" w:hAnsi="Calibri" w:cs="Calibri"/>
                <w:color w:val="000000"/>
                <w:sz w:val="22"/>
                <w:szCs w:val="22"/>
              </w:rPr>
              <w:t xml:space="preserve">subject. </w:t>
            </w:r>
            <w:r w:rsidRPr="0023175F">
              <w:rPr>
                <w:rFonts w:ascii="Calibri" w:eastAsia="Calibri" w:hAnsi="Calibri" w:cs="Calibri"/>
                <w:color w:val="000000"/>
                <w:sz w:val="22"/>
                <w:szCs w:val="22"/>
              </w:rPr>
              <w:t>Confidential requests can be disclosed to data subjects in cooperation with the requesting authority, [and] [or] in accordance with the data subject's rights under applicable law</w:t>
            </w:r>
          </w:p>
        </w:tc>
        <w:tc>
          <w:tcPr>
            <w:tcW w:w="3955" w:type="dxa"/>
          </w:tcPr>
          <w:p w14:paraId="51CF764F" w14:textId="77777777" w:rsidR="00163FEF" w:rsidRPr="00105452" w:rsidRDefault="00163FEF" w:rsidP="00163FEF">
            <w:pPr>
              <w:rPr>
                <w:rFonts w:cstheme="minorHAnsi"/>
                <w:sz w:val="22"/>
                <w:szCs w:val="22"/>
              </w:rPr>
            </w:pPr>
          </w:p>
        </w:tc>
      </w:tr>
    </w:tbl>
    <w:p w14:paraId="4BDD2891" w14:textId="0BDD4C1E" w:rsidR="00105452" w:rsidRDefault="00105452">
      <w:pPr>
        <w:rPr>
          <w:b/>
          <w:bCs/>
        </w:rPr>
      </w:pPr>
    </w:p>
    <w:p w14:paraId="43BDD6C4" w14:textId="22664406" w:rsidR="00163FEF" w:rsidRDefault="00163FEF">
      <w:pPr>
        <w:rPr>
          <w:b/>
          <w:bCs/>
        </w:rPr>
      </w:pPr>
      <w:r>
        <w:rPr>
          <w:b/>
          <w:bCs/>
        </w:rPr>
        <w:t>QUERY POLICY</w:t>
      </w:r>
    </w:p>
    <w:tbl>
      <w:tblPr>
        <w:tblStyle w:val="TableGrid"/>
        <w:tblW w:w="0" w:type="auto"/>
        <w:tblLook w:val="04A0" w:firstRow="1" w:lastRow="0" w:firstColumn="1" w:lastColumn="0" w:noHBand="0" w:noVBand="1"/>
      </w:tblPr>
      <w:tblGrid>
        <w:gridCol w:w="1075"/>
        <w:gridCol w:w="3960"/>
        <w:gridCol w:w="3960"/>
        <w:gridCol w:w="3955"/>
      </w:tblGrid>
      <w:tr w:rsidR="00163FEF" w:rsidRPr="00D0546A" w14:paraId="54767251" w14:textId="77777777" w:rsidTr="00F93925">
        <w:trPr>
          <w:tblHeader/>
        </w:trPr>
        <w:tc>
          <w:tcPr>
            <w:tcW w:w="1075" w:type="dxa"/>
            <w:shd w:val="clear" w:color="auto" w:fill="A5A5A5" w:themeFill="accent3"/>
          </w:tcPr>
          <w:p w14:paraId="347856F5" w14:textId="77777777" w:rsidR="00163FEF" w:rsidRPr="00D0546A" w:rsidRDefault="00163FEF" w:rsidP="00F93925">
            <w:pPr>
              <w:rPr>
                <w:b/>
                <w:bCs/>
                <w:sz w:val="22"/>
                <w:szCs w:val="22"/>
              </w:rPr>
            </w:pPr>
            <w:r w:rsidRPr="00D0546A">
              <w:rPr>
                <w:b/>
                <w:bCs/>
                <w:sz w:val="22"/>
                <w:szCs w:val="22"/>
              </w:rPr>
              <w:t># on Issue List</w:t>
            </w:r>
          </w:p>
        </w:tc>
        <w:tc>
          <w:tcPr>
            <w:tcW w:w="3960" w:type="dxa"/>
            <w:shd w:val="clear" w:color="auto" w:fill="A5A5A5" w:themeFill="accent3"/>
          </w:tcPr>
          <w:p w14:paraId="07ACBBD1" w14:textId="77777777" w:rsidR="00163FEF" w:rsidRPr="00D0546A" w:rsidRDefault="00163FEF" w:rsidP="00F93925">
            <w:pPr>
              <w:rPr>
                <w:b/>
                <w:bCs/>
                <w:sz w:val="22"/>
                <w:szCs w:val="22"/>
              </w:rPr>
            </w:pPr>
            <w:r w:rsidRPr="00D0546A">
              <w:rPr>
                <w:b/>
                <w:bCs/>
                <w:sz w:val="22"/>
                <w:szCs w:val="22"/>
              </w:rPr>
              <w:t>Comment (by)</w:t>
            </w:r>
          </w:p>
        </w:tc>
        <w:tc>
          <w:tcPr>
            <w:tcW w:w="3960" w:type="dxa"/>
            <w:shd w:val="clear" w:color="auto" w:fill="A5A5A5" w:themeFill="accent3"/>
          </w:tcPr>
          <w:p w14:paraId="08ADE6FE" w14:textId="77777777" w:rsidR="00163FEF" w:rsidRPr="00D0546A" w:rsidRDefault="00163FEF" w:rsidP="00F93925">
            <w:pPr>
              <w:rPr>
                <w:b/>
                <w:bCs/>
                <w:sz w:val="22"/>
                <w:szCs w:val="22"/>
              </w:rPr>
            </w:pPr>
            <w:r w:rsidRPr="00D0546A">
              <w:rPr>
                <w:b/>
                <w:bCs/>
                <w:sz w:val="22"/>
                <w:szCs w:val="22"/>
              </w:rPr>
              <w:t>Proposed Rewording</w:t>
            </w:r>
            <w:r>
              <w:rPr>
                <w:b/>
                <w:bCs/>
                <w:sz w:val="22"/>
                <w:szCs w:val="22"/>
              </w:rPr>
              <w:t xml:space="preserve"> (in bold)</w:t>
            </w:r>
          </w:p>
        </w:tc>
        <w:tc>
          <w:tcPr>
            <w:tcW w:w="3955" w:type="dxa"/>
            <w:shd w:val="clear" w:color="auto" w:fill="A5A5A5" w:themeFill="accent3"/>
          </w:tcPr>
          <w:p w14:paraId="12835C3E" w14:textId="77777777" w:rsidR="00163FEF" w:rsidRPr="00D0546A" w:rsidRDefault="00163FEF" w:rsidP="00F93925">
            <w:pPr>
              <w:rPr>
                <w:b/>
                <w:bCs/>
                <w:sz w:val="22"/>
                <w:szCs w:val="22"/>
              </w:rPr>
            </w:pPr>
            <w:r>
              <w:rPr>
                <w:b/>
                <w:bCs/>
                <w:sz w:val="22"/>
                <w:szCs w:val="22"/>
              </w:rPr>
              <w:t xml:space="preserve">Leadership </w:t>
            </w:r>
            <w:r w:rsidRPr="00D0546A">
              <w:rPr>
                <w:b/>
                <w:bCs/>
                <w:sz w:val="22"/>
                <w:szCs w:val="22"/>
              </w:rPr>
              <w:t>Notes</w:t>
            </w:r>
          </w:p>
        </w:tc>
      </w:tr>
      <w:tr w:rsidR="00163FEF" w:rsidRPr="00D0546A" w14:paraId="66DEC94C" w14:textId="77777777" w:rsidTr="00832BA6">
        <w:tc>
          <w:tcPr>
            <w:tcW w:w="1075" w:type="dxa"/>
            <w:shd w:val="clear" w:color="auto" w:fill="8EAADB" w:themeFill="accent1" w:themeFillTint="99"/>
          </w:tcPr>
          <w:p w14:paraId="5F0C6551" w14:textId="373FA036" w:rsidR="00163FEF" w:rsidRPr="00D0546A" w:rsidRDefault="00163FEF" w:rsidP="00163FEF">
            <w:pPr>
              <w:rPr>
                <w:sz w:val="22"/>
                <w:szCs w:val="22"/>
              </w:rPr>
            </w:pPr>
            <w:r>
              <w:rPr>
                <w:sz w:val="22"/>
                <w:szCs w:val="22"/>
              </w:rPr>
              <w:t>#57</w:t>
            </w:r>
          </w:p>
        </w:tc>
        <w:tc>
          <w:tcPr>
            <w:tcW w:w="3960" w:type="dxa"/>
            <w:shd w:val="clear" w:color="auto" w:fill="8EAADB" w:themeFill="accent1" w:themeFillTint="99"/>
          </w:tcPr>
          <w:p w14:paraId="1EF20CE3" w14:textId="77777777" w:rsidR="00163FEF" w:rsidRPr="0083432C" w:rsidRDefault="00163FEF" w:rsidP="00163FEF">
            <w:pPr>
              <w:pStyle w:val="CommentText"/>
              <w:rPr>
                <w:sz w:val="22"/>
                <w:szCs w:val="22"/>
              </w:rPr>
            </w:pPr>
            <w:r w:rsidRPr="0083432C">
              <w:rPr>
                <w:sz w:val="22"/>
                <w:szCs w:val="22"/>
              </w:rPr>
              <w:t>Unclear what a and b respectively are supposed to cover. (IPC)</w:t>
            </w:r>
          </w:p>
          <w:p w14:paraId="46E52F11" w14:textId="77777777" w:rsidR="00163FEF" w:rsidRPr="0083432C" w:rsidRDefault="00163FEF" w:rsidP="00163FEF">
            <w:pPr>
              <w:pStyle w:val="CommentText"/>
              <w:rPr>
                <w:sz w:val="22"/>
                <w:szCs w:val="22"/>
              </w:rPr>
            </w:pPr>
          </w:p>
          <w:p w14:paraId="614B6768" w14:textId="77777777" w:rsidR="00163FEF" w:rsidRPr="0083432C" w:rsidRDefault="00163FEF" w:rsidP="00163FEF">
            <w:pPr>
              <w:pStyle w:val="CommentText"/>
              <w:rPr>
                <w:sz w:val="22"/>
                <w:szCs w:val="22"/>
              </w:rPr>
            </w:pPr>
            <w:r w:rsidRPr="0083432C">
              <w:rPr>
                <w:sz w:val="22"/>
                <w:szCs w:val="22"/>
              </w:rPr>
              <w:t>Changing “access” to “credentials” resolves the ambiguity Franck mentions.  (IPC)</w:t>
            </w:r>
          </w:p>
          <w:p w14:paraId="24CADE85" w14:textId="77777777" w:rsidR="00163FEF" w:rsidRPr="0083432C" w:rsidRDefault="00163FEF" w:rsidP="00163FEF">
            <w:pPr>
              <w:rPr>
                <w:rFonts w:cstheme="minorHAnsi"/>
                <w:sz w:val="22"/>
                <w:szCs w:val="22"/>
              </w:rPr>
            </w:pPr>
          </w:p>
          <w:p w14:paraId="59643ABB" w14:textId="15C750B6" w:rsidR="00163FEF" w:rsidRPr="00D0546A" w:rsidRDefault="00163FEF" w:rsidP="00163FEF">
            <w:pPr>
              <w:rPr>
                <w:sz w:val="22"/>
                <w:szCs w:val="22"/>
              </w:rPr>
            </w:pPr>
            <w:r w:rsidRPr="0083432C">
              <w:rPr>
                <w:sz w:val="22"/>
                <w:szCs w:val="22"/>
              </w:rPr>
              <w:t>‘Abusive’ use of SSAD - Does this refer to a (which mentions abuse AND misuse), b or both? (IPC)</w:t>
            </w:r>
          </w:p>
        </w:tc>
        <w:tc>
          <w:tcPr>
            <w:tcW w:w="3960" w:type="dxa"/>
            <w:shd w:val="clear" w:color="auto" w:fill="8EAADB" w:themeFill="accent1" w:themeFillTint="99"/>
          </w:tcPr>
          <w:p w14:paraId="21B6D4FE" w14:textId="23389F7C" w:rsidR="00163FEF" w:rsidRDefault="00163FEF" w:rsidP="00163FE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Current language: </w:t>
            </w:r>
            <w:r w:rsidRPr="0023175F">
              <w:rPr>
                <w:rFonts w:ascii="Calibri" w:eastAsia="Calibri" w:hAnsi="Calibri" w:cs="Calibri"/>
                <w:color w:val="000000"/>
                <w:sz w:val="22"/>
                <w:szCs w:val="22"/>
              </w:rPr>
              <w:t>a) Must monitor the system and take appropriate action, such as revoking or limiting access, to protect against abuse or misuse of the system;</w:t>
            </w:r>
          </w:p>
          <w:p w14:paraId="7E15D6E2" w14:textId="77777777" w:rsidR="00163FEF" w:rsidRDefault="00163FEF" w:rsidP="00163FE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 </w:t>
            </w:r>
            <w:r w:rsidRPr="0023175F">
              <w:rPr>
                <w:rFonts w:ascii="Calibri" w:eastAsia="Calibri" w:hAnsi="Calibri" w:cs="Calibri"/>
                <w:color w:val="000000"/>
                <w:sz w:val="22"/>
                <w:szCs w:val="22"/>
              </w:rPr>
              <w:t>May take measures to limit the number of requests that are submitted by the same requestor if it is demonstrated that the requests are of an abusive* nature</w:t>
            </w:r>
            <w:r>
              <w:rPr>
                <w:rFonts w:ascii="Calibri" w:eastAsia="Calibri" w:hAnsi="Calibri" w:cs="Calibri"/>
                <w:color w:val="000000"/>
                <w:sz w:val="22"/>
                <w:szCs w:val="22"/>
              </w:rPr>
              <w:t>.</w:t>
            </w:r>
          </w:p>
          <w:p w14:paraId="26E1884D" w14:textId="77777777" w:rsidR="00163FEF" w:rsidRDefault="00163FEF" w:rsidP="00163FEF">
            <w:pPr>
              <w:pBdr>
                <w:top w:val="nil"/>
                <w:left w:val="nil"/>
                <w:bottom w:val="nil"/>
                <w:right w:val="nil"/>
                <w:between w:val="nil"/>
              </w:pBdr>
              <w:rPr>
                <w:rFonts w:ascii="Calibri" w:eastAsia="Calibri" w:hAnsi="Calibri" w:cs="Calibri"/>
                <w:color w:val="000000"/>
                <w:sz w:val="22"/>
                <w:szCs w:val="22"/>
              </w:rPr>
            </w:pPr>
          </w:p>
          <w:p w14:paraId="7FC91D47" w14:textId="3536B08A" w:rsidR="00163FEF" w:rsidRPr="00F70165" w:rsidRDefault="00163FEF" w:rsidP="00163FEF">
            <w:pPr>
              <w:rPr>
                <w:sz w:val="22"/>
                <w:szCs w:val="22"/>
              </w:rPr>
            </w:pPr>
            <w:r w:rsidRPr="0023175F">
              <w:rPr>
                <w:rFonts w:ascii="Calibri" w:eastAsia="Calibri" w:hAnsi="Calibri" w:cs="Calibri"/>
                <w:color w:val="000000"/>
                <w:sz w:val="22"/>
                <w:szCs w:val="22"/>
              </w:rPr>
              <w:t>*“Abusive” use of SSAD may include (but is not limited to) the detection of one or more of the following behaviors/practices:</w:t>
            </w:r>
          </w:p>
        </w:tc>
        <w:tc>
          <w:tcPr>
            <w:tcW w:w="3955" w:type="dxa"/>
            <w:shd w:val="clear" w:color="auto" w:fill="8EAADB" w:themeFill="accent1" w:themeFillTint="99"/>
          </w:tcPr>
          <w:p w14:paraId="61752A25" w14:textId="358665FC" w:rsidR="00163FEF" w:rsidRPr="00163FEF" w:rsidRDefault="00163FEF" w:rsidP="00163FEF">
            <w:pPr>
              <w:rPr>
                <w:sz w:val="22"/>
                <w:szCs w:val="22"/>
              </w:rPr>
            </w:pPr>
            <w:r w:rsidRPr="00163FEF">
              <w:rPr>
                <w:rFonts w:cstheme="minorHAnsi"/>
                <w:sz w:val="22"/>
                <w:szCs w:val="22"/>
              </w:rPr>
              <w:t>This language was extensively discussed and finally agreed to – suggest not reopening this section unless there is information that was previously not considered.</w:t>
            </w:r>
          </w:p>
        </w:tc>
      </w:tr>
      <w:tr w:rsidR="00594B40" w:rsidRPr="00D0546A" w14:paraId="5BFB5916" w14:textId="77777777" w:rsidTr="00F93925">
        <w:tc>
          <w:tcPr>
            <w:tcW w:w="1075" w:type="dxa"/>
          </w:tcPr>
          <w:p w14:paraId="4A8706B2" w14:textId="1BB4C60F" w:rsidR="00594B40" w:rsidRDefault="00594B40" w:rsidP="00163FEF">
            <w:pPr>
              <w:rPr>
                <w:sz w:val="22"/>
                <w:szCs w:val="22"/>
              </w:rPr>
            </w:pPr>
            <w:r>
              <w:rPr>
                <w:sz w:val="22"/>
                <w:szCs w:val="22"/>
              </w:rPr>
              <w:t>#58</w:t>
            </w:r>
          </w:p>
        </w:tc>
        <w:tc>
          <w:tcPr>
            <w:tcW w:w="3960" w:type="dxa"/>
          </w:tcPr>
          <w:p w14:paraId="011EE965" w14:textId="77777777" w:rsidR="00594B40" w:rsidRDefault="00594B40" w:rsidP="00594B40">
            <w:pPr>
              <w:rPr>
                <w:rFonts w:cstheme="minorHAnsi"/>
                <w:sz w:val="22"/>
                <w:szCs w:val="22"/>
              </w:rPr>
            </w:pPr>
            <w:r w:rsidRPr="006B4810">
              <w:rPr>
                <w:rFonts w:cstheme="minorHAnsi"/>
                <w:sz w:val="22"/>
                <w:szCs w:val="22"/>
              </w:rPr>
              <w:t xml:space="preserve">Still don’t know what it means to say “unless otherwise required or permitted (NCSG). </w:t>
            </w:r>
          </w:p>
          <w:p w14:paraId="19EC8729" w14:textId="77777777" w:rsidR="00594B40" w:rsidRDefault="00594B40" w:rsidP="00594B40">
            <w:pPr>
              <w:rPr>
                <w:rFonts w:cstheme="minorHAnsi"/>
                <w:sz w:val="22"/>
                <w:szCs w:val="22"/>
              </w:rPr>
            </w:pPr>
          </w:p>
          <w:p w14:paraId="2209DD9B" w14:textId="77777777" w:rsidR="00594B40" w:rsidRDefault="00594B40" w:rsidP="00594B40">
            <w:pPr>
              <w:rPr>
                <w:rFonts w:cstheme="minorHAnsi"/>
                <w:sz w:val="22"/>
                <w:szCs w:val="22"/>
              </w:rPr>
            </w:pPr>
            <w:r w:rsidRPr="00202F23">
              <w:rPr>
                <w:rFonts w:cstheme="minorHAnsi"/>
                <w:sz w:val="22"/>
                <w:szCs w:val="22"/>
              </w:rPr>
              <w:lastRenderedPageBreak/>
              <w:t>“unless otherwise required or permitted” is from the New gTLD Registry Agreement. The original registration date is in the data formerly known as “thin WHOIS”, so we agree that this language could be clearer.</w:t>
            </w:r>
            <w:r>
              <w:rPr>
                <w:rFonts w:cstheme="minorHAnsi"/>
                <w:sz w:val="22"/>
                <w:szCs w:val="22"/>
              </w:rPr>
              <w:t xml:space="preserve"> (IPC)</w:t>
            </w:r>
          </w:p>
          <w:p w14:paraId="6F873AA4" w14:textId="77777777" w:rsidR="00594B40" w:rsidRDefault="00594B40" w:rsidP="00594B40">
            <w:pPr>
              <w:rPr>
                <w:rFonts w:cstheme="minorHAnsi"/>
                <w:sz w:val="22"/>
                <w:szCs w:val="22"/>
              </w:rPr>
            </w:pPr>
          </w:p>
          <w:p w14:paraId="3918BC86" w14:textId="31E19808" w:rsidR="00594B40" w:rsidRPr="0083432C" w:rsidRDefault="00594B40" w:rsidP="00594B40">
            <w:pPr>
              <w:pStyle w:val="CommentText"/>
              <w:rPr>
                <w:sz w:val="22"/>
                <w:szCs w:val="22"/>
              </w:rPr>
            </w:pPr>
            <w:r w:rsidRPr="00202F23">
              <w:rPr>
                <w:rFonts w:asciiTheme="minorHAnsi" w:hAnsiTheme="minorHAnsi" w:cstheme="minorHAnsi"/>
                <w:sz w:val="22"/>
                <w:szCs w:val="22"/>
              </w:rPr>
              <w:t>Define “bulk access” according to meaning in the 2013 RAA Section 3.3.6.1 “a complete copy of the data available”</w:t>
            </w:r>
            <w:r>
              <w:rPr>
                <w:rFonts w:asciiTheme="minorHAnsi" w:hAnsiTheme="minorHAnsi" w:cstheme="minorHAnsi"/>
                <w:sz w:val="22"/>
                <w:szCs w:val="22"/>
              </w:rPr>
              <w:t xml:space="preserve"> (IPC)</w:t>
            </w:r>
          </w:p>
        </w:tc>
        <w:tc>
          <w:tcPr>
            <w:tcW w:w="3960" w:type="dxa"/>
          </w:tcPr>
          <w:p w14:paraId="7D3D5BD2" w14:textId="77777777" w:rsidR="00594B40" w:rsidRDefault="00594B40" w:rsidP="00163FEF">
            <w:pPr>
              <w:pBdr>
                <w:top w:val="nil"/>
                <w:left w:val="nil"/>
                <w:bottom w:val="nil"/>
                <w:right w:val="nil"/>
                <w:between w:val="nil"/>
              </w:pBdr>
              <w:rPr>
                <w:rFonts w:ascii="Calibri" w:hAnsi="Calibri" w:cs="Calibri"/>
                <w:color w:val="000000"/>
                <w:sz w:val="22"/>
                <w:szCs w:val="22"/>
              </w:rPr>
            </w:pPr>
            <w:r>
              <w:rPr>
                <w:rFonts w:ascii="Calibri" w:hAnsi="Calibri" w:cs="Calibri"/>
                <w:color w:val="000000"/>
                <w:sz w:val="22"/>
                <w:szCs w:val="22"/>
              </w:rPr>
              <w:lastRenderedPageBreak/>
              <w:t xml:space="preserve">a. </w:t>
            </w:r>
            <w:r w:rsidRPr="006B4810">
              <w:rPr>
                <w:rFonts w:ascii="Calibri" w:hAnsi="Calibri" w:cs="Calibri"/>
                <w:color w:val="000000"/>
                <w:sz w:val="22"/>
                <w:szCs w:val="22"/>
              </w:rPr>
              <w:t>Unless otherwise required or permitted, not allow bulk access</w:t>
            </w:r>
            <w:r w:rsidR="001B276C">
              <w:rPr>
                <w:rFonts w:ascii="Calibri" w:hAnsi="Calibri" w:cs="Calibri"/>
                <w:b/>
                <w:bCs/>
                <w:color w:val="000000"/>
                <w:sz w:val="22"/>
                <w:szCs w:val="22"/>
              </w:rPr>
              <w:t>*</w:t>
            </w:r>
            <w:r w:rsidRPr="006B4810">
              <w:rPr>
                <w:rFonts w:ascii="Calibri" w:hAnsi="Calibri" w:cs="Calibri"/>
                <w:color w:val="000000"/>
                <w:sz w:val="22"/>
                <w:szCs w:val="22"/>
              </w:rPr>
              <w:t xml:space="preserve">, wildcard requests, </w:t>
            </w:r>
            <w:r w:rsidRPr="00594B40">
              <w:rPr>
                <w:rFonts w:ascii="Calibri" w:hAnsi="Calibri" w:cs="Calibri"/>
                <w:strike/>
                <w:color w:val="000000"/>
                <w:sz w:val="22"/>
                <w:szCs w:val="22"/>
              </w:rPr>
              <w:t>[reverse lookups]</w:t>
            </w:r>
            <w:r w:rsidRPr="006B4810">
              <w:rPr>
                <w:rFonts w:ascii="Calibri" w:hAnsi="Calibri" w:cs="Calibri"/>
                <w:color w:val="000000"/>
                <w:sz w:val="22"/>
                <w:szCs w:val="22"/>
              </w:rPr>
              <w:t>, nor boolean search capabilities.</w:t>
            </w:r>
          </w:p>
          <w:p w14:paraId="397799C3" w14:textId="77777777" w:rsidR="001B276C" w:rsidRDefault="001B276C" w:rsidP="00163FEF">
            <w:pPr>
              <w:pBdr>
                <w:top w:val="nil"/>
                <w:left w:val="nil"/>
                <w:bottom w:val="nil"/>
                <w:right w:val="nil"/>
                <w:between w:val="nil"/>
              </w:pBdr>
              <w:rPr>
                <w:rFonts w:ascii="Calibri" w:eastAsia="Calibri" w:hAnsi="Calibri" w:cs="Calibri"/>
                <w:color w:val="000000"/>
                <w:sz w:val="22"/>
                <w:szCs w:val="22"/>
              </w:rPr>
            </w:pPr>
          </w:p>
          <w:p w14:paraId="0505282A" w14:textId="093C3EB0" w:rsidR="001B276C" w:rsidRPr="001B276C" w:rsidRDefault="001B276C" w:rsidP="001B276C">
            <w:pPr>
              <w:pBdr>
                <w:top w:val="nil"/>
                <w:left w:val="nil"/>
                <w:bottom w:val="nil"/>
                <w:right w:val="nil"/>
                <w:between w:val="nil"/>
              </w:pBdr>
              <w:rPr>
                <w:rFonts w:ascii="Calibri" w:eastAsia="Calibri" w:hAnsi="Calibri" w:cs="Calibri"/>
                <w:b/>
                <w:bCs/>
                <w:color w:val="000000"/>
                <w:sz w:val="18"/>
                <w:szCs w:val="18"/>
              </w:rPr>
            </w:pPr>
            <w:r w:rsidRPr="001B276C">
              <w:rPr>
                <w:rFonts w:ascii="Calibri" w:eastAsia="Calibri" w:hAnsi="Calibri" w:cs="Calibri"/>
                <w:b/>
                <w:bCs/>
                <w:color w:val="000000"/>
                <w:sz w:val="18"/>
                <w:szCs w:val="18"/>
              </w:rPr>
              <w:t>*As described in the RAA, section 3.3.6</w:t>
            </w:r>
          </w:p>
        </w:tc>
        <w:tc>
          <w:tcPr>
            <w:tcW w:w="3955" w:type="dxa"/>
          </w:tcPr>
          <w:p w14:paraId="682CCA1B" w14:textId="77777777" w:rsidR="00594B40" w:rsidRDefault="00594B40" w:rsidP="00163FEF">
            <w:pPr>
              <w:rPr>
                <w:rFonts w:cstheme="minorHAnsi"/>
                <w:sz w:val="22"/>
                <w:szCs w:val="22"/>
              </w:rPr>
            </w:pPr>
            <w:r>
              <w:rPr>
                <w:rFonts w:cstheme="minorHAnsi"/>
                <w:sz w:val="22"/>
                <w:szCs w:val="22"/>
              </w:rPr>
              <w:lastRenderedPageBreak/>
              <w:t xml:space="preserve">Update to reflect agreement from </w:t>
            </w:r>
            <w:r w:rsidR="001B276C">
              <w:rPr>
                <w:rFonts w:cstheme="minorHAnsi"/>
                <w:sz w:val="22"/>
                <w:szCs w:val="22"/>
              </w:rPr>
              <w:t>23/1 meeting.</w:t>
            </w:r>
          </w:p>
          <w:p w14:paraId="7BB4DEE7" w14:textId="77777777" w:rsidR="001B276C" w:rsidRDefault="001B276C" w:rsidP="00163FEF">
            <w:pPr>
              <w:rPr>
                <w:rFonts w:cstheme="minorHAnsi"/>
                <w:sz w:val="22"/>
                <w:szCs w:val="22"/>
              </w:rPr>
            </w:pPr>
          </w:p>
          <w:p w14:paraId="31E291AD" w14:textId="19526D1D" w:rsidR="001B276C" w:rsidRPr="00163FEF" w:rsidRDefault="001B276C" w:rsidP="00163FEF">
            <w:pPr>
              <w:rPr>
                <w:rFonts w:cstheme="minorHAnsi"/>
                <w:sz w:val="22"/>
                <w:szCs w:val="22"/>
              </w:rPr>
            </w:pPr>
          </w:p>
        </w:tc>
      </w:tr>
      <w:tr w:rsidR="001B276C" w:rsidRPr="00D0546A" w14:paraId="6DDD839C" w14:textId="77777777" w:rsidTr="00832BA6">
        <w:tc>
          <w:tcPr>
            <w:tcW w:w="1075" w:type="dxa"/>
            <w:shd w:val="clear" w:color="auto" w:fill="8EAADB" w:themeFill="accent1" w:themeFillTint="99"/>
          </w:tcPr>
          <w:p w14:paraId="6F860818" w14:textId="37929D42" w:rsidR="001B276C" w:rsidRDefault="001B276C" w:rsidP="00163FEF">
            <w:pPr>
              <w:rPr>
                <w:sz w:val="22"/>
                <w:szCs w:val="22"/>
              </w:rPr>
            </w:pPr>
            <w:r>
              <w:rPr>
                <w:sz w:val="22"/>
                <w:szCs w:val="22"/>
              </w:rPr>
              <w:t>#59</w:t>
            </w:r>
          </w:p>
        </w:tc>
        <w:tc>
          <w:tcPr>
            <w:tcW w:w="3960" w:type="dxa"/>
            <w:shd w:val="clear" w:color="auto" w:fill="8EAADB" w:themeFill="accent1" w:themeFillTint="99"/>
          </w:tcPr>
          <w:p w14:paraId="03F17E87" w14:textId="5332EC3D" w:rsidR="001B276C" w:rsidRPr="006B4810" w:rsidRDefault="001B276C" w:rsidP="00594B40">
            <w:pPr>
              <w:rPr>
                <w:rFonts w:cstheme="minorHAnsi"/>
                <w:sz w:val="22"/>
                <w:szCs w:val="22"/>
              </w:rPr>
            </w:pPr>
            <w:r w:rsidRPr="006B4810">
              <w:rPr>
                <w:rFonts w:cstheme="minorHAnsi"/>
                <w:sz w:val="22"/>
                <w:szCs w:val="22"/>
              </w:rPr>
              <w:t>Re: history, what about the domain's original date of registration? (NCSG)</w:t>
            </w:r>
          </w:p>
        </w:tc>
        <w:tc>
          <w:tcPr>
            <w:tcW w:w="3960" w:type="dxa"/>
            <w:shd w:val="clear" w:color="auto" w:fill="8EAADB" w:themeFill="accent1" w:themeFillTint="99"/>
          </w:tcPr>
          <w:p w14:paraId="628FB39E" w14:textId="17B74095" w:rsidR="001B276C" w:rsidRDefault="001B276C" w:rsidP="00163FEF">
            <w:pPr>
              <w:pBdr>
                <w:top w:val="nil"/>
                <w:left w:val="nil"/>
                <w:bottom w:val="nil"/>
                <w:right w:val="nil"/>
                <w:between w:val="nil"/>
              </w:pBdr>
              <w:rPr>
                <w:rFonts w:ascii="Calibri" w:hAnsi="Calibri" w:cs="Calibri"/>
                <w:color w:val="000000"/>
                <w:sz w:val="22"/>
                <w:szCs w:val="22"/>
              </w:rPr>
            </w:pPr>
            <w:r>
              <w:rPr>
                <w:rFonts w:ascii="Calibri" w:hAnsi="Calibri" w:cs="Calibri"/>
                <w:color w:val="000000"/>
                <w:sz w:val="22"/>
                <w:szCs w:val="22"/>
              </w:rPr>
              <w:t xml:space="preserve">Current language: d. </w:t>
            </w:r>
            <w:r w:rsidRPr="006B4810">
              <w:rPr>
                <w:rFonts w:ascii="Calibri" w:hAnsi="Calibri" w:cs="Calibri"/>
                <w:color w:val="000000"/>
                <w:sz w:val="22"/>
                <w:szCs w:val="22"/>
              </w:rPr>
              <w:t>Only return current data (no data about the domain name registration’s history)</w:t>
            </w:r>
          </w:p>
        </w:tc>
        <w:tc>
          <w:tcPr>
            <w:tcW w:w="3955" w:type="dxa"/>
            <w:shd w:val="clear" w:color="auto" w:fill="8EAADB" w:themeFill="accent1" w:themeFillTint="99"/>
          </w:tcPr>
          <w:p w14:paraId="3DEAA58A" w14:textId="44368C84" w:rsidR="001B276C" w:rsidRPr="001B276C" w:rsidRDefault="001B276C" w:rsidP="00163FEF">
            <w:pPr>
              <w:rPr>
                <w:rFonts w:cstheme="minorHAnsi"/>
                <w:sz w:val="22"/>
                <w:szCs w:val="22"/>
              </w:rPr>
            </w:pPr>
            <w:r>
              <w:rPr>
                <w:rFonts w:cstheme="minorHAnsi"/>
                <w:sz w:val="22"/>
                <w:szCs w:val="22"/>
              </w:rPr>
              <w:t>Original creation data is part of minimum public data set.</w:t>
            </w:r>
          </w:p>
        </w:tc>
      </w:tr>
      <w:tr w:rsidR="001B276C" w:rsidRPr="00D0546A" w14:paraId="6A8D7BE2" w14:textId="77777777" w:rsidTr="00222B42">
        <w:tc>
          <w:tcPr>
            <w:tcW w:w="1075" w:type="dxa"/>
            <w:shd w:val="clear" w:color="auto" w:fill="8EAADB" w:themeFill="accent1" w:themeFillTint="99"/>
          </w:tcPr>
          <w:p w14:paraId="253DFF27" w14:textId="0F14804A" w:rsidR="001B276C" w:rsidRDefault="001B276C" w:rsidP="00163FEF">
            <w:pPr>
              <w:rPr>
                <w:sz w:val="22"/>
                <w:szCs w:val="22"/>
              </w:rPr>
            </w:pPr>
            <w:r>
              <w:rPr>
                <w:sz w:val="22"/>
                <w:szCs w:val="22"/>
              </w:rPr>
              <w:t>#60</w:t>
            </w:r>
          </w:p>
        </w:tc>
        <w:tc>
          <w:tcPr>
            <w:tcW w:w="3960" w:type="dxa"/>
            <w:shd w:val="clear" w:color="auto" w:fill="8EAADB" w:themeFill="accent1" w:themeFillTint="99"/>
          </w:tcPr>
          <w:p w14:paraId="4E91D10B" w14:textId="77777777" w:rsidR="00983115" w:rsidRPr="00202F23" w:rsidRDefault="00983115" w:rsidP="00983115">
            <w:pPr>
              <w:rPr>
                <w:rFonts w:cstheme="minorHAnsi"/>
                <w:sz w:val="22"/>
                <w:szCs w:val="22"/>
              </w:rPr>
            </w:pPr>
            <w:r w:rsidRPr="00202F23">
              <w:rPr>
                <w:rFonts w:cstheme="minorHAnsi"/>
                <w:sz w:val="22"/>
                <w:szCs w:val="22"/>
              </w:rPr>
              <w:t>Delete: it’s redundant with language in c. above. (IPC)</w:t>
            </w:r>
          </w:p>
          <w:p w14:paraId="4B0D7022" w14:textId="77777777" w:rsidR="00983115" w:rsidRPr="00202F23" w:rsidRDefault="00983115" w:rsidP="00983115">
            <w:pPr>
              <w:rPr>
                <w:rFonts w:cstheme="minorHAnsi"/>
                <w:sz w:val="22"/>
                <w:szCs w:val="22"/>
              </w:rPr>
            </w:pPr>
          </w:p>
          <w:p w14:paraId="567245F2" w14:textId="5D9399B9" w:rsidR="001B276C" w:rsidRPr="006B4810" w:rsidRDefault="00983115" w:rsidP="00983115">
            <w:pPr>
              <w:rPr>
                <w:rFonts w:cstheme="minorHAnsi"/>
                <w:sz w:val="22"/>
                <w:szCs w:val="22"/>
              </w:rPr>
            </w:pPr>
            <w:r w:rsidRPr="00202F23">
              <w:rPr>
                <w:rFonts w:cstheme="minorHAnsi"/>
                <w:sz w:val="22"/>
                <w:szCs w:val="22"/>
              </w:rPr>
              <w:t>redundant with 8(a) and 9(c)#2 (BC</w:t>
            </w:r>
          </w:p>
        </w:tc>
        <w:tc>
          <w:tcPr>
            <w:tcW w:w="3960" w:type="dxa"/>
            <w:shd w:val="clear" w:color="auto" w:fill="8EAADB" w:themeFill="accent1" w:themeFillTint="99"/>
          </w:tcPr>
          <w:p w14:paraId="78F23964" w14:textId="7D4541EB" w:rsidR="001B276C" w:rsidRDefault="00983115" w:rsidP="00163FEF">
            <w:pPr>
              <w:pBdr>
                <w:top w:val="nil"/>
                <w:left w:val="nil"/>
                <w:bottom w:val="nil"/>
                <w:right w:val="nil"/>
                <w:between w:val="nil"/>
              </w:pBdr>
              <w:rPr>
                <w:rFonts w:ascii="Calibri" w:hAnsi="Calibri" w:cs="Calibri"/>
                <w:color w:val="000000"/>
                <w:sz w:val="22"/>
                <w:szCs w:val="22"/>
              </w:rPr>
            </w:pPr>
            <w:r>
              <w:rPr>
                <w:rFonts w:ascii="Calibri" w:hAnsi="Calibri" w:cs="Calibri"/>
                <w:color w:val="000000"/>
                <w:sz w:val="22"/>
                <w:szCs w:val="22"/>
              </w:rPr>
              <w:t xml:space="preserve">Current language: </w:t>
            </w:r>
            <w:r w:rsidRPr="00202F23">
              <w:rPr>
                <w:rFonts w:ascii="Calibri" w:hAnsi="Calibri" w:cs="Calibri"/>
                <w:color w:val="000000"/>
                <w:sz w:val="22"/>
                <w:szCs w:val="22"/>
              </w:rPr>
              <w:t>Requests must only refer to current registration data (historical registration data will not be made available via this mechanism).</w:t>
            </w:r>
          </w:p>
        </w:tc>
        <w:tc>
          <w:tcPr>
            <w:tcW w:w="3955" w:type="dxa"/>
            <w:shd w:val="clear" w:color="auto" w:fill="8EAADB" w:themeFill="accent1" w:themeFillTint="99"/>
          </w:tcPr>
          <w:p w14:paraId="7F90A16B" w14:textId="75BE7601" w:rsidR="001B276C" w:rsidRDefault="00983115" w:rsidP="00163FEF">
            <w:pPr>
              <w:rPr>
                <w:rFonts w:cstheme="minorHAnsi"/>
                <w:sz w:val="22"/>
                <w:szCs w:val="22"/>
              </w:rPr>
            </w:pPr>
            <w:r w:rsidRPr="00105452">
              <w:rPr>
                <w:rFonts w:cstheme="minorHAnsi"/>
                <w:sz w:val="22"/>
                <w:szCs w:val="22"/>
              </w:rPr>
              <w:t>If it is considered harmless suggest leaving it as some have stated that this is important to be restated where applicable</w:t>
            </w:r>
            <w:r>
              <w:rPr>
                <w:rFonts w:cstheme="minorHAnsi"/>
                <w:sz w:val="22"/>
                <w:szCs w:val="22"/>
              </w:rPr>
              <w:t>.</w:t>
            </w:r>
          </w:p>
        </w:tc>
      </w:tr>
    </w:tbl>
    <w:p w14:paraId="657E2C5A" w14:textId="67189370" w:rsidR="00163FEF" w:rsidRDefault="00163FEF">
      <w:pPr>
        <w:rPr>
          <w:b/>
          <w:bCs/>
        </w:rPr>
      </w:pPr>
    </w:p>
    <w:p w14:paraId="34DD1734" w14:textId="1AB6128F" w:rsidR="00983115" w:rsidRDefault="00983115">
      <w:pPr>
        <w:rPr>
          <w:b/>
          <w:bCs/>
        </w:rPr>
      </w:pPr>
      <w:r>
        <w:rPr>
          <w:b/>
          <w:bCs/>
        </w:rPr>
        <w:t>TERMS OF USE</w:t>
      </w:r>
    </w:p>
    <w:p w14:paraId="55F2BB9C" w14:textId="5C142A55" w:rsidR="00983115" w:rsidRDefault="00983115">
      <w:pPr>
        <w:rPr>
          <w:b/>
          <w:bCs/>
        </w:rPr>
      </w:pPr>
    </w:p>
    <w:tbl>
      <w:tblPr>
        <w:tblStyle w:val="TableGrid"/>
        <w:tblW w:w="0" w:type="auto"/>
        <w:tblLook w:val="04A0" w:firstRow="1" w:lastRow="0" w:firstColumn="1" w:lastColumn="0" w:noHBand="0" w:noVBand="1"/>
      </w:tblPr>
      <w:tblGrid>
        <w:gridCol w:w="1075"/>
        <w:gridCol w:w="3960"/>
        <w:gridCol w:w="3960"/>
        <w:gridCol w:w="3955"/>
      </w:tblGrid>
      <w:tr w:rsidR="00983115" w:rsidRPr="00D0546A" w14:paraId="4A78C7D0" w14:textId="77777777" w:rsidTr="00F93925">
        <w:trPr>
          <w:tblHeader/>
        </w:trPr>
        <w:tc>
          <w:tcPr>
            <w:tcW w:w="1075" w:type="dxa"/>
            <w:shd w:val="clear" w:color="auto" w:fill="A5A5A5" w:themeFill="accent3"/>
          </w:tcPr>
          <w:p w14:paraId="49126887" w14:textId="77777777" w:rsidR="00983115" w:rsidRPr="00D0546A" w:rsidRDefault="00983115" w:rsidP="00F93925">
            <w:pPr>
              <w:rPr>
                <w:b/>
                <w:bCs/>
                <w:sz w:val="22"/>
                <w:szCs w:val="22"/>
              </w:rPr>
            </w:pPr>
            <w:r w:rsidRPr="00D0546A">
              <w:rPr>
                <w:b/>
                <w:bCs/>
                <w:sz w:val="22"/>
                <w:szCs w:val="22"/>
              </w:rPr>
              <w:t># on Issue List</w:t>
            </w:r>
          </w:p>
        </w:tc>
        <w:tc>
          <w:tcPr>
            <w:tcW w:w="3960" w:type="dxa"/>
            <w:shd w:val="clear" w:color="auto" w:fill="A5A5A5" w:themeFill="accent3"/>
          </w:tcPr>
          <w:p w14:paraId="6240D563" w14:textId="77777777" w:rsidR="00983115" w:rsidRPr="00D0546A" w:rsidRDefault="00983115" w:rsidP="00F93925">
            <w:pPr>
              <w:rPr>
                <w:b/>
                <w:bCs/>
                <w:sz w:val="22"/>
                <w:szCs w:val="22"/>
              </w:rPr>
            </w:pPr>
            <w:r w:rsidRPr="00D0546A">
              <w:rPr>
                <w:b/>
                <w:bCs/>
                <w:sz w:val="22"/>
                <w:szCs w:val="22"/>
              </w:rPr>
              <w:t>Comment (by)</w:t>
            </w:r>
          </w:p>
        </w:tc>
        <w:tc>
          <w:tcPr>
            <w:tcW w:w="3960" w:type="dxa"/>
            <w:shd w:val="clear" w:color="auto" w:fill="A5A5A5" w:themeFill="accent3"/>
          </w:tcPr>
          <w:p w14:paraId="6C4728B4" w14:textId="77777777" w:rsidR="00983115" w:rsidRPr="00D0546A" w:rsidRDefault="00983115" w:rsidP="00F93925">
            <w:pPr>
              <w:rPr>
                <w:b/>
                <w:bCs/>
                <w:sz w:val="22"/>
                <w:szCs w:val="22"/>
              </w:rPr>
            </w:pPr>
            <w:r w:rsidRPr="00D0546A">
              <w:rPr>
                <w:b/>
                <w:bCs/>
                <w:sz w:val="22"/>
                <w:szCs w:val="22"/>
              </w:rPr>
              <w:t>Proposed Rewording</w:t>
            </w:r>
            <w:r>
              <w:rPr>
                <w:b/>
                <w:bCs/>
                <w:sz w:val="22"/>
                <w:szCs w:val="22"/>
              </w:rPr>
              <w:t xml:space="preserve"> (in bold)</w:t>
            </w:r>
          </w:p>
        </w:tc>
        <w:tc>
          <w:tcPr>
            <w:tcW w:w="3955" w:type="dxa"/>
            <w:shd w:val="clear" w:color="auto" w:fill="A5A5A5" w:themeFill="accent3"/>
          </w:tcPr>
          <w:p w14:paraId="00F17742" w14:textId="77777777" w:rsidR="00983115" w:rsidRPr="00D0546A" w:rsidRDefault="00983115" w:rsidP="00F93925">
            <w:pPr>
              <w:rPr>
                <w:b/>
                <w:bCs/>
                <w:sz w:val="22"/>
                <w:szCs w:val="22"/>
              </w:rPr>
            </w:pPr>
            <w:r>
              <w:rPr>
                <w:b/>
                <w:bCs/>
                <w:sz w:val="22"/>
                <w:szCs w:val="22"/>
              </w:rPr>
              <w:t xml:space="preserve">Leadership </w:t>
            </w:r>
            <w:r w:rsidRPr="00D0546A">
              <w:rPr>
                <w:b/>
                <w:bCs/>
                <w:sz w:val="22"/>
                <w:szCs w:val="22"/>
              </w:rPr>
              <w:t>Notes</w:t>
            </w:r>
          </w:p>
        </w:tc>
      </w:tr>
      <w:tr w:rsidR="00983115" w:rsidRPr="00D0546A" w14:paraId="3D246EFD" w14:textId="77777777" w:rsidTr="00F93925">
        <w:tc>
          <w:tcPr>
            <w:tcW w:w="1075" w:type="dxa"/>
          </w:tcPr>
          <w:p w14:paraId="1696502E" w14:textId="5BC3EFD1" w:rsidR="00983115" w:rsidRPr="00D0546A" w:rsidRDefault="00983115" w:rsidP="00F93925">
            <w:pPr>
              <w:rPr>
                <w:sz w:val="22"/>
                <w:szCs w:val="22"/>
              </w:rPr>
            </w:pPr>
            <w:r>
              <w:rPr>
                <w:sz w:val="22"/>
                <w:szCs w:val="22"/>
              </w:rPr>
              <w:t>#62</w:t>
            </w:r>
          </w:p>
        </w:tc>
        <w:tc>
          <w:tcPr>
            <w:tcW w:w="3960" w:type="dxa"/>
          </w:tcPr>
          <w:p w14:paraId="6047DAAD" w14:textId="77777777" w:rsidR="00983115" w:rsidRDefault="00983115" w:rsidP="00983115">
            <w:pPr>
              <w:rPr>
                <w:rFonts w:cstheme="minorHAnsi"/>
                <w:sz w:val="22"/>
                <w:szCs w:val="22"/>
              </w:rPr>
            </w:pPr>
            <w:r w:rsidRPr="00F26DBD">
              <w:rPr>
                <w:rFonts w:cstheme="minorHAnsi"/>
                <w:sz w:val="22"/>
                <w:szCs w:val="22"/>
              </w:rPr>
              <w:t>We should make reference to the component parts and information that a privacy policy must have under the GDPR.</w:t>
            </w:r>
            <w:r>
              <w:rPr>
                <w:rFonts w:cstheme="minorHAnsi"/>
                <w:sz w:val="22"/>
                <w:szCs w:val="22"/>
              </w:rPr>
              <w:t xml:space="preserve"> (ISPCP)</w:t>
            </w:r>
          </w:p>
          <w:p w14:paraId="3F9D18C2" w14:textId="77777777" w:rsidR="00983115" w:rsidRDefault="00983115" w:rsidP="00983115">
            <w:pPr>
              <w:rPr>
                <w:sz w:val="22"/>
                <w:szCs w:val="22"/>
              </w:rPr>
            </w:pPr>
          </w:p>
          <w:p w14:paraId="08CB9243" w14:textId="77777777" w:rsidR="00983115" w:rsidRDefault="00983115" w:rsidP="00983115">
            <w:pPr>
              <w:rPr>
                <w:rFonts w:cstheme="minorHAnsi"/>
                <w:sz w:val="22"/>
                <w:szCs w:val="22"/>
              </w:rPr>
            </w:pPr>
            <w:r w:rsidRPr="00202F23">
              <w:rPr>
                <w:rFonts w:cstheme="minorHAnsi"/>
                <w:sz w:val="22"/>
                <w:szCs w:val="22"/>
              </w:rPr>
              <w:t xml:space="preserve">‘The types of third parties with whom personal data is shared’ - Replace with “may be” </w:t>
            </w:r>
            <w:r>
              <w:rPr>
                <w:rFonts w:cstheme="minorHAnsi"/>
                <w:sz w:val="22"/>
                <w:szCs w:val="22"/>
              </w:rPr>
              <w:t>(</w:t>
            </w:r>
            <w:r w:rsidRPr="00202F23">
              <w:rPr>
                <w:rFonts w:cstheme="minorHAnsi"/>
                <w:sz w:val="22"/>
                <w:szCs w:val="22"/>
              </w:rPr>
              <w:t>IPC)</w:t>
            </w:r>
          </w:p>
          <w:p w14:paraId="04B6C845" w14:textId="77777777" w:rsidR="00983115" w:rsidRDefault="00983115" w:rsidP="00983115">
            <w:pPr>
              <w:rPr>
                <w:rFonts w:cstheme="minorHAnsi"/>
                <w:sz w:val="22"/>
                <w:szCs w:val="22"/>
              </w:rPr>
            </w:pPr>
          </w:p>
          <w:p w14:paraId="137FF71A" w14:textId="3A723851" w:rsidR="00983115" w:rsidRPr="00983115" w:rsidRDefault="00983115" w:rsidP="00F93925">
            <w:pPr>
              <w:rPr>
                <w:rFonts w:cstheme="minorHAnsi"/>
                <w:sz w:val="22"/>
                <w:szCs w:val="22"/>
              </w:rPr>
            </w:pPr>
            <w:r w:rsidRPr="00202F23">
              <w:rPr>
                <w:rFonts w:cstheme="minorHAnsi"/>
                <w:sz w:val="22"/>
                <w:szCs w:val="22"/>
              </w:rPr>
              <w:lastRenderedPageBreak/>
              <w:t>‘Where applicable, details of any international data transfers/requirements thereof’ - To what does thereof refer? If to “transfers”, then edit sentence to read “data transfers and their requirements.”</w:t>
            </w:r>
            <w:r>
              <w:rPr>
                <w:rFonts w:cstheme="minorHAnsi"/>
                <w:sz w:val="22"/>
                <w:szCs w:val="22"/>
              </w:rPr>
              <w:t xml:space="preserve"> (IPC)</w:t>
            </w:r>
          </w:p>
        </w:tc>
        <w:tc>
          <w:tcPr>
            <w:tcW w:w="3960" w:type="dxa"/>
          </w:tcPr>
          <w:p w14:paraId="34E2F98A" w14:textId="77777777" w:rsidR="00983115" w:rsidRPr="00983115" w:rsidRDefault="00983115" w:rsidP="00983115">
            <w:pPr>
              <w:pStyle w:val="NormalWeb"/>
              <w:spacing w:before="0" w:beforeAutospacing="0" w:after="0" w:afterAutospacing="0"/>
              <w:rPr>
                <w:rFonts w:ascii="Calibri" w:hAnsi="Calibri" w:cs="Calibri"/>
                <w:color w:val="000000"/>
                <w:sz w:val="22"/>
                <w:szCs w:val="22"/>
              </w:rPr>
            </w:pPr>
            <w:r w:rsidRPr="00983115">
              <w:rPr>
                <w:rFonts w:ascii="Calibri" w:hAnsi="Calibri" w:cs="Calibri"/>
                <w:color w:val="000000"/>
                <w:sz w:val="22"/>
                <w:szCs w:val="22"/>
              </w:rPr>
              <w:lastRenderedPageBreak/>
              <w:t xml:space="preserve">Current language: </w:t>
            </w:r>
            <w:r w:rsidRPr="00F26DBD">
              <w:rPr>
                <w:rFonts w:ascii="Calibri" w:hAnsi="Calibri" w:cs="Calibri"/>
                <w:color w:val="000000"/>
                <w:sz w:val="22"/>
                <w:szCs w:val="22"/>
              </w:rPr>
              <w:t>Privacy Policy</w:t>
            </w:r>
          </w:p>
          <w:p w14:paraId="028BFF67" w14:textId="77777777" w:rsidR="00983115" w:rsidRPr="00F26DBD" w:rsidRDefault="00983115" w:rsidP="00983115">
            <w:pPr>
              <w:rPr>
                <w:sz w:val="22"/>
                <w:szCs w:val="22"/>
              </w:rPr>
            </w:pPr>
          </w:p>
          <w:p w14:paraId="4FD1BDF3" w14:textId="77777777" w:rsidR="00983115" w:rsidRPr="00F26DBD" w:rsidRDefault="00983115" w:rsidP="00983115">
            <w:pPr>
              <w:pStyle w:val="NormalWeb"/>
              <w:spacing w:before="0" w:beforeAutospacing="0" w:after="0" w:afterAutospacing="0"/>
              <w:rPr>
                <w:sz w:val="22"/>
                <w:szCs w:val="22"/>
              </w:rPr>
            </w:pPr>
            <w:r w:rsidRPr="00F26DBD">
              <w:rPr>
                <w:rFonts w:ascii="Calibri" w:hAnsi="Calibri" w:cs="Calibri"/>
                <w:color w:val="000000"/>
                <w:sz w:val="22"/>
                <w:szCs w:val="22"/>
              </w:rPr>
              <w:t>The EPDP recommends, at a minimum, the privacy policy shall include:</w:t>
            </w:r>
          </w:p>
          <w:p w14:paraId="3C710193" w14:textId="77777777" w:rsidR="00983115" w:rsidRPr="00F26DBD" w:rsidRDefault="00983115" w:rsidP="00983115">
            <w:pPr>
              <w:pStyle w:val="NormalWeb"/>
              <w:numPr>
                <w:ilvl w:val="0"/>
                <w:numId w:val="7"/>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Relevant data protection principles, for example,</w:t>
            </w:r>
          </w:p>
          <w:p w14:paraId="56563D44" w14:textId="77777777" w:rsidR="00983115" w:rsidRPr="00F26DBD" w:rsidRDefault="00983115" w:rsidP="00983115">
            <w:pPr>
              <w:pStyle w:val="NormalWeb"/>
              <w:numPr>
                <w:ilvl w:val="0"/>
                <w:numId w:val="7"/>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The type(s) of personal data processed</w:t>
            </w:r>
          </w:p>
          <w:p w14:paraId="457943E0" w14:textId="77777777" w:rsidR="00983115" w:rsidRPr="00F26DBD" w:rsidRDefault="00983115" w:rsidP="00983115">
            <w:pPr>
              <w:pStyle w:val="NormalWeb"/>
              <w:numPr>
                <w:ilvl w:val="0"/>
                <w:numId w:val="7"/>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lastRenderedPageBreak/>
              <w:t>How and why the personal data is processed, for example,</w:t>
            </w:r>
          </w:p>
          <w:p w14:paraId="582DD0F9" w14:textId="77777777" w:rsidR="00983115" w:rsidRPr="00F26DBD" w:rsidRDefault="00983115" w:rsidP="00983115">
            <w:pPr>
              <w:pStyle w:val="NormalWeb"/>
              <w:numPr>
                <w:ilvl w:val="1"/>
                <w:numId w:val="8"/>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verifying identity</w:t>
            </w:r>
          </w:p>
          <w:p w14:paraId="70B6D02C" w14:textId="77777777" w:rsidR="00983115" w:rsidRPr="00F26DBD" w:rsidRDefault="00983115" w:rsidP="00983115">
            <w:pPr>
              <w:pStyle w:val="NormalWeb"/>
              <w:numPr>
                <w:ilvl w:val="1"/>
                <w:numId w:val="8"/>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communicating service notices</w:t>
            </w:r>
          </w:p>
          <w:p w14:paraId="305D2185" w14:textId="77777777" w:rsidR="00983115" w:rsidRPr="00F26DBD" w:rsidRDefault="00983115" w:rsidP="00983115">
            <w:pPr>
              <w:pStyle w:val="NormalWeb"/>
              <w:numPr>
                <w:ilvl w:val="0"/>
                <w:numId w:val="8"/>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 xml:space="preserve">How long personal data will be </w:t>
            </w:r>
            <w:proofErr w:type="gramStart"/>
            <w:r w:rsidRPr="00F26DBD">
              <w:rPr>
                <w:rFonts w:ascii="Calibri" w:hAnsi="Calibri" w:cs="Calibri"/>
                <w:color w:val="000000"/>
                <w:sz w:val="22"/>
                <w:szCs w:val="22"/>
              </w:rPr>
              <w:t>retained</w:t>
            </w:r>
            <w:proofErr w:type="gramEnd"/>
          </w:p>
          <w:p w14:paraId="7FDBB6C4" w14:textId="42C0D755" w:rsidR="00983115" w:rsidRPr="00F26DBD" w:rsidRDefault="00983115" w:rsidP="00983115">
            <w:pPr>
              <w:pStyle w:val="NormalWeb"/>
              <w:numPr>
                <w:ilvl w:val="0"/>
                <w:numId w:val="8"/>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 xml:space="preserve">The types of third parties with whom personal data </w:t>
            </w:r>
            <w:r w:rsidRPr="00983115">
              <w:rPr>
                <w:rFonts w:ascii="Calibri" w:hAnsi="Calibri" w:cs="Calibri"/>
                <w:strike/>
                <w:color w:val="000000"/>
                <w:sz w:val="22"/>
                <w:szCs w:val="22"/>
              </w:rPr>
              <w:t>is</w:t>
            </w:r>
            <w:r w:rsidRPr="00F26DBD">
              <w:rPr>
                <w:rFonts w:ascii="Calibri" w:hAnsi="Calibri" w:cs="Calibri"/>
                <w:color w:val="000000"/>
                <w:sz w:val="22"/>
                <w:szCs w:val="22"/>
              </w:rPr>
              <w:t xml:space="preserve"> </w:t>
            </w:r>
            <w:r>
              <w:rPr>
                <w:rFonts w:ascii="Calibri" w:hAnsi="Calibri" w:cs="Calibri"/>
                <w:b/>
                <w:bCs/>
                <w:color w:val="000000"/>
                <w:sz w:val="22"/>
                <w:szCs w:val="22"/>
              </w:rPr>
              <w:t xml:space="preserve">may be </w:t>
            </w:r>
            <w:r w:rsidRPr="00F26DBD">
              <w:rPr>
                <w:rFonts w:ascii="Calibri" w:hAnsi="Calibri" w:cs="Calibri"/>
                <w:color w:val="000000"/>
                <w:sz w:val="22"/>
                <w:szCs w:val="22"/>
              </w:rPr>
              <w:t>shared</w:t>
            </w:r>
          </w:p>
          <w:p w14:paraId="2AFF7A09" w14:textId="2501E467" w:rsidR="00983115" w:rsidRDefault="00983115" w:rsidP="00983115">
            <w:pPr>
              <w:pStyle w:val="NormalWeb"/>
              <w:numPr>
                <w:ilvl w:val="0"/>
                <w:numId w:val="8"/>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Where applicable, details of any international data transfers</w:t>
            </w:r>
            <w:r>
              <w:rPr>
                <w:rFonts w:ascii="Calibri" w:hAnsi="Calibri" w:cs="Calibri"/>
                <w:b/>
                <w:bCs/>
                <w:color w:val="000000"/>
                <w:sz w:val="22"/>
                <w:szCs w:val="22"/>
              </w:rPr>
              <w:t xml:space="preserve"> and their </w:t>
            </w:r>
            <w:r w:rsidRPr="00983115">
              <w:rPr>
                <w:rFonts w:ascii="Calibri" w:hAnsi="Calibri" w:cs="Calibri"/>
                <w:strike/>
                <w:color w:val="000000"/>
                <w:sz w:val="22"/>
                <w:szCs w:val="22"/>
              </w:rPr>
              <w:t>/</w:t>
            </w:r>
            <w:r w:rsidRPr="00F26DBD">
              <w:rPr>
                <w:rFonts w:ascii="Calibri" w:hAnsi="Calibri" w:cs="Calibri"/>
                <w:color w:val="000000"/>
                <w:sz w:val="22"/>
                <w:szCs w:val="22"/>
              </w:rPr>
              <w:t xml:space="preserve">requirements </w:t>
            </w:r>
            <w:r w:rsidRPr="00983115">
              <w:rPr>
                <w:rFonts w:ascii="Calibri" w:hAnsi="Calibri" w:cs="Calibri"/>
                <w:strike/>
                <w:color w:val="000000"/>
                <w:sz w:val="22"/>
                <w:szCs w:val="22"/>
              </w:rPr>
              <w:t>thereof</w:t>
            </w:r>
          </w:p>
          <w:p w14:paraId="101C2F26" w14:textId="77777777" w:rsidR="00983115" w:rsidRPr="00F26DBD" w:rsidRDefault="00983115" w:rsidP="00983115">
            <w:pPr>
              <w:pStyle w:val="NormalWeb"/>
              <w:numPr>
                <w:ilvl w:val="0"/>
                <w:numId w:val="8"/>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Information about the data subject rights and the method by which they can exercise these rights</w:t>
            </w:r>
          </w:p>
          <w:p w14:paraId="2FFD2653" w14:textId="0AB712D0" w:rsidR="00983115" w:rsidRPr="00983115" w:rsidRDefault="00983115" w:rsidP="00983115">
            <w:pPr>
              <w:pStyle w:val="NormalWeb"/>
              <w:numPr>
                <w:ilvl w:val="0"/>
                <w:numId w:val="8"/>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Notification of how changes to the privacy policy will be communicated</w:t>
            </w:r>
          </w:p>
          <w:p w14:paraId="49DFB0AF" w14:textId="2ADFD81D" w:rsidR="00983115" w:rsidRPr="00983115" w:rsidRDefault="00983115" w:rsidP="00F93925">
            <w:pPr>
              <w:pStyle w:val="NormalWeb"/>
              <w:numPr>
                <w:ilvl w:val="0"/>
                <w:numId w:val="8"/>
              </w:numPr>
              <w:spacing w:before="0" w:beforeAutospacing="0" w:after="0" w:afterAutospacing="0"/>
              <w:textAlignment w:val="baseline"/>
              <w:rPr>
                <w:rFonts w:ascii="Calibri" w:hAnsi="Calibri" w:cs="Calibri"/>
                <w:color w:val="000000"/>
                <w:sz w:val="22"/>
                <w:szCs w:val="22"/>
              </w:rPr>
            </w:pPr>
            <w:r w:rsidRPr="00F26DBD">
              <w:rPr>
                <w:rFonts w:ascii="Calibri" w:hAnsi="Calibri" w:cs="Calibri"/>
                <w:color w:val="000000"/>
                <w:sz w:val="22"/>
                <w:szCs w:val="22"/>
              </w:rPr>
              <w:t>Further consideration should be given during implementation whether updates to the RAA are necessary to ensure compliance with these recommendations.</w:t>
            </w:r>
          </w:p>
        </w:tc>
        <w:tc>
          <w:tcPr>
            <w:tcW w:w="3955" w:type="dxa"/>
          </w:tcPr>
          <w:p w14:paraId="648CAF9F" w14:textId="77777777" w:rsidR="008F16BA" w:rsidRPr="008F16BA" w:rsidRDefault="008F16BA" w:rsidP="008F16BA">
            <w:pPr>
              <w:rPr>
                <w:rFonts w:cstheme="minorHAnsi"/>
                <w:sz w:val="22"/>
                <w:szCs w:val="22"/>
              </w:rPr>
            </w:pPr>
            <w:r w:rsidRPr="008F16BA">
              <w:rPr>
                <w:rFonts w:cstheme="minorHAnsi"/>
                <w:sz w:val="22"/>
                <w:szCs w:val="22"/>
              </w:rPr>
              <w:lastRenderedPageBreak/>
              <w:t xml:space="preserve">Request ISPCP to provide specific changes but note that the EPDP Team previously discussed to keep this at a high level. </w:t>
            </w:r>
          </w:p>
          <w:p w14:paraId="258A13C0" w14:textId="44FA5A38" w:rsidR="00983115" w:rsidRPr="00163FEF" w:rsidRDefault="00983115" w:rsidP="00F93925">
            <w:pPr>
              <w:rPr>
                <w:sz w:val="22"/>
                <w:szCs w:val="22"/>
              </w:rPr>
            </w:pPr>
          </w:p>
        </w:tc>
      </w:tr>
      <w:tr w:rsidR="008F16BA" w:rsidRPr="00D0546A" w14:paraId="0EC633D4" w14:textId="77777777" w:rsidTr="00222B42">
        <w:tc>
          <w:tcPr>
            <w:tcW w:w="1075" w:type="dxa"/>
            <w:shd w:val="clear" w:color="auto" w:fill="8EAADB" w:themeFill="accent1" w:themeFillTint="99"/>
          </w:tcPr>
          <w:p w14:paraId="6B425115" w14:textId="7EF7D0CC" w:rsidR="008F16BA" w:rsidRDefault="008F16BA" w:rsidP="00F93925">
            <w:pPr>
              <w:rPr>
                <w:sz w:val="22"/>
                <w:szCs w:val="22"/>
              </w:rPr>
            </w:pPr>
            <w:r>
              <w:rPr>
                <w:sz w:val="22"/>
                <w:szCs w:val="22"/>
              </w:rPr>
              <w:t>#63</w:t>
            </w:r>
          </w:p>
        </w:tc>
        <w:tc>
          <w:tcPr>
            <w:tcW w:w="3960" w:type="dxa"/>
            <w:shd w:val="clear" w:color="auto" w:fill="8EAADB" w:themeFill="accent1" w:themeFillTint="99"/>
          </w:tcPr>
          <w:p w14:paraId="04121820" w14:textId="77777777" w:rsidR="008F16BA" w:rsidRDefault="008F16BA" w:rsidP="008F16BA">
            <w:pPr>
              <w:pStyle w:val="NormalWeb"/>
              <w:spacing w:before="0" w:beforeAutospacing="0" w:after="0" w:afterAutospacing="0"/>
              <w:rPr>
                <w:rFonts w:ascii="Calibri" w:hAnsi="Calibri" w:cs="Calibri"/>
                <w:color w:val="000000"/>
                <w:sz w:val="22"/>
                <w:szCs w:val="22"/>
              </w:rPr>
            </w:pPr>
            <w:r w:rsidRPr="00F26DBD">
              <w:rPr>
                <w:rFonts w:ascii="Calibri" w:hAnsi="Calibri" w:cs="Calibri"/>
                <w:color w:val="000000"/>
                <w:sz w:val="22"/>
                <w:szCs w:val="22"/>
              </w:rPr>
              <w:t>Not only the disclosing party and ICANN, but all parties involved in the SSAD must be indemnified.</w:t>
            </w:r>
            <w:r>
              <w:rPr>
                <w:rFonts w:ascii="Calibri" w:hAnsi="Calibri" w:cs="Calibri"/>
                <w:color w:val="000000"/>
                <w:sz w:val="22"/>
                <w:szCs w:val="22"/>
              </w:rPr>
              <w:t xml:space="preserve"> (ISPCP)</w:t>
            </w:r>
          </w:p>
          <w:p w14:paraId="45343A66" w14:textId="77777777" w:rsidR="008F16BA" w:rsidRDefault="008F16BA" w:rsidP="008F16BA">
            <w:pPr>
              <w:pStyle w:val="NormalWeb"/>
              <w:spacing w:before="0" w:beforeAutospacing="0" w:after="0" w:afterAutospacing="0"/>
              <w:rPr>
                <w:rFonts w:ascii="Calibri" w:hAnsi="Calibri" w:cs="Calibri"/>
                <w:color w:val="000000"/>
                <w:sz w:val="22"/>
                <w:szCs w:val="22"/>
              </w:rPr>
            </w:pPr>
          </w:p>
          <w:p w14:paraId="7FB12C6C" w14:textId="77777777" w:rsidR="008F16BA" w:rsidRDefault="008F16BA" w:rsidP="008F16BA">
            <w:pPr>
              <w:pStyle w:val="NormalWeb"/>
              <w:spacing w:before="0" w:beforeAutospacing="0" w:after="0" w:afterAutospacing="0"/>
              <w:rPr>
                <w:rFonts w:ascii="Calibri" w:hAnsi="Calibri" w:cs="Calibri"/>
                <w:color w:val="000000"/>
                <w:sz w:val="22"/>
                <w:szCs w:val="22"/>
              </w:rPr>
            </w:pPr>
            <w:r w:rsidRPr="00F26DBD">
              <w:rPr>
                <w:rFonts w:ascii="Calibri" w:hAnsi="Calibri" w:cs="Calibri"/>
                <w:color w:val="000000"/>
                <w:sz w:val="22"/>
                <w:szCs w:val="22"/>
              </w:rPr>
              <w:t>Are we contemplating that requestors indemnify the disclosing party and/or ICANN as a condition of using the SSAD? (GAC)</w:t>
            </w:r>
          </w:p>
          <w:p w14:paraId="4B02357A" w14:textId="77777777" w:rsidR="008F16BA" w:rsidRDefault="008F16BA" w:rsidP="008F16BA">
            <w:pPr>
              <w:pStyle w:val="NormalWeb"/>
              <w:spacing w:before="0" w:beforeAutospacing="0" w:after="0" w:afterAutospacing="0"/>
            </w:pPr>
          </w:p>
          <w:p w14:paraId="6A2D82F2" w14:textId="2ECA681B" w:rsidR="008F16BA" w:rsidRPr="00F26DBD" w:rsidRDefault="008F16BA" w:rsidP="008F16BA">
            <w:pPr>
              <w:rPr>
                <w:rFonts w:cstheme="minorHAnsi"/>
                <w:sz w:val="22"/>
                <w:szCs w:val="22"/>
              </w:rPr>
            </w:pPr>
            <w:r w:rsidRPr="00DF7DFE">
              <w:rPr>
                <w:rFonts w:ascii="Calibri" w:hAnsi="Calibri" w:cs="Calibri"/>
                <w:color w:val="000000"/>
                <w:sz w:val="22"/>
                <w:szCs w:val="22"/>
              </w:rPr>
              <w:lastRenderedPageBreak/>
              <w:t>Red flag: this is likely not possible. We can discuss insurance, bonding, and other options, but many requestors (e.g. law enforcement and other government uses) will not be able to indemnify. (IPC)</w:t>
            </w:r>
          </w:p>
        </w:tc>
        <w:tc>
          <w:tcPr>
            <w:tcW w:w="3960" w:type="dxa"/>
            <w:shd w:val="clear" w:color="auto" w:fill="8EAADB" w:themeFill="accent1" w:themeFillTint="99"/>
          </w:tcPr>
          <w:p w14:paraId="48C71DC9" w14:textId="57122B69" w:rsidR="008F16BA" w:rsidRPr="00F26DBD" w:rsidRDefault="008F16BA" w:rsidP="008F16BA">
            <w:pPr>
              <w:pStyle w:val="NormalWeb"/>
              <w:spacing w:before="0" w:beforeAutospacing="0" w:after="0" w:afterAutospacing="0"/>
              <w:rPr>
                <w:sz w:val="22"/>
                <w:szCs w:val="22"/>
              </w:rPr>
            </w:pPr>
            <w:r>
              <w:rPr>
                <w:rFonts w:ascii="Calibri" w:hAnsi="Calibri" w:cs="Calibri"/>
                <w:color w:val="000000"/>
                <w:sz w:val="22"/>
                <w:szCs w:val="22"/>
              </w:rPr>
              <w:lastRenderedPageBreak/>
              <w:t xml:space="preserve">Current language: </w:t>
            </w:r>
            <w:r w:rsidRPr="00F26DBD">
              <w:rPr>
                <w:rFonts w:ascii="Calibri" w:hAnsi="Calibri" w:cs="Calibri"/>
                <w:color w:val="000000"/>
                <w:sz w:val="22"/>
                <w:szCs w:val="22"/>
              </w:rPr>
              <w:t>The EPDP recommends, at a minimum, the terms of use shall address:</w:t>
            </w:r>
          </w:p>
          <w:p w14:paraId="19CE9172" w14:textId="77777777" w:rsidR="008F16BA" w:rsidRPr="00F26DBD" w:rsidRDefault="008F16BA" w:rsidP="008F16BA">
            <w:pPr>
              <w:rPr>
                <w:sz w:val="22"/>
                <w:szCs w:val="22"/>
              </w:rPr>
            </w:pPr>
          </w:p>
          <w:p w14:paraId="6F056E14" w14:textId="24AE8BB2" w:rsidR="008F16BA" w:rsidRPr="00983115" w:rsidRDefault="008F16BA" w:rsidP="008F16BA">
            <w:pPr>
              <w:pStyle w:val="NormalWeb"/>
              <w:spacing w:before="0" w:beforeAutospacing="0" w:after="0" w:afterAutospacing="0"/>
              <w:rPr>
                <w:rFonts w:ascii="Calibri" w:hAnsi="Calibri" w:cs="Calibri"/>
                <w:color w:val="000000"/>
                <w:sz w:val="22"/>
                <w:szCs w:val="22"/>
              </w:rPr>
            </w:pPr>
            <w:r w:rsidRPr="00F26DBD">
              <w:rPr>
                <w:rFonts w:ascii="Calibri" w:hAnsi="Calibri" w:cs="Calibri"/>
                <w:color w:val="000000"/>
                <w:sz w:val="22"/>
                <w:szCs w:val="22"/>
              </w:rPr>
              <w:t>Indemnification of the disclosing party and ICANN.</w:t>
            </w:r>
          </w:p>
        </w:tc>
        <w:tc>
          <w:tcPr>
            <w:tcW w:w="3955" w:type="dxa"/>
            <w:shd w:val="clear" w:color="auto" w:fill="8EAADB" w:themeFill="accent1" w:themeFillTint="99"/>
          </w:tcPr>
          <w:p w14:paraId="3E5CF23F" w14:textId="7013F4C8" w:rsidR="008F16BA" w:rsidRPr="008F16BA" w:rsidRDefault="008F16BA" w:rsidP="008F16BA">
            <w:pPr>
              <w:rPr>
                <w:rFonts w:cstheme="minorHAnsi"/>
                <w:sz w:val="22"/>
                <w:szCs w:val="22"/>
              </w:rPr>
            </w:pPr>
            <w:r>
              <w:rPr>
                <w:rFonts w:cstheme="minorHAnsi"/>
                <w:sz w:val="22"/>
                <w:szCs w:val="22"/>
              </w:rPr>
              <w:t>This may require further discussion and input – not clear if this is possible or feasible?</w:t>
            </w:r>
          </w:p>
        </w:tc>
      </w:tr>
    </w:tbl>
    <w:p w14:paraId="0CA8F6D8" w14:textId="58E8BC26" w:rsidR="00983115" w:rsidRDefault="00983115">
      <w:pPr>
        <w:rPr>
          <w:b/>
          <w:bCs/>
        </w:rPr>
      </w:pPr>
    </w:p>
    <w:p w14:paraId="7386E31B" w14:textId="6DAB47FA" w:rsidR="008F16BA" w:rsidRDefault="008F16BA">
      <w:pPr>
        <w:rPr>
          <w:b/>
          <w:bCs/>
        </w:rPr>
      </w:pPr>
      <w:r>
        <w:rPr>
          <w:b/>
          <w:bCs/>
        </w:rPr>
        <w:t>LOGGING</w:t>
      </w:r>
    </w:p>
    <w:p w14:paraId="5EF53F40" w14:textId="018856CA" w:rsidR="008F16BA" w:rsidRDefault="008F16BA">
      <w:pPr>
        <w:rPr>
          <w:b/>
          <w:bCs/>
        </w:rPr>
      </w:pPr>
    </w:p>
    <w:tbl>
      <w:tblPr>
        <w:tblStyle w:val="TableGrid"/>
        <w:tblW w:w="0" w:type="auto"/>
        <w:tblLook w:val="04A0" w:firstRow="1" w:lastRow="0" w:firstColumn="1" w:lastColumn="0" w:noHBand="0" w:noVBand="1"/>
      </w:tblPr>
      <w:tblGrid>
        <w:gridCol w:w="1075"/>
        <w:gridCol w:w="3960"/>
        <w:gridCol w:w="3960"/>
        <w:gridCol w:w="3955"/>
      </w:tblGrid>
      <w:tr w:rsidR="008F16BA" w:rsidRPr="00D0546A" w14:paraId="61EFE313" w14:textId="77777777" w:rsidTr="00F93925">
        <w:trPr>
          <w:tblHeader/>
        </w:trPr>
        <w:tc>
          <w:tcPr>
            <w:tcW w:w="1075" w:type="dxa"/>
            <w:shd w:val="clear" w:color="auto" w:fill="A5A5A5" w:themeFill="accent3"/>
          </w:tcPr>
          <w:p w14:paraId="620371FF" w14:textId="77777777" w:rsidR="008F16BA" w:rsidRPr="00D0546A" w:rsidRDefault="008F16BA" w:rsidP="00F93925">
            <w:pPr>
              <w:rPr>
                <w:b/>
                <w:bCs/>
                <w:sz w:val="22"/>
                <w:szCs w:val="22"/>
              </w:rPr>
            </w:pPr>
            <w:r w:rsidRPr="00D0546A">
              <w:rPr>
                <w:b/>
                <w:bCs/>
                <w:sz w:val="22"/>
                <w:szCs w:val="22"/>
              </w:rPr>
              <w:t># on Issue List</w:t>
            </w:r>
          </w:p>
        </w:tc>
        <w:tc>
          <w:tcPr>
            <w:tcW w:w="3960" w:type="dxa"/>
            <w:shd w:val="clear" w:color="auto" w:fill="A5A5A5" w:themeFill="accent3"/>
          </w:tcPr>
          <w:p w14:paraId="39392AD0" w14:textId="77777777" w:rsidR="008F16BA" w:rsidRPr="00D0546A" w:rsidRDefault="008F16BA" w:rsidP="00F93925">
            <w:pPr>
              <w:rPr>
                <w:b/>
                <w:bCs/>
                <w:sz w:val="22"/>
                <w:szCs w:val="22"/>
              </w:rPr>
            </w:pPr>
            <w:r w:rsidRPr="00D0546A">
              <w:rPr>
                <w:b/>
                <w:bCs/>
                <w:sz w:val="22"/>
                <w:szCs w:val="22"/>
              </w:rPr>
              <w:t>Comment (by)</w:t>
            </w:r>
          </w:p>
        </w:tc>
        <w:tc>
          <w:tcPr>
            <w:tcW w:w="3960" w:type="dxa"/>
            <w:shd w:val="clear" w:color="auto" w:fill="A5A5A5" w:themeFill="accent3"/>
          </w:tcPr>
          <w:p w14:paraId="612C4BF8" w14:textId="77777777" w:rsidR="008F16BA" w:rsidRPr="00D0546A" w:rsidRDefault="008F16BA" w:rsidP="00F93925">
            <w:pPr>
              <w:rPr>
                <w:b/>
                <w:bCs/>
                <w:sz w:val="22"/>
                <w:szCs w:val="22"/>
              </w:rPr>
            </w:pPr>
            <w:r w:rsidRPr="00D0546A">
              <w:rPr>
                <w:b/>
                <w:bCs/>
                <w:sz w:val="22"/>
                <w:szCs w:val="22"/>
              </w:rPr>
              <w:t>Proposed Rewording</w:t>
            </w:r>
            <w:r>
              <w:rPr>
                <w:b/>
                <w:bCs/>
                <w:sz w:val="22"/>
                <w:szCs w:val="22"/>
              </w:rPr>
              <w:t xml:space="preserve"> (in bold)</w:t>
            </w:r>
          </w:p>
        </w:tc>
        <w:tc>
          <w:tcPr>
            <w:tcW w:w="3955" w:type="dxa"/>
            <w:shd w:val="clear" w:color="auto" w:fill="A5A5A5" w:themeFill="accent3"/>
          </w:tcPr>
          <w:p w14:paraId="7B6B6433" w14:textId="77777777" w:rsidR="008F16BA" w:rsidRPr="00D0546A" w:rsidRDefault="008F16BA" w:rsidP="00F93925">
            <w:pPr>
              <w:rPr>
                <w:b/>
                <w:bCs/>
                <w:sz w:val="22"/>
                <w:szCs w:val="22"/>
              </w:rPr>
            </w:pPr>
            <w:r>
              <w:rPr>
                <w:b/>
                <w:bCs/>
                <w:sz w:val="22"/>
                <w:szCs w:val="22"/>
              </w:rPr>
              <w:t xml:space="preserve">Leadership </w:t>
            </w:r>
            <w:r w:rsidRPr="00D0546A">
              <w:rPr>
                <w:b/>
                <w:bCs/>
                <w:sz w:val="22"/>
                <w:szCs w:val="22"/>
              </w:rPr>
              <w:t>Notes</w:t>
            </w:r>
          </w:p>
        </w:tc>
      </w:tr>
      <w:tr w:rsidR="008F16BA" w:rsidRPr="00D0546A" w14:paraId="110BF2DA" w14:textId="77777777" w:rsidTr="00F93925">
        <w:tc>
          <w:tcPr>
            <w:tcW w:w="1075" w:type="dxa"/>
          </w:tcPr>
          <w:p w14:paraId="4AE73521" w14:textId="785323A5" w:rsidR="008F16BA" w:rsidRPr="00D0546A" w:rsidRDefault="008F16BA" w:rsidP="00F93925">
            <w:pPr>
              <w:rPr>
                <w:sz w:val="22"/>
                <w:szCs w:val="22"/>
              </w:rPr>
            </w:pPr>
            <w:r>
              <w:rPr>
                <w:sz w:val="22"/>
                <w:szCs w:val="22"/>
              </w:rPr>
              <w:t>#64</w:t>
            </w:r>
          </w:p>
        </w:tc>
        <w:tc>
          <w:tcPr>
            <w:tcW w:w="3960" w:type="dxa"/>
          </w:tcPr>
          <w:p w14:paraId="0F815411" w14:textId="77777777" w:rsidR="008F16BA" w:rsidRDefault="008F16BA" w:rsidP="008F16BA">
            <w:pPr>
              <w:rPr>
                <w:rFonts w:ascii="Calibri" w:hAnsi="Calibri" w:cs="Calibri"/>
                <w:color w:val="000000"/>
                <w:sz w:val="22"/>
                <w:szCs w:val="22"/>
              </w:rPr>
            </w:pPr>
            <w:r w:rsidRPr="00DF7DFE">
              <w:rPr>
                <w:rFonts w:ascii="Calibri" w:eastAsia="Calibri" w:hAnsi="Calibri" w:cs="Calibri"/>
              </w:rPr>
              <w:t xml:space="preserve">I </w:t>
            </w:r>
            <w:r w:rsidRPr="00DF7DFE">
              <w:rPr>
                <w:rFonts w:ascii="Calibri" w:hAnsi="Calibri" w:cs="Calibri"/>
                <w:color w:val="000000"/>
                <w:sz w:val="22"/>
                <w:szCs w:val="22"/>
              </w:rPr>
              <w:t xml:space="preserve">think we should split ID provider and </w:t>
            </w:r>
            <w:proofErr w:type="spellStart"/>
            <w:r w:rsidRPr="00DF7DFE">
              <w:rPr>
                <w:rFonts w:ascii="Calibri" w:hAnsi="Calibri" w:cs="Calibri"/>
                <w:color w:val="000000"/>
                <w:sz w:val="22"/>
                <w:szCs w:val="22"/>
              </w:rPr>
              <w:t>accred</w:t>
            </w:r>
            <w:proofErr w:type="spellEnd"/>
            <w:r w:rsidRPr="00DF7DFE">
              <w:rPr>
                <w:rFonts w:ascii="Calibri" w:hAnsi="Calibri" w:cs="Calibri"/>
                <w:color w:val="000000"/>
                <w:sz w:val="22"/>
                <w:szCs w:val="22"/>
              </w:rPr>
              <w:t xml:space="preserve"> provider into separate bullets. This verbiage seems to conflate them. (BC)</w:t>
            </w:r>
          </w:p>
          <w:p w14:paraId="6F82D03D" w14:textId="77777777" w:rsidR="008F16BA" w:rsidRPr="00DF7DFE" w:rsidRDefault="008F16BA" w:rsidP="008F16BA">
            <w:pPr>
              <w:rPr>
                <w:rFonts w:ascii="Calibri" w:hAnsi="Calibri" w:cs="Calibri"/>
                <w:color w:val="000000"/>
                <w:sz w:val="22"/>
                <w:szCs w:val="22"/>
              </w:rPr>
            </w:pPr>
          </w:p>
          <w:p w14:paraId="11E0DBAF" w14:textId="063DD027" w:rsidR="008F16BA" w:rsidRPr="00027F6E" w:rsidRDefault="008F16BA" w:rsidP="00F93925">
            <w:pPr>
              <w:rPr>
                <w:sz w:val="22"/>
                <w:szCs w:val="22"/>
              </w:rPr>
            </w:pPr>
            <w:r w:rsidRPr="00DF7DFE">
              <w:rPr>
                <w:rFonts w:ascii="Calibri" w:hAnsi="Calibri" w:cs="Calibri"/>
                <w:color w:val="000000"/>
                <w:sz w:val="22"/>
                <w:szCs w:val="22"/>
              </w:rPr>
              <w:t>Identity or accreditation provider? (IPC)</w:t>
            </w:r>
          </w:p>
        </w:tc>
        <w:tc>
          <w:tcPr>
            <w:tcW w:w="3960" w:type="dxa"/>
          </w:tcPr>
          <w:p w14:paraId="396108EE" w14:textId="77777777" w:rsidR="00027F6E" w:rsidRDefault="008F16BA" w:rsidP="008F16BA">
            <w:pPr>
              <w:rPr>
                <w:rFonts w:ascii="Calibri" w:eastAsia="Calibri" w:hAnsi="Calibri" w:cs="Calibri"/>
                <w:color w:val="000000"/>
                <w:sz w:val="22"/>
                <w:szCs w:val="22"/>
              </w:rPr>
            </w:pPr>
            <w:r>
              <w:rPr>
                <w:rFonts w:ascii="Calibri" w:eastAsia="Calibri" w:hAnsi="Calibri" w:cs="Calibri"/>
                <w:sz w:val="22"/>
                <w:szCs w:val="22"/>
              </w:rPr>
              <w:t xml:space="preserve"> </w:t>
            </w:r>
            <w:r w:rsidRPr="00DF7DFE">
              <w:rPr>
                <w:rFonts w:ascii="Calibri" w:eastAsia="Calibri" w:hAnsi="Calibri" w:cs="Calibri"/>
                <w:sz w:val="22"/>
                <w:szCs w:val="22"/>
              </w:rPr>
              <w:t>At a minimum, the following events must be logged</w:t>
            </w:r>
            <w:r>
              <w:rPr>
                <w:rFonts w:ascii="Calibri" w:eastAsia="Calibri" w:hAnsi="Calibri" w:cs="Calibri"/>
                <w:color w:val="000000"/>
                <w:sz w:val="22"/>
                <w:szCs w:val="22"/>
              </w:rPr>
              <w:t xml:space="preserve">: </w:t>
            </w:r>
          </w:p>
          <w:p w14:paraId="73E891F3" w14:textId="77777777" w:rsidR="008F16BA" w:rsidRPr="00027F6E" w:rsidRDefault="008F16BA" w:rsidP="00027F6E">
            <w:pPr>
              <w:pStyle w:val="ListParagraph"/>
              <w:numPr>
                <w:ilvl w:val="0"/>
                <w:numId w:val="10"/>
              </w:numPr>
              <w:rPr>
                <w:rFonts w:ascii="Calibri" w:eastAsia="Calibri" w:hAnsi="Calibri" w:cs="Calibri"/>
                <w:sz w:val="22"/>
                <w:szCs w:val="22"/>
              </w:rPr>
            </w:pPr>
            <w:r w:rsidRPr="00027F6E">
              <w:rPr>
                <w:rFonts w:ascii="Calibri" w:eastAsia="Calibri" w:hAnsi="Calibri" w:cs="Calibri"/>
                <w:color w:val="000000"/>
                <w:sz w:val="22"/>
                <w:szCs w:val="22"/>
              </w:rPr>
              <w:t>Logging related to the Identity Provider</w:t>
            </w:r>
          </w:p>
          <w:p w14:paraId="0666A7D6" w14:textId="2552E77E" w:rsidR="00027F6E" w:rsidRPr="00027F6E" w:rsidRDefault="00027F6E" w:rsidP="00027F6E">
            <w:pPr>
              <w:pStyle w:val="ListParagraph"/>
              <w:numPr>
                <w:ilvl w:val="0"/>
                <w:numId w:val="10"/>
              </w:numPr>
              <w:rPr>
                <w:rFonts w:ascii="Calibri" w:eastAsia="Calibri" w:hAnsi="Calibri" w:cs="Calibri"/>
                <w:sz w:val="22"/>
                <w:szCs w:val="22"/>
              </w:rPr>
            </w:pPr>
            <w:r>
              <w:rPr>
                <w:rFonts w:ascii="Calibri" w:eastAsia="Calibri" w:hAnsi="Calibri" w:cs="Calibri"/>
                <w:b/>
                <w:bCs/>
                <w:color w:val="000000"/>
                <w:sz w:val="22"/>
                <w:szCs w:val="22"/>
              </w:rPr>
              <w:t>Logging related to the accreditation provider</w:t>
            </w:r>
          </w:p>
        </w:tc>
        <w:tc>
          <w:tcPr>
            <w:tcW w:w="3955" w:type="dxa"/>
          </w:tcPr>
          <w:p w14:paraId="09EAD577" w14:textId="7887A124" w:rsidR="008F16BA" w:rsidRPr="00163FEF" w:rsidRDefault="008F16BA" w:rsidP="008F16BA">
            <w:pPr>
              <w:rPr>
                <w:sz w:val="22"/>
                <w:szCs w:val="22"/>
              </w:rPr>
            </w:pPr>
          </w:p>
        </w:tc>
      </w:tr>
    </w:tbl>
    <w:p w14:paraId="6676435F" w14:textId="6134EF62" w:rsidR="008F16BA" w:rsidRDefault="00027F6E">
      <w:pPr>
        <w:rPr>
          <w:b/>
          <w:bCs/>
        </w:rPr>
      </w:pPr>
      <w:r>
        <w:rPr>
          <w:b/>
          <w:bCs/>
        </w:rPr>
        <w:t>IMPLEMENTATION GUIDANCE</w:t>
      </w:r>
    </w:p>
    <w:p w14:paraId="46D06FD9" w14:textId="455FAB3A" w:rsidR="00027F6E" w:rsidRDefault="00027F6E">
      <w:pPr>
        <w:rPr>
          <w:b/>
          <w:bCs/>
        </w:rPr>
      </w:pPr>
    </w:p>
    <w:tbl>
      <w:tblPr>
        <w:tblStyle w:val="TableGrid"/>
        <w:tblW w:w="0" w:type="auto"/>
        <w:tblLook w:val="04A0" w:firstRow="1" w:lastRow="0" w:firstColumn="1" w:lastColumn="0" w:noHBand="0" w:noVBand="1"/>
      </w:tblPr>
      <w:tblGrid>
        <w:gridCol w:w="1075"/>
        <w:gridCol w:w="3960"/>
        <w:gridCol w:w="3960"/>
        <w:gridCol w:w="3955"/>
      </w:tblGrid>
      <w:tr w:rsidR="00027F6E" w:rsidRPr="00D0546A" w14:paraId="765B9131" w14:textId="77777777" w:rsidTr="00F93925">
        <w:trPr>
          <w:tblHeader/>
        </w:trPr>
        <w:tc>
          <w:tcPr>
            <w:tcW w:w="1075" w:type="dxa"/>
            <w:shd w:val="clear" w:color="auto" w:fill="A5A5A5" w:themeFill="accent3"/>
          </w:tcPr>
          <w:p w14:paraId="53CF7653" w14:textId="77777777" w:rsidR="00027F6E" w:rsidRPr="00D0546A" w:rsidRDefault="00027F6E" w:rsidP="00F93925">
            <w:pPr>
              <w:rPr>
                <w:b/>
                <w:bCs/>
                <w:sz w:val="22"/>
                <w:szCs w:val="22"/>
              </w:rPr>
            </w:pPr>
            <w:r w:rsidRPr="00D0546A">
              <w:rPr>
                <w:b/>
                <w:bCs/>
                <w:sz w:val="22"/>
                <w:szCs w:val="22"/>
              </w:rPr>
              <w:t># on Issue List</w:t>
            </w:r>
          </w:p>
        </w:tc>
        <w:tc>
          <w:tcPr>
            <w:tcW w:w="3960" w:type="dxa"/>
            <w:shd w:val="clear" w:color="auto" w:fill="A5A5A5" w:themeFill="accent3"/>
          </w:tcPr>
          <w:p w14:paraId="58FB2286" w14:textId="77777777" w:rsidR="00027F6E" w:rsidRPr="00D0546A" w:rsidRDefault="00027F6E" w:rsidP="00F93925">
            <w:pPr>
              <w:rPr>
                <w:b/>
                <w:bCs/>
                <w:sz w:val="22"/>
                <w:szCs w:val="22"/>
              </w:rPr>
            </w:pPr>
            <w:r w:rsidRPr="00D0546A">
              <w:rPr>
                <w:b/>
                <w:bCs/>
                <w:sz w:val="22"/>
                <w:szCs w:val="22"/>
              </w:rPr>
              <w:t>Comment (by)</w:t>
            </w:r>
          </w:p>
        </w:tc>
        <w:tc>
          <w:tcPr>
            <w:tcW w:w="3960" w:type="dxa"/>
            <w:shd w:val="clear" w:color="auto" w:fill="A5A5A5" w:themeFill="accent3"/>
          </w:tcPr>
          <w:p w14:paraId="35684D64" w14:textId="77777777" w:rsidR="00027F6E" w:rsidRPr="00D0546A" w:rsidRDefault="00027F6E" w:rsidP="00F93925">
            <w:pPr>
              <w:rPr>
                <w:b/>
                <w:bCs/>
                <w:sz w:val="22"/>
                <w:szCs w:val="22"/>
              </w:rPr>
            </w:pPr>
            <w:r w:rsidRPr="00D0546A">
              <w:rPr>
                <w:b/>
                <w:bCs/>
                <w:sz w:val="22"/>
                <w:szCs w:val="22"/>
              </w:rPr>
              <w:t>Proposed Rewording</w:t>
            </w:r>
            <w:r>
              <w:rPr>
                <w:b/>
                <w:bCs/>
                <w:sz w:val="22"/>
                <w:szCs w:val="22"/>
              </w:rPr>
              <w:t xml:space="preserve"> (in bold)</w:t>
            </w:r>
          </w:p>
        </w:tc>
        <w:tc>
          <w:tcPr>
            <w:tcW w:w="3955" w:type="dxa"/>
            <w:shd w:val="clear" w:color="auto" w:fill="A5A5A5" w:themeFill="accent3"/>
          </w:tcPr>
          <w:p w14:paraId="7D6DBF94" w14:textId="77777777" w:rsidR="00027F6E" w:rsidRPr="00D0546A" w:rsidRDefault="00027F6E" w:rsidP="00F93925">
            <w:pPr>
              <w:rPr>
                <w:b/>
                <w:bCs/>
                <w:sz w:val="22"/>
                <w:szCs w:val="22"/>
              </w:rPr>
            </w:pPr>
            <w:r>
              <w:rPr>
                <w:b/>
                <w:bCs/>
                <w:sz w:val="22"/>
                <w:szCs w:val="22"/>
              </w:rPr>
              <w:t xml:space="preserve">Leadership </w:t>
            </w:r>
            <w:r w:rsidRPr="00D0546A">
              <w:rPr>
                <w:b/>
                <w:bCs/>
                <w:sz w:val="22"/>
                <w:szCs w:val="22"/>
              </w:rPr>
              <w:t>Notes</w:t>
            </w:r>
          </w:p>
        </w:tc>
      </w:tr>
      <w:tr w:rsidR="00027F6E" w:rsidRPr="00D0546A" w14:paraId="6AEC3BB6" w14:textId="77777777" w:rsidTr="00222B42">
        <w:tc>
          <w:tcPr>
            <w:tcW w:w="1075" w:type="dxa"/>
            <w:shd w:val="clear" w:color="auto" w:fill="8EAADB" w:themeFill="accent1" w:themeFillTint="99"/>
          </w:tcPr>
          <w:p w14:paraId="31DDEB87" w14:textId="52B4E1B5" w:rsidR="00027F6E" w:rsidRPr="00D0546A" w:rsidRDefault="00027F6E" w:rsidP="00F93925">
            <w:pPr>
              <w:rPr>
                <w:sz w:val="22"/>
                <w:szCs w:val="22"/>
              </w:rPr>
            </w:pPr>
            <w:r>
              <w:rPr>
                <w:sz w:val="22"/>
                <w:szCs w:val="22"/>
              </w:rPr>
              <w:t>#66</w:t>
            </w:r>
          </w:p>
        </w:tc>
        <w:tc>
          <w:tcPr>
            <w:tcW w:w="3960" w:type="dxa"/>
            <w:shd w:val="clear" w:color="auto" w:fill="8EAADB" w:themeFill="accent1" w:themeFillTint="99"/>
          </w:tcPr>
          <w:p w14:paraId="2F8E3224" w14:textId="77777777" w:rsidR="00027F6E" w:rsidRDefault="00027F6E" w:rsidP="00027F6E">
            <w:pPr>
              <w:rPr>
                <w:rFonts w:cstheme="minorHAnsi"/>
                <w:sz w:val="22"/>
                <w:szCs w:val="22"/>
              </w:rPr>
            </w:pPr>
            <w:r w:rsidRPr="006B4810">
              <w:rPr>
                <w:rFonts w:cstheme="minorHAnsi"/>
                <w:sz w:val="22"/>
                <w:szCs w:val="22"/>
              </w:rPr>
              <w:t>Problem is, multiple requests at the same time is NOT consistent with the preliminary recommendation. We could not accept this formulation. (NCSG)</w:t>
            </w:r>
          </w:p>
          <w:p w14:paraId="7D266EE8" w14:textId="77777777" w:rsidR="00027F6E" w:rsidRDefault="00027F6E" w:rsidP="00027F6E">
            <w:pPr>
              <w:rPr>
                <w:rFonts w:cstheme="minorHAnsi"/>
                <w:sz w:val="22"/>
                <w:szCs w:val="22"/>
              </w:rPr>
            </w:pPr>
          </w:p>
          <w:p w14:paraId="4679C6B2" w14:textId="77777777" w:rsidR="00027F6E" w:rsidRDefault="00027F6E" w:rsidP="00027F6E">
            <w:pPr>
              <w:rPr>
                <w:rFonts w:cstheme="minorHAnsi"/>
                <w:sz w:val="22"/>
                <w:szCs w:val="22"/>
              </w:rPr>
            </w:pPr>
            <w:r w:rsidRPr="00DF7DFE">
              <w:rPr>
                <w:rFonts w:cstheme="minorHAnsi"/>
                <w:sz w:val="22"/>
                <w:szCs w:val="22"/>
              </w:rPr>
              <w:t>I don’t see any inconsistency, as we noted above. (IPC)</w:t>
            </w:r>
          </w:p>
          <w:p w14:paraId="48C883CA" w14:textId="77777777" w:rsidR="00027F6E" w:rsidRDefault="00027F6E" w:rsidP="00027F6E">
            <w:pPr>
              <w:rPr>
                <w:rFonts w:cstheme="minorHAnsi"/>
                <w:sz w:val="22"/>
                <w:szCs w:val="22"/>
              </w:rPr>
            </w:pPr>
          </w:p>
          <w:p w14:paraId="4F74B027" w14:textId="77777777" w:rsidR="00027F6E" w:rsidRDefault="00027F6E" w:rsidP="00027F6E">
            <w:pPr>
              <w:rPr>
                <w:rFonts w:cstheme="minorHAnsi"/>
                <w:sz w:val="22"/>
                <w:szCs w:val="22"/>
              </w:rPr>
            </w:pPr>
            <w:r w:rsidRPr="00DF7DFE">
              <w:rPr>
                <w:rFonts w:cstheme="minorHAnsi"/>
                <w:sz w:val="22"/>
                <w:szCs w:val="22"/>
              </w:rPr>
              <w:t>I don't envisage any mechanism which would enable this within SSAD (BC)</w:t>
            </w:r>
          </w:p>
          <w:p w14:paraId="4A96A4DB" w14:textId="77777777" w:rsidR="00027F6E" w:rsidRDefault="00027F6E" w:rsidP="00027F6E">
            <w:pPr>
              <w:rPr>
                <w:rFonts w:cstheme="minorHAnsi"/>
                <w:sz w:val="22"/>
                <w:szCs w:val="22"/>
              </w:rPr>
            </w:pPr>
          </w:p>
          <w:p w14:paraId="7C2B0191" w14:textId="103F337D" w:rsidR="00027F6E" w:rsidRPr="00027F6E" w:rsidRDefault="00027F6E" w:rsidP="00027F6E">
            <w:pPr>
              <w:rPr>
                <w:sz w:val="22"/>
                <w:szCs w:val="22"/>
              </w:rPr>
            </w:pPr>
            <w:r w:rsidRPr="00D41DED">
              <w:rPr>
                <w:rFonts w:cstheme="minorHAnsi"/>
                <w:sz w:val="22"/>
                <w:szCs w:val="22"/>
              </w:rPr>
              <w:lastRenderedPageBreak/>
              <w:t xml:space="preserve">submitting multiple domain names in the same request </w:t>
            </w:r>
            <w:proofErr w:type="spellStart"/>
            <w:r w:rsidRPr="00D41DED">
              <w:rPr>
                <w:rFonts w:cstheme="minorHAnsi"/>
                <w:sz w:val="22"/>
                <w:szCs w:val="22"/>
              </w:rPr>
              <w:t>dos</w:t>
            </w:r>
            <w:proofErr w:type="spellEnd"/>
            <w:r w:rsidRPr="00D41DED">
              <w:rPr>
                <w:rFonts w:cstheme="minorHAnsi"/>
                <w:sz w:val="22"/>
                <w:szCs w:val="22"/>
              </w:rPr>
              <w:t xml:space="preserve"> not mean that it will be handled as one single request (ALAC)</w:t>
            </w:r>
          </w:p>
        </w:tc>
        <w:tc>
          <w:tcPr>
            <w:tcW w:w="3960" w:type="dxa"/>
            <w:shd w:val="clear" w:color="auto" w:fill="8EAADB" w:themeFill="accent1" w:themeFillTint="99"/>
          </w:tcPr>
          <w:p w14:paraId="24EE63BC" w14:textId="4D7EC434" w:rsidR="00027F6E" w:rsidRPr="00027F6E" w:rsidRDefault="00027F6E" w:rsidP="00027F6E">
            <w:pPr>
              <w:rPr>
                <w:rFonts w:ascii="Calibri" w:eastAsia="Calibri" w:hAnsi="Calibri" w:cs="Calibri"/>
                <w:sz w:val="22"/>
                <w:szCs w:val="22"/>
              </w:rPr>
            </w:pPr>
            <w:r>
              <w:rPr>
                <w:rFonts w:ascii="Calibri" w:hAnsi="Calibri" w:cs="Calibri"/>
                <w:color w:val="000000"/>
                <w:sz w:val="22"/>
                <w:szCs w:val="22"/>
              </w:rPr>
              <w:lastRenderedPageBreak/>
              <w:t xml:space="preserve">Current wording: </w:t>
            </w:r>
            <w:r w:rsidRPr="00027F6E">
              <w:rPr>
                <w:rFonts w:ascii="Calibri" w:hAnsi="Calibri" w:cs="Calibri"/>
                <w:color w:val="000000"/>
                <w:sz w:val="22"/>
                <w:szCs w:val="22"/>
              </w:rPr>
              <w:t xml:space="preserve">The EPDP Team recommends that, consistent with the preliminary recommendation that an SSAD request must be received for each domain name registration for which non-public registration is requested to be disclosed, it must be possible for requestors to submit multiple requests at the same time, for example, by entering multiple domain name registrations in </w:t>
            </w:r>
            <w:r w:rsidRPr="00027F6E">
              <w:rPr>
                <w:rFonts w:ascii="Calibri" w:hAnsi="Calibri" w:cs="Calibri"/>
                <w:color w:val="000000"/>
                <w:sz w:val="22"/>
                <w:szCs w:val="22"/>
              </w:rPr>
              <w:lastRenderedPageBreak/>
              <w:t>the same request form if the same request information applies</w:t>
            </w:r>
          </w:p>
        </w:tc>
        <w:tc>
          <w:tcPr>
            <w:tcW w:w="3955" w:type="dxa"/>
            <w:shd w:val="clear" w:color="auto" w:fill="8EAADB" w:themeFill="accent1" w:themeFillTint="99"/>
          </w:tcPr>
          <w:p w14:paraId="6874FBC9" w14:textId="604B00A7" w:rsidR="00027F6E" w:rsidRPr="00027F6E" w:rsidRDefault="00027F6E" w:rsidP="00F93925">
            <w:pPr>
              <w:rPr>
                <w:rFonts w:cstheme="minorHAnsi"/>
                <w:sz w:val="22"/>
                <w:szCs w:val="22"/>
              </w:rPr>
            </w:pPr>
            <w:r w:rsidRPr="007750C6">
              <w:rPr>
                <w:rFonts w:cstheme="minorHAnsi"/>
                <w:sz w:val="22"/>
                <w:szCs w:val="22"/>
              </w:rPr>
              <w:lastRenderedPageBreak/>
              <w:t xml:space="preserve">These comments also come up in other </w:t>
            </w:r>
            <w:proofErr w:type="gramStart"/>
            <w:r w:rsidRPr="007750C6">
              <w:rPr>
                <w:rFonts w:cstheme="minorHAnsi"/>
                <w:sz w:val="22"/>
                <w:szCs w:val="22"/>
              </w:rPr>
              <w:t>sections</w:t>
            </w:r>
            <w:proofErr w:type="gramEnd"/>
            <w:r w:rsidRPr="007750C6">
              <w:rPr>
                <w:rFonts w:cstheme="minorHAnsi"/>
                <w:sz w:val="22"/>
                <w:szCs w:val="22"/>
              </w:rPr>
              <w:t xml:space="preserve"> but the issue of multiple requests has been discussed and it was agreed that this is addressed by the recommendation that each request should be considered on its merits – regardless of whether it was submitted in a batch or individually. </w:t>
            </w:r>
            <w:r>
              <w:rPr>
                <w:rFonts w:cstheme="minorHAnsi"/>
                <w:sz w:val="22"/>
                <w:szCs w:val="22"/>
              </w:rPr>
              <w:t>Why is this not considered sufficient?</w:t>
            </w:r>
            <w:r w:rsidRPr="007750C6">
              <w:rPr>
                <w:rFonts w:cstheme="minorHAnsi"/>
                <w:sz w:val="22"/>
                <w:szCs w:val="22"/>
              </w:rPr>
              <w:t xml:space="preserve"> </w:t>
            </w:r>
          </w:p>
        </w:tc>
      </w:tr>
    </w:tbl>
    <w:p w14:paraId="0238B048" w14:textId="77777777" w:rsidR="00027F6E" w:rsidRPr="00760968" w:rsidRDefault="00027F6E">
      <w:pPr>
        <w:rPr>
          <w:b/>
          <w:bCs/>
        </w:rPr>
      </w:pPr>
    </w:p>
    <w:sectPr w:rsidR="00027F6E" w:rsidRPr="00760968" w:rsidSect="00D0546A">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AE853" w14:textId="77777777" w:rsidR="000D064A" w:rsidRDefault="000D064A" w:rsidP="00027F6E">
      <w:r>
        <w:separator/>
      </w:r>
    </w:p>
  </w:endnote>
  <w:endnote w:type="continuationSeparator" w:id="0">
    <w:p w14:paraId="7E676EB4" w14:textId="77777777" w:rsidR="000D064A" w:rsidRDefault="000D064A" w:rsidP="0002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47508829"/>
      <w:docPartObj>
        <w:docPartGallery w:val="Page Numbers (Bottom of Page)"/>
        <w:docPartUnique/>
      </w:docPartObj>
    </w:sdtPr>
    <w:sdtEndPr>
      <w:rPr>
        <w:rStyle w:val="PageNumber"/>
      </w:rPr>
    </w:sdtEndPr>
    <w:sdtContent>
      <w:p w14:paraId="0A4CB205" w14:textId="71EAF533" w:rsidR="00027F6E" w:rsidRDefault="00027F6E" w:rsidP="005A1F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92156D" w14:textId="77777777" w:rsidR="00027F6E" w:rsidRDefault="00027F6E" w:rsidP="00027F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80582209"/>
      <w:docPartObj>
        <w:docPartGallery w:val="Page Numbers (Bottom of Page)"/>
        <w:docPartUnique/>
      </w:docPartObj>
    </w:sdtPr>
    <w:sdtEndPr>
      <w:rPr>
        <w:rStyle w:val="PageNumber"/>
        <w:sz w:val="18"/>
        <w:szCs w:val="18"/>
      </w:rPr>
    </w:sdtEndPr>
    <w:sdtContent>
      <w:p w14:paraId="0A4C3839" w14:textId="6B91BCA5" w:rsidR="00027F6E" w:rsidRPr="00027F6E" w:rsidRDefault="00027F6E" w:rsidP="005A1F97">
        <w:pPr>
          <w:pStyle w:val="Footer"/>
          <w:framePr w:wrap="none" w:vAnchor="text" w:hAnchor="margin" w:xAlign="right" w:y="1"/>
          <w:rPr>
            <w:rStyle w:val="PageNumber"/>
            <w:sz w:val="18"/>
            <w:szCs w:val="18"/>
          </w:rPr>
        </w:pPr>
        <w:r w:rsidRPr="00027F6E">
          <w:rPr>
            <w:rStyle w:val="PageNumber"/>
            <w:sz w:val="18"/>
            <w:szCs w:val="18"/>
          </w:rPr>
          <w:fldChar w:fldCharType="begin"/>
        </w:r>
        <w:r w:rsidRPr="00027F6E">
          <w:rPr>
            <w:rStyle w:val="PageNumber"/>
            <w:sz w:val="18"/>
            <w:szCs w:val="18"/>
          </w:rPr>
          <w:instrText xml:space="preserve"> PAGE </w:instrText>
        </w:r>
        <w:r w:rsidRPr="00027F6E">
          <w:rPr>
            <w:rStyle w:val="PageNumber"/>
            <w:sz w:val="18"/>
            <w:szCs w:val="18"/>
          </w:rPr>
          <w:fldChar w:fldCharType="separate"/>
        </w:r>
        <w:r w:rsidRPr="00027F6E">
          <w:rPr>
            <w:rStyle w:val="PageNumber"/>
            <w:noProof/>
            <w:sz w:val="18"/>
            <w:szCs w:val="18"/>
          </w:rPr>
          <w:t>1</w:t>
        </w:r>
        <w:r w:rsidRPr="00027F6E">
          <w:rPr>
            <w:rStyle w:val="PageNumber"/>
            <w:sz w:val="18"/>
            <w:szCs w:val="18"/>
          </w:rPr>
          <w:fldChar w:fldCharType="end"/>
        </w:r>
      </w:p>
    </w:sdtContent>
  </w:sdt>
  <w:p w14:paraId="4A827841" w14:textId="77777777" w:rsidR="00027F6E" w:rsidRPr="00027F6E" w:rsidRDefault="00027F6E" w:rsidP="00027F6E">
    <w:pPr>
      <w:pStyle w:val="Footer"/>
      <w:ind w:right="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64AA" w14:textId="77777777" w:rsidR="00027F6E" w:rsidRDefault="00027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308C8" w14:textId="77777777" w:rsidR="000D064A" w:rsidRDefault="000D064A" w:rsidP="00027F6E">
      <w:r>
        <w:separator/>
      </w:r>
    </w:p>
  </w:footnote>
  <w:footnote w:type="continuationSeparator" w:id="0">
    <w:p w14:paraId="671C773E" w14:textId="77777777" w:rsidR="000D064A" w:rsidRDefault="000D064A" w:rsidP="00027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782CC" w14:textId="77777777" w:rsidR="00027F6E" w:rsidRDefault="00027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F506" w14:textId="77777777" w:rsidR="00027F6E" w:rsidRDefault="00027F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A46DC" w14:textId="77777777" w:rsidR="00027F6E" w:rsidRDefault="00027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3FEF"/>
    <w:multiLevelType w:val="multilevel"/>
    <w:tmpl w:val="FB2C6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3B42C8"/>
    <w:multiLevelType w:val="hybridMultilevel"/>
    <w:tmpl w:val="4BA8E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E5A6C"/>
    <w:multiLevelType w:val="hybridMultilevel"/>
    <w:tmpl w:val="D6E83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90929"/>
    <w:multiLevelType w:val="hybridMultilevel"/>
    <w:tmpl w:val="F22E7F66"/>
    <w:lvl w:ilvl="0" w:tplc="6DD04E16">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D3732C"/>
    <w:multiLevelType w:val="hybridMultilevel"/>
    <w:tmpl w:val="B16E7DF6"/>
    <w:lvl w:ilvl="0" w:tplc="DCDA2A06">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9F56DF"/>
    <w:multiLevelType w:val="hybridMultilevel"/>
    <w:tmpl w:val="FA8668BE"/>
    <w:lvl w:ilvl="0" w:tplc="6DD04E16">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683348"/>
    <w:multiLevelType w:val="multilevel"/>
    <w:tmpl w:val="F984E3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4552C3F"/>
    <w:multiLevelType w:val="hybridMultilevel"/>
    <w:tmpl w:val="0FBAB2E6"/>
    <w:lvl w:ilvl="0" w:tplc="1F5C9830">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40612"/>
    <w:multiLevelType w:val="multilevel"/>
    <w:tmpl w:val="28BE7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lvlOverride w:ilvl="0">
      <w:lvl w:ilvl="0">
        <w:numFmt w:val="lowerLetter"/>
        <w:lvlText w:val="%1."/>
        <w:lvlJc w:val="left"/>
      </w:lvl>
    </w:lvlOverride>
  </w:num>
  <w:num w:numId="3">
    <w:abstractNumId w:val="2"/>
  </w:num>
  <w:num w:numId="4">
    <w:abstractNumId w:val="4"/>
  </w:num>
  <w:num w:numId="5">
    <w:abstractNumId w:val="7"/>
  </w:num>
  <w:num w:numId="6">
    <w:abstractNumId w:val="3"/>
  </w:num>
  <w:num w:numId="7">
    <w:abstractNumId w:val="6"/>
  </w:num>
  <w:num w:numId="8">
    <w:abstractNumId w:val="6"/>
    <w:lvlOverride w:ilvl="1">
      <w:lvl w:ilvl="1">
        <w:numFmt w:val="bullet"/>
        <w:lvlText w:val=""/>
        <w:lvlJc w:val="left"/>
        <w:pPr>
          <w:tabs>
            <w:tab w:val="num" w:pos="1440"/>
          </w:tabs>
          <w:ind w:left="1440" w:hanging="360"/>
        </w:pPr>
        <w:rPr>
          <w:rFonts w:ascii="Symbol" w:hAnsi="Symbol" w:hint="default"/>
          <w:sz w:val="20"/>
        </w:rPr>
      </w:lvl>
    </w:lvlOverride>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6A"/>
    <w:rsid w:val="00027F6E"/>
    <w:rsid w:val="00086627"/>
    <w:rsid w:val="000B7A30"/>
    <w:rsid w:val="000D064A"/>
    <w:rsid w:val="00105452"/>
    <w:rsid w:val="00163FEF"/>
    <w:rsid w:val="001B276C"/>
    <w:rsid w:val="00222B42"/>
    <w:rsid w:val="00246C3B"/>
    <w:rsid w:val="002A3C2D"/>
    <w:rsid w:val="002D484F"/>
    <w:rsid w:val="00385D74"/>
    <w:rsid w:val="004A7A42"/>
    <w:rsid w:val="00594B40"/>
    <w:rsid w:val="005E720C"/>
    <w:rsid w:val="005F102F"/>
    <w:rsid w:val="00760968"/>
    <w:rsid w:val="007750C6"/>
    <w:rsid w:val="007F1FED"/>
    <w:rsid w:val="00832BA6"/>
    <w:rsid w:val="008363A6"/>
    <w:rsid w:val="008F16BA"/>
    <w:rsid w:val="00983115"/>
    <w:rsid w:val="00A713C1"/>
    <w:rsid w:val="00B34569"/>
    <w:rsid w:val="00BE5129"/>
    <w:rsid w:val="00C03715"/>
    <w:rsid w:val="00C1737D"/>
    <w:rsid w:val="00D0546A"/>
    <w:rsid w:val="00D6472B"/>
    <w:rsid w:val="00D66C9D"/>
    <w:rsid w:val="00DC4DDD"/>
    <w:rsid w:val="00E53B3D"/>
    <w:rsid w:val="00EF35AF"/>
    <w:rsid w:val="00F10689"/>
    <w:rsid w:val="00F70165"/>
    <w:rsid w:val="00F76A69"/>
    <w:rsid w:val="00FF0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83CEA3"/>
  <w15:chartTrackingRefBased/>
  <w15:docId w15:val="{6359CB80-AF53-514D-A040-6915B8C3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5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546A"/>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A713C1"/>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7016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0165"/>
    <w:rPr>
      <w:rFonts w:ascii="Times New Roman" w:eastAsiaTheme="minorEastAsia" w:hAnsi="Times New Roman" w:cs="Times New Roman"/>
      <w:sz w:val="18"/>
      <w:szCs w:val="18"/>
    </w:rPr>
  </w:style>
  <w:style w:type="paragraph" w:styleId="CommentText">
    <w:name w:val="annotation text"/>
    <w:basedOn w:val="Normal"/>
    <w:link w:val="CommentTextChar"/>
    <w:uiPriority w:val="99"/>
    <w:unhideWhenUsed/>
    <w:rsid w:val="00105452"/>
    <w:rPr>
      <w:rFonts w:ascii="Calibri" w:eastAsia="Times New Roman" w:hAnsi="Calibri"/>
      <w:sz w:val="20"/>
      <w:szCs w:val="20"/>
    </w:rPr>
  </w:style>
  <w:style w:type="character" w:customStyle="1" w:styleId="CommentTextChar">
    <w:name w:val="Comment Text Char"/>
    <w:basedOn w:val="DefaultParagraphFont"/>
    <w:link w:val="CommentText"/>
    <w:uiPriority w:val="99"/>
    <w:rsid w:val="00105452"/>
    <w:rPr>
      <w:rFonts w:ascii="Calibri" w:eastAsia="Times New Roman" w:hAnsi="Calibri"/>
      <w:sz w:val="20"/>
      <w:szCs w:val="20"/>
    </w:rPr>
  </w:style>
  <w:style w:type="paragraph" w:styleId="Footer">
    <w:name w:val="footer"/>
    <w:basedOn w:val="Normal"/>
    <w:link w:val="FooterChar"/>
    <w:uiPriority w:val="99"/>
    <w:unhideWhenUsed/>
    <w:rsid w:val="00027F6E"/>
    <w:pPr>
      <w:tabs>
        <w:tab w:val="center" w:pos="4680"/>
        <w:tab w:val="right" w:pos="9360"/>
      </w:tabs>
    </w:pPr>
  </w:style>
  <w:style w:type="character" w:customStyle="1" w:styleId="FooterChar">
    <w:name w:val="Footer Char"/>
    <w:basedOn w:val="DefaultParagraphFont"/>
    <w:link w:val="Footer"/>
    <w:uiPriority w:val="99"/>
    <w:rsid w:val="00027F6E"/>
    <w:rPr>
      <w:rFonts w:eastAsiaTheme="minorEastAsia"/>
    </w:rPr>
  </w:style>
  <w:style w:type="character" w:styleId="PageNumber">
    <w:name w:val="page number"/>
    <w:basedOn w:val="DefaultParagraphFont"/>
    <w:uiPriority w:val="99"/>
    <w:semiHidden/>
    <w:unhideWhenUsed/>
    <w:rsid w:val="00027F6E"/>
  </w:style>
  <w:style w:type="paragraph" w:styleId="Header">
    <w:name w:val="header"/>
    <w:basedOn w:val="Normal"/>
    <w:link w:val="HeaderChar"/>
    <w:uiPriority w:val="99"/>
    <w:unhideWhenUsed/>
    <w:rsid w:val="00027F6E"/>
    <w:pPr>
      <w:tabs>
        <w:tab w:val="center" w:pos="4680"/>
        <w:tab w:val="right" w:pos="9360"/>
      </w:tabs>
    </w:pPr>
  </w:style>
  <w:style w:type="character" w:customStyle="1" w:styleId="HeaderChar">
    <w:name w:val="Header Char"/>
    <w:basedOn w:val="DefaultParagraphFont"/>
    <w:link w:val="Header"/>
    <w:uiPriority w:val="99"/>
    <w:rsid w:val="00027F6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2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3533</Words>
  <Characters>20140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2020-01-26T22:14:00Z</dcterms:created>
  <dcterms:modified xsi:type="dcterms:W3CDTF">2020-01-26T22:14:00Z</dcterms:modified>
</cp:coreProperties>
</file>