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565"/>
        <w:gridCol w:w="2785"/>
      </w:tblGrid>
      <w:tr w:rsidR="00F549D6" w14:paraId="67FE27A8" w14:textId="77777777" w:rsidTr="00F549D6">
        <w:tc>
          <w:tcPr>
            <w:tcW w:w="6565" w:type="dxa"/>
            <w:shd w:val="clear" w:color="auto" w:fill="A5A5A5" w:themeFill="accent3"/>
          </w:tcPr>
          <w:p w14:paraId="314552CA" w14:textId="147BF08D" w:rsidR="00F549D6" w:rsidRDefault="00F549D6">
            <w:pPr>
              <w:rPr>
                <w:b/>
                <w:bCs/>
              </w:rPr>
            </w:pPr>
            <w:r w:rsidRPr="00F549D6">
              <w:rPr>
                <w:b/>
                <w:bCs/>
              </w:rPr>
              <w:t>High Level Principles / Concepts Chameleon Model</w:t>
            </w:r>
          </w:p>
        </w:tc>
        <w:tc>
          <w:tcPr>
            <w:tcW w:w="2785" w:type="dxa"/>
            <w:shd w:val="clear" w:color="auto" w:fill="A5A5A5" w:themeFill="accent3"/>
          </w:tcPr>
          <w:p w14:paraId="4B85D30B" w14:textId="10F78F58" w:rsidR="00F549D6" w:rsidRDefault="00F549D6">
            <w:pPr>
              <w:rPr>
                <w:b/>
                <w:bCs/>
              </w:rPr>
            </w:pPr>
            <w:r>
              <w:rPr>
                <w:b/>
                <w:bCs/>
              </w:rPr>
              <w:t>EPDP Team Agreement</w:t>
            </w:r>
          </w:p>
        </w:tc>
      </w:tr>
      <w:tr w:rsidR="00F549D6" w14:paraId="1B24A003" w14:textId="77777777" w:rsidTr="00F549D6">
        <w:tc>
          <w:tcPr>
            <w:tcW w:w="6565" w:type="dxa"/>
          </w:tcPr>
          <w:p w14:paraId="1C444FFE" w14:textId="1C677F4F" w:rsidR="00F549D6" w:rsidRPr="00F42C7B" w:rsidRDefault="00F549D6" w:rsidP="00F42C7B">
            <w:pPr>
              <w:pStyle w:val="ListParagraph"/>
              <w:numPr>
                <w:ilvl w:val="0"/>
                <w:numId w:val="4"/>
              </w:numPr>
              <w:rPr>
                <w:rFonts w:ascii="Calibri" w:eastAsia="Calibri" w:hAnsi="Calibri" w:cs="Calibri"/>
              </w:rPr>
            </w:pPr>
            <w:r w:rsidRPr="00F42C7B">
              <w:rPr>
                <w:rFonts w:ascii="Calibri" w:eastAsia="Calibri" w:hAnsi="Calibri" w:cs="Calibri"/>
              </w:rPr>
              <w:t xml:space="preserve">Full automation of the SSAD </w:t>
            </w:r>
            <w:r w:rsidR="00925B68">
              <w:rPr>
                <w:rFonts w:ascii="Calibri" w:eastAsia="Calibri" w:hAnsi="Calibri" w:cs="Calibri"/>
              </w:rPr>
              <w:t>is</w:t>
            </w:r>
            <w:r w:rsidRPr="00F42C7B">
              <w:rPr>
                <w:rFonts w:ascii="Calibri" w:eastAsia="Calibri" w:hAnsi="Calibri" w:cs="Calibri"/>
              </w:rPr>
              <w:t xml:space="preserve"> not possible, but </w:t>
            </w:r>
            <w:r w:rsidRPr="00F42C7B">
              <w:rPr>
                <w:rFonts w:ascii="Calibri" w:eastAsia="Calibri" w:hAnsi="Calibri" w:cs="Calibri"/>
              </w:rPr>
              <w:t xml:space="preserve">the EPDP Team </w:t>
            </w:r>
            <w:r w:rsidRPr="00F42C7B">
              <w:rPr>
                <w:rFonts w:ascii="Calibri" w:eastAsia="Calibri" w:hAnsi="Calibri" w:cs="Calibri"/>
              </w:rPr>
              <w:t xml:space="preserve">recommends that the SSAD must be automated where technically feasible </w:t>
            </w:r>
            <w:r w:rsidRPr="00F42C7B">
              <w:rPr>
                <w:rFonts w:ascii="Calibri" w:eastAsia="Calibri" w:hAnsi="Calibri" w:cs="Calibri"/>
              </w:rPr>
              <w:t>AND</w:t>
            </w:r>
            <w:r w:rsidRPr="00F42C7B">
              <w:rPr>
                <w:rFonts w:ascii="Calibri" w:eastAsia="Calibri" w:hAnsi="Calibri" w:cs="Calibri"/>
              </w:rPr>
              <w:t xml:space="preserve"> legally permissible. Additionally, in areas where automation is not both technically feasible and legally permissible, standardization is the baseline objective.</w:t>
            </w:r>
          </w:p>
        </w:tc>
        <w:tc>
          <w:tcPr>
            <w:tcW w:w="2785" w:type="dxa"/>
          </w:tcPr>
          <w:p w14:paraId="03BD95B3" w14:textId="77777777" w:rsidR="00F549D6" w:rsidRDefault="00F549D6">
            <w:pPr>
              <w:rPr>
                <w:b/>
                <w:bCs/>
              </w:rPr>
            </w:pPr>
          </w:p>
        </w:tc>
      </w:tr>
      <w:tr w:rsidR="00F549D6" w14:paraId="5244F4D8" w14:textId="77777777" w:rsidTr="00F549D6">
        <w:tc>
          <w:tcPr>
            <w:tcW w:w="6565" w:type="dxa"/>
          </w:tcPr>
          <w:p w14:paraId="671B5E77" w14:textId="6F68BFF3" w:rsidR="00F549D6" w:rsidRPr="00F549D6" w:rsidRDefault="00F549D6" w:rsidP="00F42C7B">
            <w:pPr>
              <w:pStyle w:val="ListParagraph"/>
              <w:numPr>
                <w:ilvl w:val="0"/>
                <w:numId w:val="4"/>
              </w:numPr>
            </w:pPr>
            <w:r w:rsidRPr="00F42C7B">
              <w:rPr>
                <w:rFonts w:ascii="Calibri" w:eastAsia="Calibri" w:hAnsi="Calibri" w:cs="Calibri"/>
              </w:rPr>
              <w:t>Experience</w:t>
            </w:r>
            <w:r>
              <w:t xml:space="preserve"> gained over time with SSAD disclosure requests and responses must inform further streamlining and standardization of responses. </w:t>
            </w:r>
          </w:p>
        </w:tc>
        <w:tc>
          <w:tcPr>
            <w:tcW w:w="2785" w:type="dxa"/>
          </w:tcPr>
          <w:p w14:paraId="2003F118" w14:textId="77777777" w:rsidR="00F549D6" w:rsidRDefault="00F549D6">
            <w:pPr>
              <w:rPr>
                <w:b/>
                <w:bCs/>
              </w:rPr>
            </w:pPr>
          </w:p>
        </w:tc>
      </w:tr>
      <w:tr w:rsidR="00F549D6" w14:paraId="586A2465" w14:textId="77777777" w:rsidTr="00F549D6">
        <w:tc>
          <w:tcPr>
            <w:tcW w:w="6565" w:type="dxa"/>
          </w:tcPr>
          <w:p w14:paraId="3A71D51E" w14:textId="04310691" w:rsidR="00F549D6" w:rsidRPr="00F549D6" w:rsidRDefault="00F549D6" w:rsidP="00F42C7B">
            <w:pPr>
              <w:pStyle w:val="ListParagraph"/>
              <w:numPr>
                <w:ilvl w:val="0"/>
                <w:numId w:val="4"/>
              </w:numPr>
            </w:pPr>
            <w:r w:rsidRPr="00F42C7B">
              <w:rPr>
                <w:rFonts w:ascii="Calibri" w:eastAsia="Calibri" w:hAnsi="Calibri" w:cs="Calibri"/>
              </w:rPr>
              <w:t>To</w:t>
            </w:r>
            <w:r>
              <w:t xml:space="preserve"> deal with the expected evolving nature of SSAD from a hybrid to a (partly) centralized model and avoid having to conduct a PDP every time a change needs to be made, a </w:t>
            </w:r>
            <w:r>
              <w:t>mechanism (that does not contradict PDP and/or contractual requirements and which is focused solely on implementation of the SSAD)</w:t>
            </w:r>
            <w:r>
              <w:t xml:space="preserve"> would need to be put in place to oversee and guide the continuous improvements of the SSAD. </w:t>
            </w:r>
          </w:p>
        </w:tc>
        <w:tc>
          <w:tcPr>
            <w:tcW w:w="2785" w:type="dxa"/>
          </w:tcPr>
          <w:p w14:paraId="3C09A0C9" w14:textId="77777777" w:rsidR="00F549D6" w:rsidRDefault="00F549D6">
            <w:pPr>
              <w:rPr>
                <w:b/>
                <w:bCs/>
              </w:rPr>
            </w:pPr>
          </w:p>
        </w:tc>
      </w:tr>
      <w:tr w:rsidR="00F549D6" w14:paraId="3CE7D733" w14:textId="77777777" w:rsidTr="00F549D6">
        <w:tc>
          <w:tcPr>
            <w:tcW w:w="6565" w:type="dxa"/>
          </w:tcPr>
          <w:p w14:paraId="7E98D6BE" w14:textId="0D1B773B" w:rsidR="00F549D6" w:rsidRDefault="00F549D6" w:rsidP="00F42C7B">
            <w:pPr>
              <w:pStyle w:val="ListParagraph"/>
              <w:numPr>
                <w:ilvl w:val="0"/>
                <w:numId w:val="4"/>
              </w:numPr>
            </w:pPr>
            <w:r w:rsidRPr="00F42C7B">
              <w:rPr>
                <w:rFonts w:ascii="Calibri" w:eastAsia="Calibri" w:hAnsi="Calibri" w:cs="Calibri"/>
              </w:rPr>
              <w:t>The</w:t>
            </w:r>
            <w:r>
              <w:t xml:space="preserve"> SSAD will consist of the following roles and responsibilities: </w:t>
            </w:r>
          </w:p>
          <w:p w14:paraId="1884F99B" w14:textId="2FC5BE11" w:rsidR="00F549D6" w:rsidRDefault="00F549D6" w:rsidP="00F549D6">
            <w:pPr>
              <w:pStyle w:val="ListParagraph"/>
              <w:numPr>
                <w:ilvl w:val="0"/>
                <w:numId w:val="3"/>
              </w:numPr>
            </w:pPr>
            <w:r w:rsidRPr="00C01484">
              <w:rPr>
                <w:b/>
                <w:bCs/>
              </w:rPr>
              <w:t>Central Gateway Manager</w:t>
            </w:r>
            <w:r>
              <w:t xml:space="preserve"> – </w:t>
            </w:r>
            <w:r w:rsidRPr="00C01484">
              <w:rPr>
                <w:rFonts w:ascii="Calibri" w:eastAsia="Calibri" w:hAnsi="Calibri" w:cs="Calibri"/>
                <w:color w:val="000000"/>
              </w:rPr>
              <w:t>role performed by or overseen by ICANN Org. Responsible for managing intake and routing of SSAD requests to responsible Contracted Parties. Responsible for managing</w:t>
            </w:r>
            <w:r>
              <w:rPr>
                <w:rFonts w:ascii="Calibri" w:eastAsia="Calibri" w:hAnsi="Calibri" w:cs="Calibri"/>
                <w:color w:val="000000"/>
              </w:rPr>
              <w:t xml:space="preserve"> and authorizing</w:t>
            </w:r>
            <w:r w:rsidRPr="00C01484">
              <w:rPr>
                <w:rFonts w:ascii="Calibri" w:eastAsia="Calibri" w:hAnsi="Calibri" w:cs="Calibri"/>
                <w:color w:val="000000"/>
              </w:rPr>
              <w:t xml:space="preserve"> automated responses, following criteria established and agreed to by SSAD Steering Committee.</w:t>
            </w:r>
            <w:r>
              <w:t xml:space="preserve"> </w:t>
            </w:r>
          </w:p>
          <w:p w14:paraId="40687D4F" w14:textId="77777777" w:rsidR="00F549D6" w:rsidRDefault="00F549D6" w:rsidP="00F549D6">
            <w:pPr>
              <w:numPr>
                <w:ilvl w:val="0"/>
                <w:numId w:val="2"/>
              </w:numPr>
              <w:pBdr>
                <w:top w:val="nil"/>
                <w:left w:val="nil"/>
                <w:bottom w:val="nil"/>
                <w:right w:val="nil"/>
                <w:between w:val="nil"/>
              </w:pBdr>
              <w:rPr>
                <w:rFonts w:ascii="Calibri" w:eastAsia="Calibri" w:hAnsi="Calibri" w:cs="Calibri"/>
                <w:color w:val="000000"/>
              </w:rPr>
            </w:pPr>
            <w:r>
              <w:rPr>
                <w:b/>
                <w:bCs/>
              </w:rPr>
              <w:t xml:space="preserve">Accreditation Authority </w:t>
            </w:r>
            <w:r>
              <w:rPr>
                <w:rFonts w:ascii="Calibri" w:eastAsia="Calibri" w:hAnsi="Calibri" w:cs="Calibri"/>
                <w:color w:val="000000"/>
              </w:rPr>
              <w:t>– role performed by or overseen by ICANN Org.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  </w:t>
            </w:r>
          </w:p>
          <w:p w14:paraId="039C1CEA" w14:textId="30D7DBE8" w:rsidR="00F549D6" w:rsidRDefault="00F549D6" w:rsidP="00F549D6">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Identity Provider</w:t>
            </w:r>
            <w:r w:rsidR="007063AD">
              <w:rPr>
                <w:rFonts w:ascii="Calibri" w:eastAsia="Calibri" w:hAnsi="Calibri" w:cs="Calibri"/>
                <w:b/>
                <w:color w:val="000000"/>
              </w:rPr>
              <w:t>(s)</w:t>
            </w:r>
            <w:r>
              <w:rPr>
                <w:rFonts w:ascii="Calibri" w:eastAsia="Calibri" w:hAnsi="Calibri" w:cs="Calibri"/>
                <w:b/>
                <w:color w:val="000000"/>
              </w:rPr>
              <w:t xml:space="preserve"> - </w:t>
            </w:r>
            <w:r>
              <w:rPr>
                <w:rFonts w:ascii="Calibri" w:eastAsia="Calibri" w:hAnsi="Calibri" w:cs="Calibri"/>
                <w:color w:val="000000"/>
              </w:rPr>
              <w:t>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zero or more 3rd parties.</w:t>
            </w:r>
          </w:p>
          <w:p w14:paraId="170DEEFD" w14:textId="09F60276" w:rsidR="00F549D6" w:rsidRPr="00C01484" w:rsidRDefault="00F549D6" w:rsidP="00F549D6">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Contracted Parties </w:t>
            </w:r>
            <w:r>
              <w:rPr>
                <w:rFonts w:ascii="Calibri" w:eastAsia="Calibri" w:hAnsi="Calibri" w:cs="Calibri"/>
                <w:bCs/>
                <w:color w:val="000000"/>
              </w:rPr>
              <w:t>– Responsible for responding</w:t>
            </w:r>
            <w:r>
              <w:rPr>
                <w:rFonts w:ascii="Calibri" w:eastAsia="Calibri" w:hAnsi="Calibri" w:cs="Calibri"/>
                <w:bCs/>
                <w:color w:val="000000"/>
              </w:rPr>
              <w:t xml:space="preserve"> and authorizing</w:t>
            </w:r>
            <w:r>
              <w:rPr>
                <w:rFonts w:ascii="Calibri" w:eastAsia="Calibri" w:hAnsi="Calibri" w:cs="Calibri"/>
                <w:bCs/>
                <w:color w:val="000000"/>
              </w:rPr>
              <w:t xml:space="preserve"> disclosure requests that do not meet the criteria for an automated response. </w:t>
            </w:r>
          </w:p>
          <w:p w14:paraId="7B032DAD" w14:textId="6F25C24C" w:rsidR="00F549D6" w:rsidRPr="00F549D6" w:rsidRDefault="00F549D6" w:rsidP="00F42C7B">
            <w:pPr>
              <w:numPr>
                <w:ilvl w:val="0"/>
                <w:numId w:val="2"/>
              </w:numPr>
              <w:pBdr>
                <w:top w:val="nil"/>
                <w:left w:val="nil"/>
                <w:bottom w:val="nil"/>
                <w:right w:val="nil"/>
                <w:between w:val="nil"/>
              </w:pBdr>
            </w:pPr>
            <w:r>
              <w:rPr>
                <w:rFonts w:ascii="Calibri" w:eastAsia="Calibri" w:hAnsi="Calibri" w:cs="Calibri"/>
                <w:b/>
                <w:color w:val="000000"/>
              </w:rPr>
              <w:t>Mechanism to allow for the continued evolution of SSAD</w:t>
            </w:r>
            <w:r>
              <w:rPr>
                <w:rFonts w:ascii="Calibri" w:eastAsia="Calibri" w:hAnsi="Calibri" w:cs="Calibri"/>
                <w:bCs/>
                <w:color w:val="000000"/>
              </w:rPr>
              <w:t xml:space="preserve"> - TBD</w:t>
            </w:r>
          </w:p>
        </w:tc>
        <w:tc>
          <w:tcPr>
            <w:tcW w:w="2785" w:type="dxa"/>
          </w:tcPr>
          <w:p w14:paraId="43FC30C5" w14:textId="77777777" w:rsidR="00F549D6" w:rsidRDefault="00F549D6">
            <w:pPr>
              <w:rPr>
                <w:b/>
                <w:bCs/>
              </w:rPr>
            </w:pPr>
          </w:p>
        </w:tc>
      </w:tr>
      <w:tr w:rsidR="00F549D6" w14:paraId="4A761DB8" w14:textId="77777777" w:rsidTr="00F549D6">
        <w:tc>
          <w:tcPr>
            <w:tcW w:w="6565" w:type="dxa"/>
          </w:tcPr>
          <w:p w14:paraId="25378D01" w14:textId="169BD8CB" w:rsidR="00F549D6" w:rsidRDefault="00F42C7B" w:rsidP="00F42C7B">
            <w:pPr>
              <w:pStyle w:val="ListParagraph"/>
              <w:numPr>
                <w:ilvl w:val="0"/>
                <w:numId w:val="4"/>
              </w:numPr>
              <w:rPr>
                <w:b/>
                <w:bCs/>
              </w:rPr>
            </w:pPr>
            <w:r w:rsidRPr="00F42C7B">
              <w:rPr>
                <w:rFonts w:ascii="Calibri" w:eastAsia="Calibri" w:hAnsi="Calibri" w:cs="Calibri"/>
              </w:rPr>
              <w:lastRenderedPageBreak/>
              <w:t>Meaningful</w:t>
            </w:r>
            <w:r>
              <w:t xml:space="preserve"> SLAs need to be put in </w:t>
            </w:r>
            <w:proofErr w:type="gramStart"/>
            <w:r>
              <w:t>place</w:t>
            </w:r>
            <w:proofErr w:type="gramEnd"/>
            <w:r>
              <w:t xml:space="preserve"> but these may need to be of an evolutionary nature to recognize that there will be a le</w:t>
            </w:r>
            <w:bookmarkStart w:id="0" w:name="_GoBack"/>
            <w:bookmarkEnd w:id="0"/>
            <w:r>
              <w:t>arning curve.</w:t>
            </w:r>
          </w:p>
        </w:tc>
        <w:tc>
          <w:tcPr>
            <w:tcW w:w="2785" w:type="dxa"/>
          </w:tcPr>
          <w:p w14:paraId="5F293228" w14:textId="77777777" w:rsidR="00F549D6" w:rsidRDefault="00F549D6">
            <w:pPr>
              <w:rPr>
                <w:b/>
                <w:bCs/>
              </w:rPr>
            </w:pPr>
          </w:p>
        </w:tc>
      </w:tr>
      <w:tr w:rsidR="00DE2F2F" w14:paraId="64B340AA" w14:textId="77777777" w:rsidTr="00F549D6">
        <w:tc>
          <w:tcPr>
            <w:tcW w:w="6565" w:type="dxa"/>
          </w:tcPr>
          <w:p w14:paraId="19CB6B93" w14:textId="6F2EA9BA" w:rsidR="00DE2F2F" w:rsidRPr="00F42C7B" w:rsidRDefault="00DE2F2F" w:rsidP="00F42C7B">
            <w:pPr>
              <w:pStyle w:val="ListParagraph"/>
              <w:numPr>
                <w:ilvl w:val="0"/>
                <w:numId w:val="4"/>
              </w:numPr>
              <w:rPr>
                <w:rFonts w:ascii="Calibri" w:eastAsia="Calibri" w:hAnsi="Calibri" w:cs="Calibri"/>
              </w:rPr>
            </w:pPr>
            <w:r>
              <w:rPr>
                <w:rFonts w:ascii="Calibri" w:eastAsia="Calibri" w:hAnsi="Calibri" w:cs="Calibri"/>
              </w:rPr>
              <w:t xml:space="preserve">Responses to disclosure requests, regardless of whether review is conducted manually or an automated responses is triggered, are returned from the relevant Contracted Party to the requestor, but appropriate logging mechanisms must be in place for SSAD to be able to confirm that SLAs are met and responses are being processed according the policy. </w:t>
            </w:r>
          </w:p>
        </w:tc>
        <w:tc>
          <w:tcPr>
            <w:tcW w:w="2785" w:type="dxa"/>
          </w:tcPr>
          <w:p w14:paraId="2BEAAB1D" w14:textId="77777777" w:rsidR="00DE2F2F" w:rsidRDefault="00DE2F2F">
            <w:pPr>
              <w:rPr>
                <w:b/>
                <w:bCs/>
              </w:rPr>
            </w:pPr>
          </w:p>
        </w:tc>
      </w:tr>
    </w:tbl>
    <w:p w14:paraId="66C571EC" w14:textId="77777777" w:rsidR="00F549D6" w:rsidRPr="00F549D6" w:rsidRDefault="00F549D6">
      <w:pPr>
        <w:rPr>
          <w:b/>
          <w:bCs/>
        </w:rPr>
      </w:pPr>
    </w:p>
    <w:sectPr w:rsidR="00F549D6" w:rsidRPr="00F549D6"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3E9A"/>
    <w:multiLevelType w:val="hybridMultilevel"/>
    <w:tmpl w:val="938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60779"/>
    <w:multiLevelType w:val="hybridMultilevel"/>
    <w:tmpl w:val="EECA7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05361A"/>
    <w:multiLevelType w:val="hybridMultilevel"/>
    <w:tmpl w:val="7F6AA4FC"/>
    <w:lvl w:ilvl="0" w:tplc="DCA64E08">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1E070A"/>
    <w:multiLevelType w:val="multilevel"/>
    <w:tmpl w:val="78C451C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D6"/>
    <w:rsid w:val="000B7A30"/>
    <w:rsid w:val="001D224A"/>
    <w:rsid w:val="00246C3B"/>
    <w:rsid w:val="00385D74"/>
    <w:rsid w:val="005E720C"/>
    <w:rsid w:val="005F102F"/>
    <w:rsid w:val="007063AD"/>
    <w:rsid w:val="007F1FED"/>
    <w:rsid w:val="008363A6"/>
    <w:rsid w:val="00925B68"/>
    <w:rsid w:val="00B34569"/>
    <w:rsid w:val="00BE5129"/>
    <w:rsid w:val="00C32F57"/>
    <w:rsid w:val="00DC76E0"/>
    <w:rsid w:val="00DE2F2F"/>
    <w:rsid w:val="00E53B3D"/>
    <w:rsid w:val="00EF35AF"/>
    <w:rsid w:val="00F10689"/>
    <w:rsid w:val="00F42C7B"/>
    <w:rsid w:val="00F549D6"/>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4D0E2"/>
  <w15:chartTrackingRefBased/>
  <w15:docId w15:val="{1F6CC62A-5FF6-A342-9916-EF8089A8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9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9D6"/>
    <w:rPr>
      <w:rFonts w:ascii="Times New Roman" w:hAnsi="Times New Roman" w:cs="Times New Roman"/>
      <w:sz w:val="18"/>
      <w:szCs w:val="18"/>
    </w:rPr>
  </w:style>
  <w:style w:type="paragraph" w:styleId="ListParagraph">
    <w:name w:val="List Paragraph"/>
    <w:basedOn w:val="Normal"/>
    <w:uiPriority w:val="1"/>
    <w:qFormat/>
    <w:rsid w:val="00F54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5</cp:revision>
  <dcterms:created xsi:type="dcterms:W3CDTF">2020-01-26T16:15:00Z</dcterms:created>
  <dcterms:modified xsi:type="dcterms:W3CDTF">2020-01-27T01:09:00Z</dcterms:modified>
</cp:coreProperties>
</file>