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782E" w:rsidRPr="00DF4D4C" w:rsidRDefault="00DF4D4C" w:rsidP="009A1FC6">
      <w:pPr>
        <w:rPr>
          <w:rFonts w:ascii="Calibri" w:eastAsia="Times New Roman" w:hAnsi="Calibri" w:cs="Times New Roman"/>
          <w:b/>
          <w:color w:val="000000"/>
          <w:sz w:val="22"/>
          <w:szCs w:val="22"/>
          <w:shd w:val="clear" w:color="auto" w:fill="FFFFFF"/>
        </w:rPr>
      </w:pPr>
      <w:r>
        <w:rPr>
          <w:rFonts w:ascii="Calibri" w:eastAsia="Times New Roman" w:hAnsi="Calibri" w:cs="Times New Roman"/>
          <w:b/>
          <w:color w:val="000000"/>
          <w:sz w:val="22"/>
          <w:szCs w:val="22"/>
          <w:shd w:val="clear" w:color="auto" w:fill="FFFFFF"/>
        </w:rPr>
        <w:t>Updated Recommendation 15 – Data Retention (Formerly Rec. 11)</w:t>
      </w:r>
    </w:p>
    <w:p w:rsidR="00DF782E" w:rsidRPr="00DF4D4C" w:rsidRDefault="00DF782E" w:rsidP="00DF4D4C">
      <w:pPr>
        <w:ind w:left="360"/>
        <w:rPr>
          <w:rFonts w:ascii="Calibri" w:eastAsia="Times New Roman" w:hAnsi="Calibri" w:cs="Times New Roman"/>
          <w:color w:val="000000"/>
        </w:rPr>
      </w:pPr>
    </w:p>
    <w:p w:rsidR="009A1FC6" w:rsidRPr="00DF4D4C" w:rsidRDefault="00DF782E" w:rsidP="00DF4D4C">
      <w:pPr>
        <w:pStyle w:val="ListParagraph"/>
        <w:numPr>
          <w:ilvl w:val="0"/>
          <w:numId w:val="5"/>
        </w:numPr>
      </w:pPr>
      <w:r w:rsidRPr="00DF4D4C">
        <w:rPr>
          <w:rFonts w:ascii="Calibri" w:eastAsia="Times New Roman" w:hAnsi="Calibri" w:cs="Times New Roman"/>
          <w:b/>
          <w:i/>
          <w:color w:val="000000"/>
          <w:sz w:val="22"/>
          <w:szCs w:val="22"/>
          <w:shd w:val="clear" w:color="auto" w:fill="FFFFFF"/>
        </w:rPr>
        <w:t>In order to inform its Phase 2 deliberations</w:t>
      </w:r>
      <w:r w:rsidRPr="00DF4D4C">
        <w:rPr>
          <w:rFonts w:ascii="Calibri" w:eastAsia="Times New Roman" w:hAnsi="Calibri" w:cs="Times New Roman"/>
          <w:b/>
          <w:color w:val="000000"/>
          <w:sz w:val="22"/>
          <w:szCs w:val="22"/>
          <w:shd w:val="clear" w:color="auto" w:fill="FFFFFF"/>
        </w:rPr>
        <w:t>, t</w:t>
      </w:r>
      <w:r w:rsidR="009A1FC6" w:rsidRPr="00DF4D4C">
        <w:rPr>
          <w:rFonts w:ascii="Calibri" w:eastAsia="Times New Roman" w:hAnsi="Calibri" w:cs="Times New Roman"/>
          <w:color w:val="000000"/>
          <w:sz w:val="22"/>
          <w:szCs w:val="22"/>
          <w:shd w:val="clear" w:color="auto" w:fill="FFFFFF"/>
        </w:rPr>
        <w:t>he EPDP team recommends that ICANN Org, </w:t>
      </w:r>
      <w:r w:rsidR="009A1FC6" w:rsidRPr="00DF4D4C">
        <w:rPr>
          <w:rFonts w:ascii="Calibri" w:eastAsia="Times New Roman" w:hAnsi="Calibri" w:cs="Times New Roman"/>
          <w:b/>
          <w:bCs/>
          <w:i/>
          <w:iCs/>
          <w:color w:val="000000"/>
          <w:sz w:val="22"/>
          <w:szCs w:val="22"/>
          <w:shd w:val="clear" w:color="auto" w:fill="FFFFFF"/>
        </w:rPr>
        <w:t>as a matter of urgency</w:t>
      </w:r>
      <w:bookmarkStart w:id="0" w:name="_GoBack"/>
      <w:bookmarkEnd w:id="0"/>
      <w:r w:rsidR="009A1FC6" w:rsidRPr="00DF4D4C">
        <w:rPr>
          <w:rFonts w:ascii="Calibri" w:eastAsia="Times New Roman" w:hAnsi="Calibri" w:cs="Times New Roman"/>
          <w:color w:val="000000"/>
          <w:sz w:val="22"/>
          <w:szCs w:val="22"/>
          <w:shd w:val="clear" w:color="auto" w:fill="FFFFFF"/>
        </w:rPr>
        <w:t>, undertakes a review of all</w:t>
      </w:r>
      <w:r w:rsidRPr="00DF4D4C">
        <w:rPr>
          <w:rFonts w:ascii="Calibri" w:eastAsia="Times New Roman" w:hAnsi="Calibri" w:cs="Times New Roman"/>
          <w:color w:val="000000"/>
          <w:sz w:val="22"/>
          <w:szCs w:val="22"/>
          <w:shd w:val="clear" w:color="auto" w:fill="FFFFFF"/>
        </w:rPr>
        <w:t xml:space="preserve"> of</w:t>
      </w:r>
      <w:r w:rsidR="009A1FC6" w:rsidRPr="00DF4D4C">
        <w:rPr>
          <w:rFonts w:ascii="Calibri" w:eastAsia="Times New Roman" w:hAnsi="Calibri" w:cs="Times New Roman"/>
          <w:color w:val="000000"/>
          <w:sz w:val="22"/>
          <w:szCs w:val="22"/>
          <w:shd w:val="clear" w:color="auto" w:fill="FFFFFF"/>
        </w:rPr>
        <w:t xml:space="preserve"> its active processes and procedures so as to identify and document the instances in which personal data is requested from a registrar beyond the period of the 'life of the registration'. Retention periods for specific data elements should then be identified, documented, and relied upon to establish the required relevant and specific minimum data retention expectations for registrars. </w:t>
      </w:r>
      <w:r w:rsidRPr="00DF4D4C">
        <w:rPr>
          <w:rFonts w:ascii="Calibri" w:eastAsia="Times New Roman" w:hAnsi="Calibri" w:cs="Times New Roman"/>
          <w:b/>
          <w:bCs/>
          <w:i/>
          <w:iCs/>
          <w:color w:val="000000"/>
          <w:sz w:val="22"/>
          <w:szCs w:val="22"/>
          <w:shd w:val="clear" w:color="auto" w:fill="FFFFFF"/>
        </w:rPr>
        <w:t>The EPDP Team recommends</w:t>
      </w:r>
      <w:r w:rsidR="009A1FC6" w:rsidRPr="00DF4D4C">
        <w:rPr>
          <w:rFonts w:ascii="Calibri" w:eastAsia="Times New Roman" w:hAnsi="Calibri" w:cs="Times New Roman"/>
          <w:b/>
          <w:bCs/>
          <w:i/>
          <w:iCs/>
          <w:color w:val="000000"/>
          <w:sz w:val="22"/>
          <w:szCs w:val="22"/>
          <w:shd w:val="clear" w:color="auto" w:fill="FFFFFF"/>
        </w:rPr>
        <w:t xml:space="preserve"> community members be invited to contribute to this data gathering exercise by providing input on other legitimate purposes for which different retention purposes may be applicable. </w:t>
      </w:r>
      <w:r w:rsidR="009A1FC6" w:rsidRPr="009A1FC6">
        <w:rPr>
          <w:b/>
          <w:bCs/>
          <w:i/>
          <w:iCs/>
          <w:shd w:val="clear" w:color="auto" w:fill="FFFFFF"/>
        </w:rPr>
        <w:t> </w:t>
      </w:r>
    </w:p>
    <w:p w:rsidR="00DF782E" w:rsidRPr="009A1FC6" w:rsidRDefault="00DF782E" w:rsidP="00DF782E">
      <w:pPr>
        <w:ind w:left="360"/>
      </w:pPr>
    </w:p>
    <w:p w:rsidR="009A1FC6" w:rsidRPr="009A1FC6" w:rsidRDefault="009A1FC6" w:rsidP="009A1FC6">
      <w:pPr>
        <w:numPr>
          <w:ilvl w:val="0"/>
          <w:numId w:val="2"/>
        </w:numPr>
        <w:rPr>
          <w:rFonts w:ascii="Calibri" w:eastAsia="Times New Roman" w:hAnsi="Calibri" w:cs="Times New Roman"/>
          <w:color w:val="000000"/>
        </w:rPr>
      </w:pPr>
      <w:r w:rsidRPr="009A1FC6">
        <w:rPr>
          <w:rFonts w:ascii="Calibri" w:eastAsia="Times New Roman" w:hAnsi="Calibri" w:cs="Times New Roman"/>
          <w:color w:val="000000"/>
          <w:sz w:val="22"/>
          <w:szCs w:val="22"/>
          <w:shd w:val="clear" w:color="auto" w:fill="FFFFFF"/>
        </w:rPr>
        <w:t>In the interim, the EPDP team has recognized that the Transfer Dispute Resolution Policy (“TDRP”) has been identified </w:t>
      </w:r>
      <w:r w:rsidRPr="009A1FC6">
        <w:rPr>
          <w:rFonts w:ascii="Calibri" w:eastAsia="Times New Roman" w:hAnsi="Calibri" w:cs="Times New Roman"/>
          <w:b/>
          <w:bCs/>
          <w:i/>
          <w:iCs/>
          <w:color w:val="000000"/>
          <w:sz w:val="22"/>
          <w:szCs w:val="22"/>
          <w:shd w:val="clear" w:color="auto" w:fill="FFFFFF"/>
        </w:rPr>
        <w:t xml:space="preserve">as having the longest justified retention period of one year and has therefore recommended registrars </w:t>
      </w:r>
      <w:proofErr w:type="gramStart"/>
      <w:r w:rsidRPr="009A1FC6">
        <w:rPr>
          <w:rFonts w:ascii="Calibri" w:eastAsia="Times New Roman" w:hAnsi="Calibri" w:cs="Times New Roman"/>
          <w:b/>
          <w:bCs/>
          <w:i/>
          <w:iCs/>
          <w:color w:val="000000"/>
          <w:sz w:val="22"/>
          <w:szCs w:val="22"/>
          <w:shd w:val="clear" w:color="auto" w:fill="FFFFFF"/>
        </w:rPr>
        <w:t>be</w:t>
      </w:r>
      <w:proofErr w:type="gramEnd"/>
      <w:r w:rsidRPr="009A1FC6">
        <w:rPr>
          <w:rFonts w:ascii="Calibri" w:eastAsia="Times New Roman" w:hAnsi="Calibri" w:cs="Times New Roman"/>
          <w:b/>
          <w:bCs/>
          <w:i/>
          <w:iCs/>
          <w:color w:val="000000"/>
          <w:sz w:val="22"/>
          <w:szCs w:val="22"/>
          <w:shd w:val="clear" w:color="auto" w:fill="FFFFFF"/>
        </w:rPr>
        <w:t xml:space="preserve"> required to retain</w:t>
      </w:r>
      <w:r w:rsidRPr="009A1FC6">
        <w:rPr>
          <w:rFonts w:ascii="Calibri" w:eastAsia="Times New Roman" w:hAnsi="Calibri" w:cs="Times New Roman"/>
          <w:color w:val="000000"/>
          <w:sz w:val="22"/>
          <w:szCs w:val="22"/>
          <w:shd w:val="clear" w:color="auto" w:fill="FFFFFF"/>
        </w:rPr>
        <w:t> only those data elements deemed necessary for the purposes of the TDRP, for a period of one year following the life of the registration. This retention is grounded on the stated policy stipulation within the TDRP that claims under the policy may only be raised for a period of 12 months after the alleged breach (FN: see TDRP section 2.2) of the Transfer Policy (FN: see Section 1.15 of TDRP). </w:t>
      </w:r>
      <w:r w:rsidRPr="009A1FC6">
        <w:rPr>
          <w:rFonts w:ascii="Calibri" w:eastAsia="Times New Roman" w:hAnsi="Calibri" w:cs="Times New Roman"/>
          <w:b/>
          <w:bCs/>
          <w:i/>
          <w:iCs/>
          <w:color w:val="000000"/>
          <w:sz w:val="22"/>
          <w:szCs w:val="22"/>
          <w:shd w:val="clear" w:color="auto" w:fill="FFFFFF"/>
        </w:rPr>
        <w:t>This retention period does not restrict the ability of registries and registrars to retain data elements provided in Recommendations 4 -7 for other purposes specified in Recommendation 1 for shorter periods.</w:t>
      </w:r>
    </w:p>
    <w:p w:rsidR="009A1FC6" w:rsidRPr="009A1FC6" w:rsidRDefault="009A1FC6" w:rsidP="009A1FC6">
      <w:pPr>
        <w:ind w:left="720"/>
        <w:rPr>
          <w:rFonts w:ascii="Calibri" w:eastAsia="Times New Roman" w:hAnsi="Calibri" w:cs="Times New Roman"/>
          <w:color w:val="000000"/>
        </w:rPr>
      </w:pPr>
      <w:r w:rsidRPr="009A1FC6">
        <w:rPr>
          <w:rFonts w:ascii="Calibri" w:eastAsia="Times New Roman" w:hAnsi="Calibri" w:cs="Times New Roman"/>
          <w:color w:val="000000"/>
          <w:sz w:val="22"/>
          <w:szCs w:val="22"/>
          <w:shd w:val="clear" w:color="auto" w:fill="FFFFFF"/>
        </w:rPr>
        <w:t> </w:t>
      </w:r>
    </w:p>
    <w:p w:rsidR="00404709" w:rsidRDefault="009A1FC6" w:rsidP="00BE7417">
      <w:pPr>
        <w:numPr>
          <w:ilvl w:val="0"/>
          <w:numId w:val="3"/>
        </w:numPr>
      </w:pPr>
      <w:r w:rsidRPr="00AC5C49">
        <w:rPr>
          <w:rFonts w:ascii="Calibri" w:eastAsia="Times New Roman" w:hAnsi="Calibri" w:cs="Times New Roman"/>
          <w:color w:val="000000"/>
          <w:sz w:val="22"/>
          <w:szCs w:val="22"/>
          <w:shd w:val="clear" w:color="auto" w:fill="FFFFFF"/>
        </w:rPr>
        <w:t>The EPDP team recognizes that Contracted Parties may have needs or requirements for different retention periods in line with local law or other requirements. The EPDP team </w:t>
      </w:r>
      <w:r w:rsidR="00DF782E" w:rsidRPr="00AC5C49">
        <w:rPr>
          <w:rFonts w:ascii="Calibri" w:eastAsia="Times New Roman" w:hAnsi="Calibri" w:cs="Times New Roman"/>
          <w:b/>
          <w:i/>
          <w:color w:val="000000"/>
          <w:sz w:val="22"/>
          <w:szCs w:val="22"/>
          <w:shd w:val="clear" w:color="auto" w:fill="FFFFFF"/>
        </w:rPr>
        <w:t>notes</w:t>
      </w:r>
      <w:r w:rsidR="00DF782E" w:rsidRPr="00AC5C49">
        <w:rPr>
          <w:rFonts w:ascii="Calibri" w:eastAsia="Times New Roman" w:hAnsi="Calibri" w:cs="Times New Roman"/>
          <w:color w:val="000000"/>
          <w:sz w:val="22"/>
          <w:szCs w:val="22"/>
          <w:shd w:val="clear" w:color="auto" w:fill="FFFFFF"/>
        </w:rPr>
        <w:t> </w:t>
      </w:r>
      <w:r w:rsidRPr="00AC5C49">
        <w:rPr>
          <w:rFonts w:ascii="Calibri" w:eastAsia="Times New Roman" w:hAnsi="Calibri" w:cs="Times New Roman"/>
          <w:color w:val="000000"/>
          <w:sz w:val="22"/>
          <w:szCs w:val="22"/>
          <w:shd w:val="clear" w:color="auto" w:fill="FFFFFF"/>
        </w:rPr>
        <w:t>that nothing in this recommendation, or in separate ICANN-mandated policy, prohibit</w:t>
      </w:r>
      <w:r w:rsidR="00DF782E" w:rsidRPr="00AC5C49">
        <w:rPr>
          <w:rFonts w:ascii="Calibri" w:eastAsia="Times New Roman" w:hAnsi="Calibri" w:cs="Times New Roman"/>
          <w:color w:val="000000"/>
          <w:sz w:val="22"/>
          <w:szCs w:val="22"/>
          <w:shd w:val="clear" w:color="auto" w:fill="FFFFFF"/>
        </w:rPr>
        <w:t>s</w:t>
      </w:r>
      <w:r w:rsidRPr="00AC5C49">
        <w:rPr>
          <w:rFonts w:ascii="Calibri" w:eastAsia="Times New Roman" w:hAnsi="Calibri" w:cs="Times New Roman"/>
          <w:color w:val="000000"/>
          <w:sz w:val="22"/>
          <w:szCs w:val="22"/>
          <w:shd w:val="clear" w:color="auto" w:fill="FFFFFF"/>
        </w:rPr>
        <w:t xml:space="preserve"> contracted parties from setting their own retention periods</w:t>
      </w:r>
      <w:r w:rsidR="00DF782E" w:rsidRPr="00AC5C49">
        <w:rPr>
          <w:rFonts w:ascii="Calibri" w:eastAsia="Times New Roman" w:hAnsi="Calibri" w:cs="Times New Roman"/>
          <w:color w:val="000000"/>
          <w:sz w:val="22"/>
          <w:szCs w:val="22"/>
          <w:shd w:val="clear" w:color="auto" w:fill="FFFFFF"/>
        </w:rPr>
        <w:t xml:space="preserve">, </w:t>
      </w:r>
      <w:r w:rsidR="005958E1" w:rsidRPr="00AC5C49">
        <w:rPr>
          <w:rFonts w:ascii="Calibri" w:eastAsia="Times New Roman" w:hAnsi="Calibri" w:cs="Times New Roman"/>
          <w:b/>
          <w:i/>
          <w:color w:val="000000"/>
          <w:sz w:val="22"/>
          <w:szCs w:val="22"/>
          <w:shd w:val="clear" w:color="auto" w:fill="FFFFFF"/>
        </w:rPr>
        <w:t xml:space="preserve">which may be longer or shorter </w:t>
      </w:r>
      <w:r w:rsidR="00DF782E" w:rsidRPr="00AC5C49">
        <w:rPr>
          <w:rFonts w:ascii="Calibri" w:eastAsia="Times New Roman" w:hAnsi="Calibri" w:cs="Times New Roman"/>
          <w:b/>
          <w:i/>
          <w:color w:val="000000"/>
          <w:sz w:val="22"/>
          <w:szCs w:val="22"/>
          <w:shd w:val="clear" w:color="auto" w:fill="FFFFFF"/>
        </w:rPr>
        <w:t xml:space="preserve">than what is </w:t>
      </w:r>
      <w:r w:rsidR="005958E1" w:rsidRPr="00AC5C49">
        <w:rPr>
          <w:rFonts w:ascii="Calibri" w:eastAsia="Times New Roman" w:hAnsi="Calibri" w:cs="Times New Roman"/>
          <w:b/>
          <w:i/>
          <w:color w:val="000000"/>
          <w:sz w:val="22"/>
          <w:szCs w:val="22"/>
          <w:shd w:val="clear" w:color="auto" w:fill="FFFFFF"/>
        </w:rPr>
        <w:t>specified</w:t>
      </w:r>
      <w:r w:rsidRPr="00AC5C49">
        <w:rPr>
          <w:rFonts w:ascii="Calibri" w:eastAsia="Times New Roman" w:hAnsi="Calibri" w:cs="Times New Roman"/>
          <w:color w:val="000000"/>
          <w:sz w:val="22"/>
          <w:szCs w:val="22"/>
          <w:shd w:val="clear" w:color="auto" w:fill="FFFFFF"/>
        </w:rPr>
        <w:t xml:space="preserve"> in ICANN policy. </w:t>
      </w:r>
      <w:r w:rsidR="00DF782E" w:rsidRPr="00AC5C49">
        <w:rPr>
          <w:rFonts w:ascii="Calibri" w:eastAsia="Times New Roman" w:hAnsi="Calibri" w:cs="Times New Roman"/>
          <w:color w:val="000000"/>
          <w:sz w:val="22"/>
          <w:szCs w:val="22"/>
          <w:shd w:val="clear" w:color="auto" w:fill="FFFFFF"/>
        </w:rPr>
        <w:t>T</w:t>
      </w:r>
      <w:r w:rsidRPr="00AC5C49">
        <w:rPr>
          <w:rFonts w:ascii="Calibri" w:eastAsia="Times New Roman" w:hAnsi="Calibri" w:cs="Times New Roman"/>
          <w:color w:val="000000"/>
          <w:sz w:val="22"/>
          <w:szCs w:val="22"/>
          <w:shd w:val="clear" w:color="auto" w:fill="FFFFFF"/>
        </w:rPr>
        <w:t xml:space="preserve">he EPDP team recommends </w:t>
      </w:r>
      <w:r w:rsidR="00DF782E" w:rsidRPr="00AC5C49">
        <w:rPr>
          <w:rFonts w:ascii="Calibri" w:eastAsia="Times New Roman" w:hAnsi="Calibri" w:cs="Times New Roman"/>
          <w:b/>
          <w:i/>
          <w:color w:val="000000"/>
          <w:sz w:val="22"/>
          <w:szCs w:val="22"/>
          <w:shd w:val="clear" w:color="auto" w:fill="FFFFFF"/>
        </w:rPr>
        <w:t xml:space="preserve">that </w:t>
      </w:r>
      <w:r w:rsidR="00DF4D4C" w:rsidRPr="00AC5C49">
        <w:rPr>
          <w:rFonts w:ascii="Calibri" w:eastAsia="Times New Roman" w:hAnsi="Calibri" w:cs="Times New Roman"/>
          <w:b/>
          <w:i/>
          <w:color w:val="000000"/>
          <w:sz w:val="22"/>
          <w:szCs w:val="22"/>
          <w:shd w:val="clear" w:color="auto" w:fill="FFFFFF"/>
        </w:rPr>
        <w:t>ICANN Org review its current data retention waiver procedure to improve efficiency, request response times, and GDPR compliance, e.g., if a Registrar from a certain jurisdiction is successfully granted a data retention waiver, similarly-situated Registrars might apply the same waiver through a notice procedure and without having to produce a separate application. </w:t>
      </w:r>
    </w:p>
    <w:sectPr w:rsidR="00404709" w:rsidSect="00440B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61DD9"/>
    <w:multiLevelType w:val="multilevel"/>
    <w:tmpl w:val="8990BE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A97606"/>
    <w:multiLevelType w:val="multilevel"/>
    <w:tmpl w:val="278CA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47348"/>
    <w:multiLevelType w:val="hybridMultilevel"/>
    <w:tmpl w:val="E3AE3EB2"/>
    <w:lvl w:ilvl="0" w:tplc="6A3CEF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D062D3"/>
    <w:multiLevelType w:val="multilevel"/>
    <w:tmpl w:val="FD009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FE765A"/>
    <w:multiLevelType w:val="multilevel"/>
    <w:tmpl w:val="4FEED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304D17"/>
    <w:multiLevelType w:val="multilevel"/>
    <w:tmpl w:val="3B9AE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FC6"/>
    <w:rsid w:val="000F2666"/>
    <w:rsid w:val="00272278"/>
    <w:rsid w:val="00404709"/>
    <w:rsid w:val="004076B0"/>
    <w:rsid w:val="00440B65"/>
    <w:rsid w:val="004E551C"/>
    <w:rsid w:val="005958E1"/>
    <w:rsid w:val="006325CF"/>
    <w:rsid w:val="009A1FC6"/>
    <w:rsid w:val="00AC5C49"/>
    <w:rsid w:val="00BE00D9"/>
    <w:rsid w:val="00DC58CE"/>
    <w:rsid w:val="00DF4D4C"/>
    <w:rsid w:val="00DF782E"/>
    <w:rsid w:val="00F82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69E4"/>
  <w15:chartTrackingRefBased/>
  <w15:docId w15:val="{11F1AEEF-EFAD-0E4C-B11E-9ADBF848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782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F782E"/>
    <w:rPr>
      <w:rFonts w:ascii="Times New Roman" w:hAnsi="Times New Roman" w:cs="Times New Roman"/>
      <w:sz w:val="18"/>
      <w:szCs w:val="18"/>
    </w:rPr>
  </w:style>
  <w:style w:type="paragraph" w:styleId="ListParagraph">
    <w:name w:val="List Paragraph"/>
    <w:basedOn w:val="Normal"/>
    <w:uiPriority w:val="34"/>
    <w:qFormat/>
    <w:rsid w:val="00DF782E"/>
    <w:pPr>
      <w:ind w:left="720"/>
      <w:contextualSpacing/>
    </w:pPr>
  </w:style>
  <w:style w:type="character" w:customStyle="1" w:styleId="apple-converted-space">
    <w:name w:val="apple-converted-space"/>
    <w:basedOn w:val="DefaultParagraphFont"/>
    <w:rsid w:val="00BE00D9"/>
  </w:style>
  <w:style w:type="paragraph" w:styleId="Revision">
    <w:name w:val="Revision"/>
    <w:hidden/>
    <w:uiPriority w:val="99"/>
    <w:semiHidden/>
    <w:rsid w:val="00DF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1532">
      <w:bodyDiv w:val="1"/>
      <w:marLeft w:val="0"/>
      <w:marRight w:val="0"/>
      <w:marTop w:val="0"/>
      <w:marBottom w:val="0"/>
      <w:divBdr>
        <w:top w:val="none" w:sz="0" w:space="0" w:color="auto"/>
        <w:left w:val="none" w:sz="0" w:space="0" w:color="auto"/>
        <w:bottom w:val="none" w:sz="0" w:space="0" w:color="auto"/>
        <w:right w:val="none" w:sz="0" w:space="0" w:color="auto"/>
      </w:divBdr>
    </w:div>
    <w:div w:id="706611014">
      <w:bodyDiv w:val="1"/>
      <w:marLeft w:val="0"/>
      <w:marRight w:val="0"/>
      <w:marTop w:val="0"/>
      <w:marBottom w:val="0"/>
      <w:divBdr>
        <w:top w:val="none" w:sz="0" w:space="0" w:color="auto"/>
        <w:left w:val="none" w:sz="0" w:space="0" w:color="auto"/>
        <w:bottom w:val="none" w:sz="0" w:space="0" w:color="auto"/>
        <w:right w:val="none" w:sz="0" w:space="0" w:color="auto"/>
      </w:divBdr>
    </w:div>
    <w:div w:id="1874734162">
      <w:bodyDiv w:val="1"/>
      <w:marLeft w:val="0"/>
      <w:marRight w:val="0"/>
      <w:marTop w:val="0"/>
      <w:marBottom w:val="0"/>
      <w:divBdr>
        <w:top w:val="none" w:sz="0" w:space="0" w:color="auto"/>
        <w:left w:val="none" w:sz="0" w:space="0" w:color="auto"/>
        <w:bottom w:val="none" w:sz="0" w:space="0" w:color="auto"/>
        <w:right w:val="none" w:sz="0" w:space="0" w:color="auto"/>
      </w:divBdr>
    </w:div>
    <w:div w:id="1902590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3</cp:revision>
  <dcterms:created xsi:type="dcterms:W3CDTF">2019-02-11T00:19:00Z</dcterms:created>
  <dcterms:modified xsi:type="dcterms:W3CDTF">2019-02-11T00:20:00Z</dcterms:modified>
</cp:coreProperties>
</file>