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26D74" w14:textId="395B0D11" w:rsidR="000B7A30" w:rsidRDefault="006D7CD4">
      <w:pPr>
        <w:rPr>
          <w:b/>
          <w:bCs/>
        </w:rPr>
      </w:pPr>
      <w:r w:rsidRPr="006D7CD4">
        <w:rPr>
          <w:b/>
          <w:bCs/>
        </w:rPr>
        <w:t>Proposed EPDP Team Phase 2 Working Definitions</w:t>
      </w:r>
      <w:r w:rsidR="000A47AD">
        <w:rPr>
          <w:b/>
          <w:bCs/>
        </w:rPr>
        <w:t xml:space="preserve"> – Initial List</w:t>
      </w:r>
      <w:r w:rsidR="00316336">
        <w:rPr>
          <w:b/>
          <w:bCs/>
        </w:rPr>
        <w:t xml:space="preserve"> (21 May 2019)</w:t>
      </w:r>
    </w:p>
    <w:p w14:paraId="140F29D1" w14:textId="24C3E934" w:rsidR="006D7CD4" w:rsidRDefault="006D7CD4">
      <w:pPr>
        <w:rPr>
          <w:b/>
          <w:bCs/>
        </w:rPr>
      </w:pPr>
    </w:p>
    <w:p w14:paraId="0AD6452A" w14:textId="7D16A343" w:rsidR="006D7CD4" w:rsidRDefault="006D7CD4">
      <w:pPr>
        <w:rPr>
          <w:i/>
          <w:iCs/>
        </w:rPr>
      </w:pPr>
      <w:r w:rsidRPr="006D7CD4">
        <w:rPr>
          <w:i/>
          <w:iCs/>
        </w:rPr>
        <w:t xml:space="preserve">Note: these working definitions are intended to ensure that the same meaning is associated with the different terms that are used throughout the EPDP Team deliberations. These working definitions are by no means intended to limit the scope or predetermine the outcome of the EPDP Team’s deliberations. Once the EPDP Team finalizes its deliberations, it will revisit these working definitions and </w:t>
      </w:r>
      <w:r w:rsidR="00504A04">
        <w:rPr>
          <w:i/>
          <w:iCs/>
        </w:rPr>
        <w:t>adjust</w:t>
      </w:r>
      <w:r w:rsidR="00504A04" w:rsidRPr="006D7CD4">
        <w:rPr>
          <w:i/>
          <w:iCs/>
        </w:rPr>
        <w:t xml:space="preserve"> </w:t>
      </w:r>
      <w:r w:rsidRPr="006D7CD4">
        <w:rPr>
          <w:i/>
          <w:iCs/>
        </w:rPr>
        <w:t>them, as needed, so that they align with the EPDP Team’s recommendations.</w:t>
      </w:r>
      <w:r w:rsidR="00A0633D">
        <w:rPr>
          <w:i/>
          <w:iCs/>
        </w:rPr>
        <w:t xml:space="preserve"> This alignment should also consider definitions that have been adopted in the context of other efforts such as the P</w:t>
      </w:r>
      <w:r w:rsidR="00504A04">
        <w:rPr>
          <w:i/>
          <w:iCs/>
        </w:rPr>
        <w:t xml:space="preserve">rivacy and </w:t>
      </w:r>
      <w:r w:rsidR="00A0633D">
        <w:rPr>
          <w:i/>
          <w:iCs/>
        </w:rPr>
        <w:t>P</w:t>
      </w:r>
      <w:r w:rsidR="00504A04">
        <w:rPr>
          <w:i/>
          <w:iCs/>
        </w:rPr>
        <w:t xml:space="preserve">roxy </w:t>
      </w:r>
      <w:r w:rsidR="00A0633D">
        <w:rPr>
          <w:i/>
          <w:iCs/>
        </w:rPr>
        <w:t>S</w:t>
      </w:r>
      <w:r w:rsidR="00504A04">
        <w:rPr>
          <w:i/>
          <w:iCs/>
        </w:rPr>
        <w:t xml:space="preserve">ervices </w:t>
      </w:r>
      <w:r w:rsidR="00A0633D">
        <w:rPr>
          <w:i/>
          <w:iCs/>
        </w:rPr>
        <w:t>A</w:t>
      </w:r>
      <w:r w:rsidR="00504A04">
        <w:rPr>
          <w:i/>
          <w:iCs/>
        </w:rPr>
        <w:t>ccreditation Implementation (PPSAI)</w:t>
      </w:r>
      <w:r w:rsidR="00A0633D">
        <w:rPr>
          <w:i/>
          <w:iCs/>
        </w:rPr>
        <w:t xml:space="preserve">. </w:t>
      </w:r>
      <w:r w:rsidRPr="006D7CD4">
        <w:rPr>
          <w:i/>
          <w:iCs/>
        </w:rPr>
        <w:t xml:space="preserve"> </w:t>
      </w:r>
    </w:p>
    <w:p w14:paraId="3BF4C92C" w14:textId="38D67301" w:rsidR="006D7CD4" w:rsidRDefault="006D7CD4">
      <w:pPr>
        <w:rPr>
          <w:i/>
          <w:iCs/>
        </w:rPr>
      </w:pPr>
    </w:p>
    <w:p w14:paraId="1B117919" w14:textId="3A2CE89C" w:rsidR="006D7CD4" w:rsidRDefault="006D7CD4" w:rsidP="006D7CD4">
      <w:pPr>
        <w:numPr>
          <w:ilvl w:val="0"/>
          <w:numId w:val="1"/>
        </w:numPr>
      </w:pPr>
      <w:r w:rsidRPr="006D7CD4">
        <w:rPr>
          <w:b/>
          <w:bCs/>
        </w:rPr>
        <w:t>Access</w:t>
      </w:r>
      <w:r>
        <w:rPr>
          <w:b/>
          <w:bCs/>
        </w:rPr>
        <w:t xml:space="preserve"> </w:t>
      </w:r>
      <w:r>
        <w:t>refers to the right of</w:t>
      </w:r>
      <w:r w:rsidRPr="006D7CD4">
        <w:t xml:space="preserve"> individuals to obtain a copy of their personal</w:t>
      </w:r>
      <w:r>
        <w:t xml:space="preserve"> </w:t>
      </w:r>
      <w:r w:rsidRPr="006D7CD4">
        <w:t>data</w:t>
      </w:r>
      <w:r>
        <w:t xml:space="preserve"> related to a domain name registration or for third parties to request access to such non-public registration information</w:t>
      </w:r>
      <w:r w:rsidR="00B13E56">
        <w:t>.</w:t>
      </w:r>
    </w:p>
    <w:p w14:paraId="67E46D4E" w14:textId="77777777" w:rsidR="00B13E56" w:rsidRDefault="00B13E56" w:rsidP="00B13E56">
      <w:pPr>
        <w:ind w:left="720"/>
      </w:pPr>
    </w:p>
    <w:p w14:paraId="1606B4EC" w14:textId="7358A765" w:rsidR="006D7CD4" w:rsidRDefault="006D7CD4" w:rsidP="006D7CD4">
      <w:pPr>
        <w:numPr>
          <w:ilvl w:val="0"/>
          <w:numId w:val="1"/>
        </w:numPr>
      </w:pPr>
      <w:r w:rsidRPr="006D7CD4">
        <w:rPr>
          <w:b/>
          <w:bCs/>
        </w:rPr>
        <w:t>Disclosure</w:t>
      </w:r>
      <w:r w:rsidRPr="006D7CD4">
        <w:t xml:space="preserve"> refers to sharing of personal information with</w:t>
      </w:r>
      <w:r>
        <w:t xml:space="preserve"> the data subject or </w:t>
      </w:r>
      <w:r w:rsidRPr="006D7CD4">
        <w:t>third parties</w:t>
      </w:r>
      <w:r>
        <w:t xml:space="preserve"> requesting access. </w:t>
      </w:r>
    </w:p>
    <w:p w14:paraId="33AACB20" w14:textId="3A3F5CAC" w:rsidR="006D7CD4" w:rsidRDefault="006D7CD4" w:rsidP="006D7CD4"/>
    <w:p w14:paraId="2BD3085B" w14:textId="128E14B8" w:rsidR="006D7CD4" w:rsidRDefault="006D7CD4" w:rsidP="006D7CD4">
      <w:r>
        <w:t xml:space="preserve">These working definitions do not </w:t>
      </w:r>
      <w:r w:rsidR="00504A04">
        <w:t xml:space="preserve">seek to </w:t>
      </w:r>
      <w:r>
        <w:t xml:space="preserve">opine on whether access or disclosure is a type of ‘all you can eat’ access or disclosure – this is a policy question that the EPDP Team will need to answer. </w:t>
      </w:r>
    </w:p>
    <w:p w14:paraId="3C5CD2E8" w14:textId="5013CFC5" w:rsidR="006D7CD4" w:rsidRDefault="006D7CD4" w:rsidP="006D7CD4"/>
    <w:p w14:paraId="0A095C4B" w14:textId="5183124D" w:rsidR="006D7CD4" w:rsidRDefault="006D7CD4" w:rsidP="006D7CD4">
      <w:pPr>
        <w:numPr>
          <w:ilvl w:val="0"/>
          <w:numId w:val="1"/>
        </w:numPr>
        <w:rPr>
          <w:b/>
          <w:bCs/>
        </w:rPr>
      </w:pPr>
      <w:r w:rsidRPr="006D7CD4">
        <w:rPr>
          <w:b/>
          <w:bCs/>
        </w:rPr>
        <w:t xml:space="preserve">Unified </w:t>
      </w:r>
      <w:r w:rsidR="00B973A2">
        <w:rPr>
          <w:b/>
          <w:bCs/>
        </w:rPr>
        <w:t>A</w:t>
      </w:r>
      <w:r w:rsidRPr="006D7CD4">
        <w:rPr>
          <w:b/>
          <w:bCs/>
        </w:rPr>
        <w:t xml:space="preserve">ccess </w:t>
      </w:r>
      <w:r w:rsidR="00B973A2">
        <w:rPr>
          <w:b/>
          <w:bCs/>
        </w:rPr>
        <w:t>M</w:t>
      </w:r>
      <w:r w:rsidRPr="006D7CD4">
        <w:rPr>
          <w:b/>
          <w:bCs/>
        </w:rPr>
        <w:t>odel</w:t>
      </w:r>
      <w:r w:rsidR="00B973A2">
        <w:rPr>
          <w:b/>
          <w:bCs/>
        </w:rPr>
        <w:t xml:space="preserve"> (UAM)</w:t>
      </w:r>
      <w:r w:rsidRPr="006D7CD4">
        <w:rPr>
          <w:b/>
          <w:bCs/>
        </w:rPr>
        <w:t xml:space="preserve"> – </w:t>
      </w:r>
      <w:r w:rsidRPr="006D7CD4">
        <w:t>refers to the unified access model based on the T</w:t>
      </w:r>
      <w:r w:rsidR="00504A04">
        <w:t xml:space="preserve">echnical </w:t>
      </w:r>
      <w:r w:rsidRPr="006D7CD4">
        <w:t>S</w:t>
      </w:r>
      <w:r w:rsidR="00504A04">
        <w:t xml:space="preserve">tudy </w:t>
      </w:r>
      <w:r w:rsidRPr="006D7CD4">
        <w:t>G</w:t>
      </w:r>
      <w:r w:rsidR="00504A04">
        <w:t>roup (TSG),</w:t>
      </w:r>
      <w:r w:rsidRPr="006D7CD4">
        <w:t xml:space="preserve"> which places ICANN as the coordinating party for third-party queries for non-public domain name registration data in the gTLD space.</w:t>
      </w:r>
      <w:r w:rsidRPr="006D7CD4">
        <w:rPr>
          <w:b/>
          <w:bCs/>
        </w:rPr>
        <w:t xml:space="preserve"> </w:t>
      </w:r>
    </w:p>
    <w:p w14:paraId="237FADAC" w14:textId="77777777" w:rsidR="00B13E56" w:rsidRPr="006D7CD4" w:rsidRDefault="00B13E56" w:rsidP="00B13E56">
      <w:pPr>
        <w:ind w:left="720"/>
        <w:rPr>
          <w:b/>
          <w:bCs/>
        </w:rPr>
      </w:pPr>
    </w:p>
    <w:p w14:paraId="231688F7" w14:textId="48E2DBDD" w:rsidR="006D7CD4" w:rsidRDefault="00B973A2" w:rsidP="00B973A2">
      <w:pPr>
        <w:numPr>
          <w:ilvl w:val="0"/>
          <w:numId w:val="1"/>
        </w:numPr>
        <w:rPr>
          <w:b/>
          <w:bCs/>
        </w:rPr>
      </w:pPr>
      <w:r w:rsidRPr="00B973A2">
        <w:rPr>
          <w:b/>
          <w:bCs/>
        </w:rPr>
        <w:t xml:space="preserve">System for Standardized </w:t>
      </w:r>
      <w:r>
        <w:rPr>
          <w:b/>
          <w:bCs/>
        </w:rPr>
        <w:t>Access/</w:t>
      </w:r>
      <w:r w:rsidRPr="00B973A2">
        <w:rPr>
          <w:b/>
          <w:bCs/>
        </w:rPr>
        <w:t>Disclosure</w:t>
      </w:r>
      <w:r>
        <w:rPr>
          <w:b/>
          <w:bCs/>
        </w:rPr>
        <w:t xml:space="preserve"> (SSAD) </w:t>
      </w:r>
      <w:r>
        <w:t>– refers to the framework and requirements for coordinating third-party queries for non-public domain name registration data. This system</w:t>
      </w:r>
      <w:r w:rsidR="00504A04">
        <w:t>, or parts thereof,</w:t>
      </w:r>
      <w:r>
        <w:t xml:space="preserve"> may be centrally coordinated by ICANN</w:t>
      </w:r>
      <w:r w:rsidR="00B13E56">
        <w:t xml:space="preserve">, </w:t>
      </w:r>
      <w:r>
        <w:t xml:space="preserve">or it may not. This is a determination that the EPDP Team is expected to make through its deliberations as well as input received from DPAs.  </w:t>
      </w:r>
      <w:r>
        <w:rPr>
          <w:b/>
          <w:bCs/>
        </w:rPr>
        <w:t xml:space="preserve"> </w:t>
      </w:r>
    </w:p>
    <w:p w14:paraId="6A1F3440" w14:textId="77777777" w:rsidR="001E6FFA" w:rsidRDefault="001E6FFA" w:rsidP="000A47AD">
      <w:pPr>
        <w:pStyle w:val="ListParagraph"/>
        <w:rPr>
          <w:b/>
          <w:bCs/>
        </w:rPr>
      </w:pPr>
    </w:p>
    <w:p w14:paraId="421992BD" w14:textId="3EDD845A" w:rsidR="001E6FFA" w:rsidRPr="000A47AD" w:rsidRDefault="001E6FFA" w:rsidP="00B973A2">
      <w:pPr>
        <w:numPr>
          <w:ilvl w:val="0"/>
          <w:numId w:val="1"/>
        </w:numPr>
      </w:pPr>
      <w:r w:rsidRPr="00BF48AD">
        <w:rPr>
          <w:b/>
          <w:bCs/>
        </w:rPr>
        <w:t>Accreditation</w:t>
      </w:r>
      <w:r w:rsidR="00BF48AD" w:rsidRPr="000A47AD">
        <w:t xml:space="preserve"> – refers to the process or action of accrediting a requestor or group of requestors</w:t>
      </w:r>
      <w:r w:rsidR="00BF48AD">
        <w:t>.</w:t>
      </w:r>
    </w:p>
    <w:p w14:paraId="3FD86F7C" w14:textId="77777777" w:rsidR="001E6FFA" w:rsidRDefault="001E6FFA" w:rsidP="000A47AD">
      <w:pPr>
        <w:pStyle w:val="ListParagraph"/>
        <w:rPr>
          <w:b/>
          <w:bCs/>
        </w:rPr>
      </w:pPr>
    </w:p>
    <w:p w14:paraId="08B26BA6" w14:textId="3E2672CB" w:rsidR="001E6FFA" w:rsidRPr="000A47AD" w:rsidRDefault="00BF48AD" w:rsidP="00BF48AD">
      <w:pPr>
        <w:numPr>
          <w:ilvl w:val="0"/>
          <w:numId w:val="1"/>
        </w:numPr>
      </w:pPr>
      <w:r w:rsidRPr="000A47AD">
        <w:rPr>
          <w:b/>
          <w:bCs/>
        </w:rPr>
        <w:t>Authentication</w:t>
      </w:r>
      <w:r w:rsidRPr="000A47AD">
        <w:t xml:space="preserve"> – refers to the process or action of verifying the identity of a </w:t>
      </w:r>
      <w:r>
        <w:t>r</w:t>
      </w:r>
      <w:r w:rsidRPr="000A47AD">
        <w:t>equestor</w:t>
      </w:r>
      <w:r>
        <w:t>.</w:t>
      </w:r>
      <w:r w:rsidRPr="000A47AD">
        <w:t xml:space="preserve"> </w:t>
      </w:r>
    </w:p>
    <w:p w14:paraId="2D657C34" w14:textId="77777777" w:rsidR="001E6FFA" w:rsidRDefault="001E6FFA" w:rsidP="000A47AD">
      <w:pPr>
        <w:pStyle w:val="ListParagraph"/>
        <w:rPr>
          <w:b/>
          <w:bCs/>
        </w:rPr>
      </w:pPr>
    </w:p>
    <w:p w14:paraId="7EA224AA" w14:textId="640EB787" w:rsidR="001E6FFA" w:rsidRPr="000A47AD" w:rsidRDefault="001E6FFA" w:rsidP="00BF48AD">
      <w:pPr>
        <w:numPr>
          <w:ilvl w:val="0"/>
          <w:numId w:val="1"/>
        </w:numPr>
      </w:pPr>
      <w:r>
        <w:rPr>
          <w:b/>
          <w:bCs/>
        </w:rPr>
        <w:t>Co</w:t>
      </w:r>
      <w:r w:rsidR="00BF48AD">
        <w:rPr>
          <w:b/>
          <w:bCs/>
        </w:rPr>
        <w:t>n</w:t>
      </w:r>
      <w:r>
        <w:rPr>
          <w:b/>
          <w:bCs/>
        </w:rPr>
        <w:t>troller</w:t>
      </w:r>
      <w:r w:rsidR="00BF48AD">
        <w:rPr>
          <w:b/>
          <w:bCs/>
        </w:rPr>
        <w:t xml:space="preserve"> – </w:t>
      </w:r>
      <w:r w:rsidR="00BF48AD" w:rsidRPr="000A47AD">
        <w:t>refers to the entity</w:t>
      </w:r>
      <w:r w:rsidR="00BF48AD">
        <w:rPr>
          <w:b/>
          <w:bCs/>
        </w:rPr>
        <w:t xml:space="preserve"> </w:t>
      </w:r>
      <w:r w:rsidR="00BF48AD" w:rsidRPr="000A47AD">
        <w:t>determin</w:t>
      </w:r>
      <w:r w:rsidR="00BF48AD">
        <w:t>ing</w:t>
      </w:r>
      <w:r w:rsidR="00BF48AD" w:rsidRPr="000A47AD">
        <w:t xml:space="preserve"> the purposes and means of processing personal data</w:t>
      </w:r>
      <w:r w:rsidR="00BF48AD">
        <w:t>.</w:t>
      </w:r>
    </w:p>
    <w:p w14:paraId="4E7D9DEB" w14:textId="77777777" w:rsidR="001E6FFA" w:rsidRDefault="001E6FFA" w:rsidP="000A47AD">
      <w:pPr>
        <w:pStyle w:val="ListParagraph"/>
        <w:rPr>
          <w:b/>
          <w:bCs/>
        </w:rPr>
      </w:pPr>
    </w:p>
    <w:p w14:paraId="1D515E07" w14:textId="23A39175" w:rsidR="00BF48AD" w:rsidRPr="000A47AD" w:rsidRDefault="00BF48AD" w:rsidP="00592E5A">
      <w:pPr>
        <w:numPr>
          <w:ilvl w:val="0"/>
          <w:numId w:val="1"/>
        </w:numPr>
        <w:rPr>
          <w:b/>
          <w:bCs/>
        </w:rPr>
      </w:pPr>
      <w:r w:rsidRPr="00BF48AD">
        <w:rPr>
          <w:b/>
          <w:bCs/>
        </w:rPr>
        <w:t>Data retention</w:t>
      </w:r>
      <w:r w:rsidRPr="000A47AD">
        <w:t xml:space="preserve"> </w:t>
      </w:r>
      <w:r>
        <w:t>–</w:t>
      </w:r>
      <w:r w:rsidRPr="000A47AD">
        <w:t xml:space="preserve"> </w:t>
      </w:r>
      <w:r>
        <w:t xml:space="preserve">refers to the </w:t>
      </w:r>
      <w:r w:rsidRPr="000A47AD">
        <w:t>the policies of</w:t>
      </w:r>
      <w:r>
        <w:t xml:space="preserve"> persistent data and records management for meeting legal and business data archival requirements. </w:t>
      </w:r>
    </w:p>
    <w:p w14:paraId="7361B362" w14:textId="77777777" w:rsidR="00BF48AD" w:rsidRDefault="00BF48AD" w:rsidP="000A47AD">
      <w:pPr>
        <w:pStyle w:val="ListParagraph"/>
        <w:rPr>
          <w:b/>
          <w:bCs/>
        </w:rPr>
      </w:pPr>
    </w:p>
    <w:p w14:paraId="7944C751" w14:textId="622EBDB3" w:rsidR="001E6FFA" w:rsidRPr="00316336" w:rsidRDefault="00316336" w:rsidP="00B973A2">
      <w:pPr>
        <w:numPr>
          <w:ilvl w:val="0"/>
          <w:numId w:val="1"/>
        </w:numPr>
      </w:pPr>
      <w:r>
        <w:rPr>
          <w:b/>
          <w:bCs/>
        </w:rPr>
        <w:lastRenderedPageBreak/>
        <w:t xml:space="preserve">Data destruction – </w:t>
      </w:r>
      <w:r w:rsidRPr="00316336">
        <w:t xml:space="preserve">refers </w:t>
      </w:r>
      <w:r>
        <w:t>to the</w:t>
      </w:r>
      <w:r w:rsidRPr="00316336">
        <w:t xml:space="preserve"> process of destroying data stored on tapes, hard disks and other forms of electronic media so that it is completely unreadable and cannot be accessed or used for unauthorized purposes.</w:t>
      </w:r>
      <w:bookmarkStart w:id="0" w:name="_GoBack"/>
      <w:bookmarkEnd w:id="0"/>
    </w:p>
    <w:p w14:paraId="19FAA818" w14:textId="77777777" w:rsidR="001E6FFA" w:rsidRDefault="001E6FFA" w:rsidP="000A47AD">
      <w:pPr>
        <w:pStyle w:val="ListParagraph"/>
        <w:rPr>
          <w:b/>
          <w:bCs/>
        </w:rPr>
      </w:pPr>
    </w:p>
    <w:p w14:paraId="70662732" w14:textId="3630781C" w:rsidR="001E6FFA" w:rsidRPr="006D7CD4" w:rsidRDefault="00316336" w:rsidP="00B973A2">
      <w:pPr>
        <w:numPr>
          <w:ilvl w:val="0"/>
          <w:numId w:val="1"/>
        </w:numPr>
        <w:rPr>
          <w:b/>
          <w:bCs/>
        </w:rPr>
      </w:pPr>
      <w:r>
        <w:rPr>
          <w:b/>
          <w:bCs/>
        </w:rPr>
        <w:t>Other?</w:t>
      </w:r>
    </w:p>
    <w:sectPr w:rsidR="001E6FFA" w:rsidRPr="006D7CD4"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534"/>
    <w:multiLevelType w:val="hybridMultilevel"/>
    <w:tmpl w:val="A798E524"/>
    <w:lvl w:ilvl="0" w:tplc="460CA9D4">
      <w:start w:val="1"/>
      <w:numFmt w:val="bullet"/>
      <w:lvlText w:val=""/>
      <w:lvlJc w:val="left"/>
      <w:pPr>
        <w:tabs>
          <w:tab w:val="num" w:pos="720"/>
        </w:tabs>
        <w:ind w:left="720" w:hanging="360"/>
      </w:pPr>
      <w:rPr>
        <w:rFonts w:ascii="Wingdings" w:hAnsi="Wingdings" w:hint="default"/>
      </w:rPr>
    </w:lvl>
    <w:lvl w:ilvl="1" w:tplc="A4E0D4DE" w:tentative="1">
      <w:start w:val="1"/>
      <w:numFmt w:val="bullet"/>
      <w:lvlText w:val=""/>
      <w:lvlJc w:val="left"/>
      <w:pPr>
        <w:tabs>
          <w:tab w:val="num" w:pos="1440"/>
        </w:tabs>
        <w:ind w:left="1440" w:hanging="360"/>
      </w:pPr>
      <w:rPr>
        <w:rFonts w:ascii="Wingdings" w:hAnsi="Wingdings" w:hint="default"/>
      </w:rPr>
    </w:lvl>
    <w:lvl w:ilvl="2" w:tplc="F38615C8" w:tentative="1">
      <w:start w:val="1"/>
      <w:numFmt w:val="bullet"/>
      <w:lvlText w:val=""/>
      <w:lvlJc w:val="left"/>
      <w:pPr>
        <w:tabs>
          <w:tab w:val="num" w:pos="2160"/>
        </w:tabs>
        <w:ind w:left="2160" w:hanging="360"/>
      </w:pPr>
      <w:rPr>
        <w:rFonts w:ascii="Wingdings" w:hAnsi="Wingdings" w:hint="default"/>
      </w:rPr>
    </w:lvl>
    <w:lvl w:ilvl="3" w:tplc="21922F70" w:tentative="1">
      <w:start w:val="1"/>
      <w:numFmt w:val="bullet"/>
      <w:lvlText w:val=""/>
      <w:lvlJc w:val="left"/>
      <w:pPr>
        <w:tabs>
          <w:tab w:val="num" w:pos="2880"/>
        </w:tabs>
        <w:ind w:left="2880" w:hanging="360"/>
      </w:pPr>
      <w:rPr>
        <w:rFonts w:ascii="Wingdings" w:hAnsi="Wingdings" w:hint="default"/>
      </w:rPr>
    </w:lvl>
    <w:lvl w:ilvl="4" w:tplc="54FA5EDA" w:tentative="1">
      <w:start w:val="1"/>
      <w:numFmt w:val="bullet"/>
      <w:lvlText w:val=""/>
      <w:lvlJc w:val="left"/>
      <w:pPr>
        <w:tabs>
          <w:tab w:val="num" w:pos="3600"/>
        </w:tabs>
        <w:ind w:left="3600" w:hanging="360"/>
      </w:pPr>
      <w:rPr>
        <w:rFonts w:ascii="Wingdings" w:hAnsi="Wingdings" w:hint="default"/>
      </w:rPr>
    </w:lvl>
    <w:lvl w:ilvl="5" w:tplc="68B69DF8" w:tentative="1">
      <w:start w:val="1"/>
      <w:numFmt w:val="bullet"/>
      <w:lvlText w:val=""/>
      <w:lvlJc w:val="left"/>
      <w:pPr>
        <w:tabs>
          <w:tab w:val="num" w:pos="4320"/>
        </w:tabs>
        <w:ind w:left="4320" w:hanging="360"/>
      </w:pPr>
      <w:rPr>
        <w:rFonts w:ascii="Wingdings" w:hAnsi="Wingdings" w:hint="default"/>
      </w:rPr>
    </w:lvl>
    <w:lvl w:ilvl="6" w:tplc="C20CC98C" w:tentative="1">
      <w:start w:val="1"/>
      <w:numFmt w:val="bullet"/>
      <w:lvlText w:val=""/>
      <w:lvlJc w:val="left"/>
      <w:pPr>
        <w:tabs>
          <w:tab w:val="num" w:pos="5040"/>
        </w:tabs>
        <w:ind w:left="5040" w:hanging="360"/>
      </w:pPr>
      <w:rPr>
        <w:rFonts w:ascii="Wingdings" w:hAnsi="Wingdings" w:hint="default"/>
      </w:rPr>
    </w:lvl>
    <w:lvl w:ilvl="7" w:tplc="79C628DA" w:tentative="1">
      <w:start w:val="1"/>
      <w:numFmt w:val="bullet"/>
      <w:lvlText w:val=""/>
      <w:lvlJc w:val="left"/>
      <w:pPr>
        <w:tabs>
          <w:tab w:val="num" w:pos="5760"/>
        </w:tabs>
        <w:ind w:left="5760" w:hanging="360"/>
      </w:pPr>
      <w:rPr>
        <w:rFonts w:ascii="Wingdings" w:hAnsi="Wingdings" w:hint="default"/>
      </w:rPr>
    </w:lvl>
    <w:lvl w:ilvl="8" w:tplc="99D88D0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D4"/>
    <w:rsid w:val="000A47AD"/>
    <w:rsid w:val="000B7A30"/>
    <w:rsid w:val="001E6FFA"/>
    <w:rsid w:val="00246C3B"/>
    <w:rsid w:val="00316336"/>
    <w:rsid w:val="00385D74"/>
    <w:rsid w:val="003A2D39"/>
    <w:rsid w:val="00504A04"/>
    <w:rsid w:val="005D4659"/>
    <w:rsid w:val="005E720C"/>
    <w:rsid w:val="005F102F"/>
    <w:rsid w:val="006D7CD4"/>
    <w:rsid w:val="007F1FED"/>
    <w:rsid w:val="008363A6"/>
    <w:rsid w:val="00A0633D"/>
    <w:rsid w:val="00B13E56"/>
    <w:rsid w:val="00B34569"/>
    <w:rsid w:val="00B361E9"/>
    <w:rsid w:val="00B973A2"/>
    <w:rsid w:val="00BE5129"/>
    <w:rsid w:val="00BF48AD"/>
    <w:rsid w:val="00C91F28"/>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40F7"/>
  <w15:chartTrackingRefBased/>
  <w15:docId w15:val="{71AA4F4F-A233-DB40-9EF9-B5F55273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CD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04A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4A04"/>
    <w:rPr>
      <w:rFonts w:ascii="Times New Roman" w:hAnsi="Times New Roman" w:cs="Times New Roman"/>
      <w:sz w:val="18"/>
      <w:szCs w:val="18"/>
    </w:rPr>
  </w:style>
  <w:style w:type="paragraph" w:styleId="ListParagraph">
    <w:name w:val="List Paragraph"/>
    <w:basedOn w:val="Normal"/>
    <w:uiPriority w:val="34"/>
    <w:qFormat/>
    <w:rsid w:val="001E6FFA"/>
    <w:pPr>
      <w:ind w:left="720"/>
      <w:contextualSpacing/>
    </w:pPr>
  </w:style>
  <w:style w:type="character" w:customStyle="1" w:styleId="apple-converted-space">
    <w:name w:val="apple-converted-space"/>
    <w:basedOn w:val="DefaultParagraphFont"/>
    <w:rsid w:val="00BF48AD"/>
  </w:style>
  <w:style w:type="character" w:styleId="Emphasis">
    <w:name w:val="Emphasis"/>
    <w:basedOn w:val="DefaultParagraphFont"/>
    <w:uiPriority w:val="20"/>
    <w:qFormat/>
    <w:rsid w:val="00BF48AD"/>
    <w:rPr>
      <w:i/>
      <w:iCs/>
    </w:rPr>
  </w:style>
  <w:style w:type="paragraph" w:styleId="Revision">
    <w:name w:val="Revision"/>
    <w:hidden/>
    <w:uiPriority w:val="99"/>
    <w:semiHidden/>
    <w:rsid w:val="00BF48AD"/>
  </w:style>
  <w:style w:type="character" w:styleId="CommentReference">
    <w:name w:val="annotation reference"/>
    <w:basedOn w:val="DefaultParagraphFont"/>
    <w:uiPriority w:val="99"/>
    <w:semiHidden/>
    <w:unhideWhenUsed/>
    <w:rsid w:val="00BF48AD"/>
    <w:rPr>
      <w:sz w:val="16"/>
      <w:szCs w:val="16"/>
    </w:rPr>
  </w:style>
  <w:style w:type="paragraph" w:styleId="CommentText">
    <w:name w:val="annotation text"/>
    <w:basedOn w:val="Normal"/>
    <w:link w:val="CommentTextChar"/>
    <w:uiPriority w:val="99"/>
    <w:semiHidden/>
    <w:unhideWhenUsed/>
    <w:rsid w:val="00BF48AD"/>
    <w:rPr>
      <w:sz w:val="20"/>
      <w:szCs w:val="20"/>
    </w:rPr>
  </w:style>
  <w:style w:type="character" w:customStyle="1" w:styleId="CommentTextChar">
    <w:name w:val="Comment Text Char"/>
    <w:basedOn w:val="DefaultParagraphFont"/>
    <w:link w:val="CommentText"/>
    <w:uiPriority w:val="99"/>
    <w:semiHidden/>
    <w:rsid w:val="00BF48AD"/>
    <w:rPr>
      <w:sz w:val="20"/>
      <w:szCs w:val="20"/>
    </w:rPr>
  </w:style>
  <w:style w:type="paragraph" w:styleId="CommentSubject">
    <w:name w:val="annotation subject"/>
    <w:basedOn w:val="CommentText"/>
    <w:next w:val="CommentText"/>
    <w:link w:val="CommentSubjectChar"/>
    <w:uiPriority w:val="99"/>
    <w:semiHidden/>
    <w:unhideWhenUsed/>
    <w:rsid w:val="00BF48AD"/>
    <w:rPr>
      <w:b/>
      <w:bCs/>
    </w:rPr>
  </w:style>
  <w:style w:type="character" w:customStyle="1" w:styleId="CommentSubjectChar">
    <w:name w:val="Comment Subject Char"/>
    <w:basedOn w:val="CommentTextChar"/>
    <w:link w:val="CommentSubject"/>
    <w:uiPriority w:val="99"/>
    <w:semiHidden/>
    <w:rsid w:val="00BF48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35491">
      <w:bodyDiv w:val="1"/>
      <w:marLeft w:val="0"/>
      <w:marRight w:val="0"/>
      <w:marTop w:val="0"/>
      <w:marBottom w:val="0"/>
      <w:divBdr>
        <w:top w:val="none" w:sz="0" w:space="0" w:color="auto"/>
        <w:left w:val="none" w:sz="0" w:space="0" w:color="auto"/>
        <w:bottom w:val="none" w:sz="0" w:space="0" w:color="auto"/>
        <w:right w:val="none" w:sz="0" w:space="0" w:color="auto"/>
      </w:divBdr>
    </w:div>
    <w:div w:id="619073749">
      <w:bodyDiv w:val="1"/>
      <w:marLeft w:val="0"/>
      <w:marRight w:val="0"/>
      <w:marTop w:val="0"/>
      <w:marBottom w:val="0"/>
      <w:divBdr>
        <w:top w:val="none" w:sz="0" w:space="0" w:color="auto"/>
        <w:left w:val="none" w:sz="0" w:space="0" w:color="auto"/>
        <w:bottom w:val="none" w:sz="0" w:space="0" w:color="auto"/>
        <w:right w:val="none" w:sz="0" w:space="0" w:color="auto"/>
      </w:divBdr>
      <w:divsChild>
        <w:div w:id="1096751333">
          <w:marLeft w:val="0"/>
          <w:marRight w:val="0"/>
          <w:marTop w:val="0"/>
          <w:marBottom w:val="0"/>
          <w:divBdr>
            <w:top w:val="none" w:sz="0" w:space="0" w:color="auto"/>
            <w:left w:val="none" w:sz="0" w:space="0" w:color="auto"/>
            <w:bottom w:val="none" w:sz="0" w:space="0" w:color="auto"/>
            <w:right w:val="none" w:sz="0" w:space="0" w:color="auto"/>
          </w:divBdr>
          <w:divsChild>
            <w:div w:id="1235051065">
              <w:marLeft w:val="0"/>
              <w:marRight w:val="0"/>
              <w:marTop w:val="0"/>
              <w:marBottom w:val="0"/>
              <w:divBdr>
                <w:top w:val="none" w:sz="0" w:space="0" w:color="auto"/>
                <w:left w:val="none" w:sz="0" w:space="0" w:color="auto"/>
                <w:bottom w:val="none" w:sz="0" w:space="0" w:color="auto"/>
                <w:right w:val="none" w:sz="0" w:space="0" w:color="auto"/>
              </w:divBdr>
              <w:divsChild>
                <w:div w:id="9106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9819">
      <w:bodyDiv w:val="1"/>
      <w:marLeft w:val="0"/>
      <w:marRight w:val="0"/>
      <w:marTop w:val="0"/>
      <w:marBottom w:val="0"/>
      <w:divBdr>
        <w:top w:val="none" w:sz="0" w:space="0" w:color="auto"/>
        <w:left w:val="none" w:sz="0" w:space="0" w:color="auto"/>
        <w:bottom w:val="none" w:sz="0" w:space="0" w:color="auto"/>
        <w:right w:val="none" w:sz="0" w:space="0" w:color="auto"/>
      </w:divBdr>
      <w:divsChild>
        <w:div w:id="683366450">
          <w:marLeft w:val="0"/>
          <w:marRight w:val="0"/>
          <w:marTop w:val="0"/>
          <w:marBottom w:val="0"/>
          <w:divBdr>
            <w:top w:val="none" w:sz="0" w:space="0" w:color="auto"/>
            <w:left w:val="none" w:sz="0" w:space="0" w:color="auto"/>
            <w:bottom w:val="none" w:sz="0" w:space="0" w:color="auto"/>
            <w:right w:val="none" w:sz="0" w:space="0" w:color="auto"/>
          </w:divBdr>
          <w:divsChild>
            <w:div w:id="236979668">
              <w:marLeft w:val="0"/>
              <w:marRight w:val="0"/>
              <w:marTop w:val="0"/>
              <w:marBottom w:val="0"/>
              <w:divBdr>
                <w:top w:val="none" w:sz="0" w:space="0" w:color="auto"/>
                <w:left w:val="none" w:sz="0" w:space="0" w:color="auto"/>
                <w:bottom w:val="none" w:sz="0" w:space="0" w:color="auto"/>
                <w:right w:val="none" w:sz="0" w:space="0" w:color="auto"/>
              </w:divBdr>
              <w:divsChild>
                <w:div w:id="66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4810">
      <w:bodyDiv w:val="1"/>
      <w:marLeft w:val="0"/>
      <w:marRight w:val="0"/>
      <w:marTop w:val="0"/>
      <w:marBottom w:val="0"/>
      <w:divBdr>
        <w:top w:val="none" w:sz="0" w:space="0" w:color="auto"/>
        <w:left w:val="none" w:sz="0" w:space="0" w:color="auto"/>
        <w:bottom w:val="none" w:sz="0" w:space="0" w:color="auto"/>
        <w:right w:val="none" w:sz="0" w:space="0" w:color="auto"/>
      </w:divBdr>
      <w:divsChild>
        <w:div w:id="1452819022">
          <w:marLeft w:val="547"/>
          <w:marRight w:val="0"/>
          <w:marTop w:val="400"/>
          <w:marBottom w:val="0"/>
          <w:divBdr>
            <w:top w:val="none" w:sz="0" w:space="0" w:color="auto"/>
            <w:left w:val="none" w:sz="0" w:space="0" w:color="auto"/>
            <w:bottom w:val="none" w:sz="0" w:space="0" w:color="auto"/>
            <w:right w:val="none" w:sz="0" w:space="0" w:color="auto"/>
          </w:divBdr>
        </w:div>
      </w:divsChild>
    </w:div>
    <w:div w:id="20119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2019-05-21T15:04:00Z</dcterms:created>
  <dcterms:modified xsi:type="dcterms:W3CDTF">2019-05-21T15:04:00Z</dcterms:modified>
</cp:coreProperties>
</file>