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p w:rsidR="00000000" w:rsidDel="00000000" w:rsidP="00000000" w:rsidRDefault="00000000" w:rsidRPr="00000000" w14:paraId="00000002">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Overarching Purpose:  Site Integrity and Business Integrity Confirmation </w:t>
            </w:r>
          </w:p>
        </w:tc>
      </w:tr>
    </w:tbl>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p w:rsidR="00000000" w:rsidDel="00000000" w:rsidP="00000000" w:rsidRDefault="00000000" w:rsidRPr="00000000" w14:paraId="00000005">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Case: Search Engines, Messaging Services &amp; Social Media Platforms seeking to confirm the authenticity of businesses advertising or Posting News on its Platform</w:t>
            </w:r>
          </w:p>
        </w:tc>
      </w:tr>
      <w:tr>
        <w:trPr>
          <w:trHeight w:val="300" w:hRule="atLeast"/>
        </w:trPr>
        <w:tc>
          <w:tcPr/>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tc>
        <w:tc>
          <w:tcPr/>
          <w:p w:rsidR="00000000" w:rsidDel="00000000" w:rsidP="00000000" w:rsidRDefault="00000000" w:rsidRPr="00000000" w14:paraId="00000008">
            <w:pPr>
              <w:spacing w:after="40" w:before="40" w:lineRule="auto"/>
              <w:rPr>
                <w:sz w:val="22"/>
                <w:szCs w:val="22"/>
              </w:rPr>
            </w:pPr>
            <w:r w:rsidDel="00000000" w:rsidR="00000000" w:rsidRPr="00000000">
              <w:rPr>
                <w:sz w:val="22"/>
                <w:szCs w:val="22"/>
                <w:rtl w:val="0"/>
              </w:rPr>
              <w:t xml:space="preserve">Social Media Companies, Messaging Services, Search Engines</w:t>
            </w:r>
          </w:p>
        </w:tc>
      </w:tr>
      <w:tr>
        <w:trPr>
          <w:trHeight w:val="300" w:hRule="atLeast"/>
        </w:trPr>
        <w:tc>
          <w:tcPr/>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tc>
        <w:tc>
          <w:tcPr/>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Social Media Platforms, Browser Providers, Search Engines conduct operations to protect the integrity of their services, such as to fight fake news or to protect against terrorist propaganda campaigns. WHOIS serves as the appropriate method to check on the authenticity of businesses seeking to advertise or post news on these services</w:t>
            </w:r>
          </w:p>
        </w:tc>
      </w:tr>
      <w:tr>
        <w:trPr>
          <w:trHeight w:val="300" w:hRule="atLeast"/>
        </w:trPr>
        <w:tc>
          <w:tcPr/>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Registrant Name</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Postal Address</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Number</w:t>
            </w:r>
          </w:p>
        </w:tc>
      </w:tr>
      <w:tr>
        <w:trPr>
          <w:trHeight w:val="300" w:hRule="atLeast"/>
        </w:trPr>
        <w:tc>
          <w:tcPr/>
          <w:p w:rsidR="00000000" w:rsidDel="00000000" w:rsidP="00000000" w:rsidRDefault="00000000" w:rsidRPr="00000000" w14:paraId="000000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tc>
        <w:tc>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 (f) (legitimate interest), (b) performance of contract, (e) (task carried out in the public interest, official authority), and (d) </w:t>
            </w:r>
            <w:r w:rsidDel="00000000" w:rsidR="00000000" w:rsidRPr="00000000">
              <w:rPr>
                <w:shd w:fill="fbe5d5" w:val="clear"/>
                <w:rtl w:val="0"/>
              </w:rPr>
              <w:t xml:space="preserve">p</w:t>
            </w:r>
            <w:r w:rsidDel="00000000" w:rsidR="00000000" w:rsidRPr="00000000">
              <w:rPr>
                <w:rFonts w:ascii="Calibri" w:cs="Calibri" w:eastAsia="Calibri" w:hAnsi="Calibri"/>
                <w:sz w:val="22"/>
                <w:szCs w:val="22"/>
                <w:shd w:fill="fbe5d5" w:val="clear"/>
                <w:rtl w:val="0"/>
              </w:rPr>
              <w:t xml:space="preserve">rotect the vital interests of the data subject or of another natural person.  </w:t>
            </w:r>
            <w:r w:rsidDel="00000000" w:rsidR="00000000" w:rsidRPr="00000000">
              <w:rPr>
                <w:rtl w:val="0"/>
              </w:rPr>
            </w:r>
          </w:p>
        </w:tc>
      </w:tr>
      <w:tr>
        <w:trPr>
          <w:trHeight w:val="300" w:hRule="atLeast"/>
        </w:trPr>
        <w:tc>
          <w:tcPr/>
          <w:p w:rsidR="00000000" w:rsidDel="00000000" w:rsidP="00000000" w:rsidRDefault="00000000" w:rsidRPr="00000000" w14:paraId="000000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t xml:space="preserve">Attestation that the Requester is employed by or is a service provider for a Social Media Platform, Browser Provider or Search Engine.  Service Providers must provide a letter of authorization. </w:t>
            </w:r>
          </w:p>
        </w:tc>
      </w:tr>
      <w:tr>
        <w:trPr>
          <w:trHeight w:val="300" w:hRule="atLeast"/>
        </w:trPr>
        <w:tc>
          <w:tcPr/>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w:t>
            </w:r>
            <w:r w:rsidDel="00000000" w:rsidR="00000000" w:rsidRPr="00000000">
              <w:rPr>
                <w:rFonts w:ascii="Calibri" w:cs="Calibri" w:eastAsia="Calibri" w:hAnsi="Calibri"/>
                <w:sz w:val="22"/>
                <w:szCs w:val="22"/>
                <w:rtl w:val="0"/>
              </w:rPr>
              <w:t xml:space="preserve">Requ</w:t>
            </w:r>
            <w:r w:rsidDel="00000000" w:rsidR="00000000" w:rsidRPr="00000000">
              <w:rPr>
                <w:rFonts w:ascii="Calibri" w:cs="Calibri" w:eastAsia="Calibri" w:hAnsi="Calibri"/>
                <w:color w:val="000000"/>
                <w:sz w:val="22"/>
                <w:szCs w:val="22"/>
                <w:rtl w:val="0"/>
              </w:rPr>
              <w:t xml:space="preserve">estor: </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Must process data in compliance with data protection laws such as GDPR, including secure transmission;</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ind w:left="360" w:hanging="360"/>
              <w:rPr>
                <w:color w:val="000000"/>
                <w:sz w:val="22"/>
                <w:szCs w:val="22"/>
              </w:rPr>
            </w:pPr>
            <w:bookmarkStart w:colFirst="0" w:colLast="0" w:name="_gjdgxs" w:id="0"/>
            <w:bookmarkEnd w:id="0"/>
            <w:r w:rsidDel="00000000" w:rsidR="00000000" w:rsidRPr="00000000">
              <w:rPr>
                <w:rFonts w:ascii="Calibri" w:cs="Calibri" w:eastAsia="Calibri" w:hAnsi="Calibri"/>
                <w:color w:val="000000"/>
                <w:sz w:val="22"/>
                <w:szCs w:val="22"/>
                <w:rtl w:val="0"/>
              </w:rPr>
              <w:t xml:space="preserve">Must only request current data (no data about the domain name registration’s history);</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Must direct requests at the entity that is determined through this policy process to be responsible for the disclosure of the requested data;</w:t>
            </w:r>
          </w:p>
          <w:p w:rsidR="00000000" w:rsidDel="00000000" w:rsidP="00000000" w:rsidRDefault="00000000" w:rsidRPr="00000000" w14:paraId="0000001A">
            <w:pPr>
              <w:rPr>
                <w:sz w:val="22"/>
                <w:szCs w:val="22"/>
              </w:rPr>
            </w:pPr>
            <w:r w:rsidDel="00000000" w:rsidR="00000000" w:rsidRPr="00000000">
              <w:rPr>
                <w:rFonts w:ascii="Calibri" w:cs="Calibri" w:eastAsia="Calibri" w:hAnsi="Calibri"/>
                <w:color w:val="000000"/>
                <w:sz w:val="22"/>
                <w:szCs w:val="22"/>
                <w:rtl w:val="0"/>
              </w:rPr>
              <w:t xml:space="preserve">Must provide representations about use of requested data which will be subject to auditing.</w:t>
            </w:r>
            <w:r w:rsidDel="00000000" w:rsidR="00000000" w:rsidRPr="00000000">
              <w:rPr>
                <w:rtl w:val="0"/>
              </w:rPr>
            </w:r>
          </w:p>
        </w:tc>
      </w:tr>
      <w:tr>
        <w:trPr>
          <w:trHeight w:val="300" w:hRule="atLeast"/>
        </w:trPr>
        <w:tc>
          <w:tcPr/>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Must supply only the data requested by the requestor;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Must return current data in response to a request;</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Must monitor the system and take appropriate action, such as revoking or limiting access, to protect against abuse or misuse of the system</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color w:val="000000"/>
                <w:sz w:val="22"/>
                <w:szCs w:val="22"/>
                <w:rtl w:val="0"/>
              </w:rPr>
              <w:t xml:space="preserve">Must provide data for multiple domain names responsive to the request</w:t>
            </w:r>
            <w:r w:rsidDel="00000000" w:rsidR="00000000" w:rsidRPr="00000000">
              <w:rPr>
                <w:rtl w:val="0"/>
              </w:rPr>
            </w:r>
          </w:p>
        </w:tc>
      </w:tr>
      <w:tr>
        <w:trPr>
          <w:trHeight w:val="300" w:hRule="atLeast"/>
        </w:trPr>
        <w:tc>
          <w:tcPr/>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tc>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Registered Name Holder (data subject) must have the right: </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 obtain, on reasonable request, confirmation of the processing of personal data relating to them and the communication in an intelligible form of the data processed;</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 obtain, on reasonable request, rectification or erasure, as the case may be, of inaccurate data or data that is being, or has been, processed contrary to the provisions of this Protocol, but in the case of erasure, except where that processing is allowed, necessary, or required under applicable law for:</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exercising the right of freedom of expression and information;</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compliance with a legal obligation(s) for the performance of a task carried out in the public interest;</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the exercise of official authority vested in the controller;</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reasons of public interest in the area of public health;</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archiving purposes in the public interest, scientific or historical research purposes or statistical purposes; or</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the establishment, exercise or defence of legal claims.</w:t>
            </w:r>
          </w:p>
          <w:p w:rsidR="00000000" w:rsidDel="00000000" w:rsidP="00000000" w:rsidRDefault="00000000" w:rsidRPr="00000000" w14:paraId="0000002B">
            <w:pPr>
              <w:ind w:left="14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not to be subject to a decision significantly affecting them based solely on an automated processing of data unless this is:</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authorized by law providing appropriate safeguards, including at least the right to obtain human intervention;</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necessary for entering into, or performance of, a contract between the data subject and a data controller;</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authorized by applicable law to which the controller is subject and which also lays down suitable measures to safeguard the data subject's rights and freedoms and legitimate interests; or </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based on the data subject's explicit consent.</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that whether decisions referred to herein can be made shall always take into account whether applicable law allows for explicit consent or processing necessary for reasons of substantial public interest.</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4">
            <w:pPr>
              <w:rPr>
                <w:rFonts w:ascii="Tahoma" w:cs="Tahoma" w:eastAsia="Tahoma" w:hAnsi="Tahoma"/>
                <w:sz w:val="22"/>
                <w:szCs w:val="22"/>
              </w:rPr>
            </w:pPr>
            <w:r w:rsidDel="00000000" w:rsidR="00000000" w:rsidRPr="00000000">
              <w:rPr>
                <w:rFonts w:ascii="Calibri" w:cs="Calibri" w:eastAsia="Calibri" w:hAnsi="Calibri"/>
                <w:sz w:val="22"/>
                <w:szCs w:val="22"/>
                <w:rtl w:val="0"/>
              </w:rPr>
              <w:t xml:space="preserve">•             to lodge a complaint with the supervisory authority, or authorities, when they consider that their data protection rights have been violated</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35">
            <w:pPr>
              <w:rPr>
                <w:rFonts w:ascii="Tahoma" w:cs="Tahoma" w:eastAsia="Tahoma" w:hAnsi="Tahoma"/>
                <w:sz w:val="22"/>
                <w:szCs w:val="22"/>
              </w:rPr>
            </w:pPr>
            <w:r w:rsidDel="00000000" w:rsidR="00000000" w:rsidRPr="00000000">
              <w:rPr>
                <w:rFonts w:ascii="Calibri" w:cs="Calibri" w:eastAsia="Calibri" w:hAnsi="Calibri"/>
                <w:sz w:val="22"/>
                <w:szCs w:val="22"/>
                <w:rtl w:val="0"/>
              </w:rPr>
              <w:t xml:space="preserve">•             to an effective remedy before an independent and impartial tribunal when they consider that their data protection rights have been violated.</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tc>
      </w:tr>
      <w:tr>
        <w:trPr>
          <w:trHeight w:val="300" w:hRule="atLeast"/>
        </w:trPr>
        <w:tc>
          <w:tcPr/>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tc>
        <w:tc>
          <w:tcPr/>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color w:val="000000"/>
                <w:sz w:val="22"/>
                <w:szCs w:val="22"/>
                <w:rtl w:val="0"/>
              </w:rPr>
              <w:t xml:space="preserve">Requests must only refer to current registration data (historical registration data will not be made available via this mechanism).</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360" w:hanging="360"/>
              <w:rPr/>
            </w:pPr>
            <w:r w:rsidDel="00000000" w:rsidR="00000000" w:rsidRPr="00000000">
              <w:rPr>
                <w:rFonts w:ascii="Calibri" w:cs="Calibri" w:eastAsia="Calibri" w:hAnsi="Calibri"/>
                <w:color w:val="000000"/>
                <w:sz w:val="22"/>
                <w:szCs w:val="22"/>
                <w:rtl w:val="0"/>
              </w:rPr>
              <w:t xml:space="preserve">Contracted parties are only responsible for disclosing nonpublic registration data for the domain names under their management.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tc>
      </w:tr>
      <w:tr>
        <w:trPr>
          <w:trHeight w:val="300" w:hRule="atLeast"/>
        </w:trPr>
        <w:tc>
          <w:tcPr/>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Individuals or entities seeking accreditation as a member of this user group must also:</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Agree to only use the data for the legitimate and lawful purpose described above;</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rFonts w:ascii="Calibri" w:cs="Calibri" w:eastAsia="Calibri" w:hAnsi="Calibri"/>
                <w:color w:val="000000"/>
                <w:sz w:val="22"/>
                <w:szCs w:val="22"/>
                <w:rtl w:val="0"/>
              </w:rPr>
              <w:t xml:space="preserve">Agree to: </w:t>
            </w:r>
          </w:p>
          <w:p w:rsidR="00000000" w:rsidDel="00000000" w:rsidP="00000000" w:rsidRDefault="00000000" w:rsidRPr="00000000" w14:paraId="00000041">
            <w:pPr>
              <w:numPr>
                <w:ilvl w:val="1"/>
                <w:numId w:val="4"/>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rFonts w:ascii="Calibri" w:cs="Calibri" w:eastAsia="Calibri" w:hAnsi="Calibri"/>
                <w:color w:val="000000"/>
                <w:sz w:val="22"/>
                <w:szCs w:val="22"/>
                <w:rtl w:val="0"/>
              </w:rPr>
              <w:t xml:space="preserve">the terms of service, in which the lawful use of data described;</w:t>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rFonts w:ascii="Calibri" w:cs="Calibri" w:eastAsia="Calibri" w:hAnsi="Calibri"/>
                <w:color w:val="000000"/>
                <w:sz w:val="22"/>
                <w:szCs w:val="22"/>
                <w:rtl w:val="0"/>
              </w:rPr>
              <w:t xml:space="preserve">prevent abuse of data received; </w:t>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rFonts w:ascii="Calibri" w:cs="Calibri" w:eastAsia="Calibri" w:hAnsi="Calibri"/>
                <w:color w:val="000000"/>
                <w:sz w:val="22"/>
                <w:szCs w:val="22"/>
                <w:rtl w:val="0"/>
              </w:rPr>
              <w:t xml:space="preserve">be subject to de-accreditation if they are found to abuse use of data.</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Proof of financial worthiness to justify enhanced access, reverse searching &amp; high volumes (such as bond, letter of credit, insurance, enhanced accreditation fees)</w:t>
            </w:r>
            <w:r w:rsidDel="00000000" w:rsidR="00000000" w:rsidRPr="00000000">
              <w:rPr>
                <w:rtl w:val="0"/>
              </w:rPr>
            </w:r>
          </w:p>
        </w:tc>
      </w:tr>
      <w:tr>
        <w:trPr>
          <w:trHeight w:val="300" w:hRule="atLeast"/>
        </w:trPr>
        <w:tc>
          <w:tcPr/>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color w:val="000000"/>
                <w:sz w:val="22"/>
                <w:szCs w:val="22"/>
                <w:rtl w:val="0"/>
              </w:rPr>
              <w:t xml:space="preserve">All registration data and domain names requested that are responsive to the request.</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tc>
      </w:tr>
      <w:tr>
        <w:trPr>
          <w:trHeight w:val="300" w:hRule="atLeast"/>
        </w:trPr>
        <w:tc>
          <w:tcPr/>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both possible and desirable</w:t>
            </w:r>
          </w:p>
        </w:tc>
      </w:tr>
      <w:tr>
        <w:trPr>
          <w:trHeight w:val="300" w:hRule="atLeast"/>
        </w:trPr>
        <w:tc>
          <w:tcPr/>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tc>
      </w:tr>
      <w:tr>
        <w:trPr>
          <w:trHeight w:val="300" w:hRule="atLeast"/>
        </w:trPr>
        <w:tc>
          <w:tcPr/>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color w:val="000000"/>
                <w:sz w:val="22"/>
                <w:szCs w:val="22"/>
                <w:rtl w:val="0"/>
              </w:rPr>
              <w:t xml:space="preserve">Article 5 (e) of the GDPR states personal data shall be kept for no longer than is necessary for the purposes for which it is being processed.  </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ahoma">
    <w:embedRegular w:fontKey="{00000000-0000-0000-0000-000000000000}" r:id="rId1" w:subsetted="0"/>
    <w:embedBold w:fontKey="{00000000-0000-0000-0000-000000000000}" r:id="rId2"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each request, the requestor will need to confirm which data elements are necessary.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60" w:hanging="360"/>
      </w:pPr>
      <w:rPr>
        <w:rFonts w:ascii="Calibri" w:cs="Calibri" w:eastAsia="Calibri" w:hAnsi="Calibri"/>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