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C586" w14:textId="77777777" w:rsidR="00BF3C47" w:rsidRDefault="00BF3C47"/>
    <w:p w14:paraId="5142A5A1" w14:textId="77777777" w:rsidR="001979EB" w:rsidRDefault="001979EB"/>
    <w:p w14:paraId="38801F9F" w14:textId="77777777" w:rsidR="00FF10EF" w:rsidRPr="00843D22" w:rsidRDefault="00FF10EF" w:rsidP="00FF10EF">
      <w:pPr>
        <w:rPr>
          <w:rFonts w:asciiTheme="minorHAnsi" w:hAnsiTheme="minorHAnsi" w:cstheme="minorHAnsi"/>
          <w:b/>
          <w:sz w:val="22"/>
          <w:szCs w:val="22"/>
        </w:rPr>
      </w:pPr>
      <w:r>
        <w:rPr>
          <w:rFonts w:asciiTheme="minorHAnsi" w:hAnsiTheme="minorHAnsi" w:cstheme="minorHAnsi"/>
          <w:b/>
          <w:sz w:val="22"/>
          <w:szCs w:val="22"/>
        </w:rPr>
        <w:t xml:space="preserve">EPDP Team </w:t>
      </w:r>
      <w:r w:rsidRPr="00843D22">
        <w:rPr>
          <w:rFonts w:asciiTheme="minorHAnsi" w:hAnsiTheme="minorHAnsi" w:cstheme="minorHAnsi"/>
          <w:b/>
          <w:sz w:val="22"/>
          <w:szCs w:val="22"/>
        </w:rPr>
        <w:t>on the Temporary Specification for </w:t>
      </w:r>
      <w:proofErr w:type="spellStart"/>
      <w:r w:rsidRPr="00843D22">
        <w:rPr>
          <w:rFonts w:asciiTheme="minorHAnsi" w:hAnsiTheme="minorHAnsi" w:cstheme="minorHAnsi"/>
          <w:b/>
          <w:sz w:val="22"/>
          <w:szCs w:val="22"/>
        </w:rPr>
        <w:t>gTLD</w:t>
      </w:r>
      <w:proofErr w:type="spellEnd"/>
      <w:r w:rsidRPr="00843D22">
        <w:rPr>
          <w:rFonts w:asciiTheme="minorHAnsi" w:hAnsiTheme="minorHAnsi" w:cstheme="minorHAnsi"/>
          <w:b/>
          <w:sz w:val="22"/>
          <w:szCs w:val="22"/>
        </w:rPr>
        <w:t> Registration Data</w:t>
      </w:r>
    </w:p>
    <w:p w14:paraId="2649D76D" w14:textId="77777777" w:rsidR="00FF10EF" w:rsidRDefault="00FF10EF" w:rsidP="00FF10EF">
      <w:pPr>
        <w:rPr>
          <w:rFonts w:asciiTheme="minorHAnsi" w:hAnsiTheme="minorHAnsi" w:cstheme="minorHAnsi"/>
          <w:b/>
          <w:sz w:val="22"/>
          <w:szCs w:val="22"/>
        </w:rPr>
      </w:pPr>
    </w:p>
    <w:p w14:paraId="79DA4111" w14:textId="77777777" w:rsidR="00FF10EF" w:rsidRDefault="00FF10EF" w:rsidP="00FF10EF">
      <w:pPr>
        <w:rPr>
          <w:rFonts w:asciiTheme="minorHAnsi" w:hAnsiTheme="minorHAnsi" w:cstheme="minorHAnsi"/>
          <w:b/>
          <w:sz w:val="22"/>
          <w:szCs w:val="22"/>
        </w:rPr>
      </w:pPr>
      <w:r>
        <w:rPr>
          <w:rFonts w:asciiTheme="minorHAnsi" w:hAnsiTheme="minorHAnsi" w:cstheme="minorHAnsi"/>
          <w:b/>
          <w:sz w:val="22"/>
          <w:szCs w:val="22"/>
        </w:rPr>
        <w:t xml:space="preserve">Final Report Recommendation Summaries – </w:t>
      </w:r>
      <w:proofErr w:type="spellStart"/>
      <w:r>
        <w:rPr>
          <w:rFonts w:asciiTheme="minorHAnsi" w:hAnsiTheme="minorHAnsi" w:cstheme="minorHAnsi"/>
          <w:b/>
          <w:sz w:val="22"/>
          <w:szCs w:val="22"/>
        </w:rPr>
        <w:t>Degination</w:t>
      </w:r>
      <w:proofErr w:type="spellEnd"/>
      <w:r>
        <w:rPr>
          <w:rFonts w:asciiTheme="minorHAnsi" w:hAnsiTheme="minorHAnsi" w:cstheme="minorHAnsi"/>
          <w:b/>
          <w:sz w:val="22"/>
          <w:szCs w:val="22"/>
        </w:rPr>
        <w:t xml:space="preserve"> of Consensus </w:t>
      </w:r>
    </w:p>
    <w:p w14:paraId="44FF2C86" w14:textId="77777777" w:rsidR="00FF10EF" w:rsidRDefault="00FF10EF" w:rsidP="00FF10EF">
      <w:pPr>
        <w:rPr>
          <w:rFonts w:asciiTheme="minorHAnsi" w:hAnsiTheme="minorHAnsi" w:cstheme="minorHAnsi"/>
          <w:b/>
          <w:sz w:val="22"/>
          <w:szCs w:val="22"/>
        </w:rPr>
      </w:pPr>
    </w:p>
    <w:p w14:paraId="0C5BFA8F" w14:textId="77777777" w:rsidR="00FF10EF" w:rsidRDefault="00FF10EF" w:rsidP="00FF10EF">
      <w:pPr>
        <w:rPr>
          <w:rFonts w:asciiTheme="minorHAnsi" w:hAnsiTheme="minorHAnsi" w:cstheme="minorHAnsi"/>
          <w:b/>
          <w:sz w:val="22"/>
          <w:szCs w:val="22"/>
        </w:rPr>
      </w:pPr>
      <w:r>
        <w:rPr>
          <w:rFonts w:asciiTheme="minorHAnsi" w:hAnsiTheme="minorHAnsi" w:cstheme="minorHAnsi"/>
          <w:b/>
          <w:sz w:val="22"/>
          <w:szCs w:val="22"/>
        </w:rPr>
        <w:t>Introduction</w:t>
      </w:r>
    </w:p>
    <w:p w14:paraId="3FA7E650" w14:textId="77777777" w:rsidR="00FF10EF" w:rsidRDefault="00FF10EF" w:rsidP="00FF10EF">
      <w:pPr>
        <w:rPr>
          <w:rFonts w:asciiTheme="minorHAnsi" w:hAnsiTheme="minorHAnsi" w:cstheme="minorHAnsi"/>
          <w:b/>
          <w:sz w:val="22"/>
          <w:szCs w:val="22"/>
        </w:rPr>
      </w:pPr>
    </w:p>
    <w:p w14:paraId="273B64E7" w14:textId="2755357E" w:rsidR="00FF10EF" w:rsidRDefault="00FF10EF" w:rsidP="00FF10EF">
      <w:pPr>
        <w:rPr>
          <w:rFonts w:asciiTheme="minorHAnsi" w:hAnsiTheme="minorHAnsi" w:cstheme="minorHAnsi"/>
          <w:sz w:val="22"/>
          <w:szCs w:val="22"/>
        </w:rPr>
      </w:pPr>
      <w:r>
        <w:rPr>
          <w:rFonts w:asciiTheme="minorHAnsi" w:hAnsiTheme="minorHAnsi" w:cstheme="minorHAnsi"/>
          <w:sz w:val="22"/>
          <w:szCs w:val="22"/>
        </w:rPr>
        <w:t xml:space="preserve">As described in the accompanying email, below </w:t>
      </w:r>
      <w:r>
        <w:rPr>
          <w:rFonts w:asciiTheme="minorHAnsi" w:hAnsiTheme="minorHAnsi" w:cstheme="minorHAnsi"/>
          <w:sz w:val="22"/>
          <w:szCs w:val="22"/>
        </w:rPr>
        <w:t>is the second set</w:t>
      </w:r>
      <w:r>
        <w:rPr>
          <w:rFonts w:asciiTheme="minorHAnsi" w:hAnsiTheme="minorHAnsi" w:cstheme="minorHAnsi"/>
          <w:sz w:val="22"/>
          <w:szCs w:val="22"/>
        </w:rPr>
        <w:t xml:space="preserve"> of Recommendations and the Chair’s designation as to the level of Consensus on each. </w:t>
      </w:r>
      <w:r w:rsidRPr="00AB4AEF">
        <w:rPr>
          <w:rFonts w:asciiTheme="minorHAnsi" w:hAnsiTheme="minorHAnsi" w:cstheme="minorHAnsi"/>
          <w:sz w:val="22"/>
          <w:szCs w:val="22"/>
        </w:rPr>
        <w:t>Each contains the shorthand title and the wording of the recommendation in the final report. It is important to note that the shorthand title does not appear in the final report, just the recommendation itself plus the accompanying explanation that you can read in the currently posted version</w:t>
      </w:r>
      <w:r>
        <w:rPr>
          <w:rFonts w:asciiTheme="minorHAnsi" w:hAnsiTheme="minorHAnsi" w:cstheme="minorHAnsi"/>
          <w:sz w:val="22"/>
          <w:szCs w:val="22"/>
        </w:rPr>
        <w:t xml:space="preserve"> of the final report</w:t>
      </w:r>
      <w:r w:rsidRPr="00AB4AEF">
        <w:rPr>
          <w:rFonts w:asciiTheme="minorHAnsi" w:hAnsiTheme="minorHAnsi" w:cstheme="minorHAnsi"/>
          <w:sz w:val="22"/>
          <w:szCs w:val="22"/>
        </w:rPr>
        <w:t xml:space="preserve">. </w:t>
      </w:r>
    </w:p>
    <w:p w14:paraId="2C9AC397" w14:textId="77777777" w:rsidR="00FF10EF" w:rsidRDefault="00FF10EF" w:rsidP="00FF10EF">
      <w:pPr>
        <w:rPr>
          <w:rFonts w:asciiTheme="minorHAnsi" w:hAnsiTheme="minorHAnsi" w:cstheme="minorHAnsi"/>
          <w:sz w:val="22"/>
          <w:szCs w:val="22"/>
        </w:rPr>
      </w:pPr>
    </w:p>
    <w:p w14:paraId="484E513F" w14:textId="77777777" w:rsidR="00FF10EF" w:rsidRPr="00AB4AEF" w:rsidRDefault="00FF10EF" w:rsidP="00FF10EF">
      <w:pPr>
        <w:rPr>
          <w:rFonts w:asciiTheme="minorHAnsi" w:hAnsiTheme="minorHAnsi" w:cstheme="minorHAnsi"/>
          <w:sz w:val="22"/>
          <w:szCs w:val="22"/>
        </w:rPr>
      </w:pPr>
      <w:r w:rsidRPr="00AB4AEF">
        <w:rPr>
          <w:rFonts w:asciiTheme="minorHAnsi" w:hAnsiTheme="minorHAnsi" w:cstheme="minorHAnsi"/>
          <w:sz w:val="22"/>
          <w:szCs w:val="22"/>
        </w:rPr>
        <w:t>Also, the GNSO Guidelines for working grou</w:t>
      </w:r>
      <w:r>
        <w:rPr>
          <w:rFonts w:asciiTheme="minorHAnsi" w:hAnsiTheme="minorHAnsi" w:cstheme="minorHAnsi"/>
          <w:sz w:val="22"/>
          <w:szCs w:val="22"/>
        </w:rPr>
        <w:t>p decision making are included below the tables.</w:t>
      </w:r>
    </w:p>
    <w:p w14:paraId="7F8FAC1C" w14:textId="77777777" w:rsidR="00FF10EF" w:rsidRPr="00AB4AEF" w:rsidRDefault="00FF10EF" w:rsidP="00FF10EF">
      <w:pPr>
        <w:rPr>
          <w:rFonts w:asciiTheme="minorHAnsi" w:hAnsiTheme="minorHAnsi" w:cstheme="minorHAnsi"/>
          <w:sz w:val="22"/>
          <w:szCs w:val="22"/>
        </w:rPr>
      </w:pPr>
    </w:p>
    <w:p w14:paraId="45CAA04A" w14:textId="7BDA59BA" w:rsidR="00FF10EF" w:rsidRPr="00AB4AEF" w:rsidRDefault="00FF10EF" w:rsidP="00FF10EF">
      <w:pPr>
        <w:rPr>
          <w:rFonts w:asciiTheme="minorHAnsi" w:hAnsiTheme="minorHAnsi" w:cstheme="minorHAnsi"/>
          <w:sz w:val="22"/>
          <w:szCs w:val="22"/>
        </w:rPr>
      </w:pPr>
      <w:r w:rsidRPr="00AB4AEF">
        <w:rPr>
          <w:rFonts w:asciiTheme="minorHAnsi" w:hAnsiTheme="minorHAnsi" w:cstheme="minorHAnsi"/>
          <w:sz w:val="22"/>
          <w:szCs w:val="22"/>
        </w:rPr>
        <w:t xml:space="preserve">In </w:t>
      </w:r>
      <w:r>
        <w:rPr>
          <w:rFonts w:asciiTheme="minorHAnsi" w:hAnsiTheme="minorHAnsi" w:cstheme="minorHAnsi"/>
          <w:sz w:val="22"/>
          <w:szCs w:val="22"/>
        </w:rPr>
        <w:t xml:space="preserve">a </w:t>
      </w:r>
      <w:r w:rsidRPr="00AB4AEF">
        <w:rPr>
          <w:rFonts w:asciiTheme="minorHAnsi" w:hAnsiTheme="minorHAnsi" w:cstheme="minorHAnsi"/>
          <w:sz w:val="22"/>
          <w:szCs w:val="22"/>
        </w:rPr>
        <w:t>slight contravention to the standard practice, I have used the label, “</w:t>
      </w:r>
      <w:r>
        <w:rPr>
          <w:rFonts w:asciiTheme="minorHAnsi" w:hAnsiTheme="minorHAnsi" w:cstheme="minorHAnsi"/>
          <w:sz w:val="22"/>
          <w:szCs w:val="22"/>
        </w:rPr>
        <w:t xml:space="preserve">Full </w:t>
      </w:r>
      <w:r w:rsidRPr="00AB4AEF">
        <w:rPr>
          <w:rFonts w:asciiTheme="minorHAnsi" w:hAnsiTheme="minorHAnsi" w:cstheme="minorHAnsi"/>
          <w:sz w:val="22"/>
          <w:szCs w:val="22"/>
        </w:rPr>
        <w:t xml:space="preserve">Consensus / </w:t>
      </w:r>
      <w:proofErr w:type="spellStart"/>
      <w:r w:rsidRPr="00AB4AEF">
        <w:rPr>
          <w:rFonts w:asciiTheme="minorHAnsi" w:hAnsiTheme="minorHAnsi" w:cstheme="minorHAnsi"/>
          <w:sz w:val="22"/>
          <w:szCs w:val="22"/>
        </w:rPr>
        <w:t>Consensus</w:t>
      </w:r>
      <w:proofErr w:type="spellEnd"/>
      <w:r w:rsidRPr="00AB4AEF">
        <w:rPr>
          <w:rFonts w:asciiTheme="minorHAnsi" w:hAnsiTheme="minorHAnsi" w:cstheme="minorHAnsi"/>
          <w:sz w:val="22"/>
          <w:szCs w:val="22"/>
        </w:rPr>
        <w:t xml:space="preserve">” as a signal to the GNSO Council that we have reached a consensus position on these issues but also as a salute to or </w:t>
      </w:r>
      <w:proofErr w:type="spellStart"/>
      <w:r w:rsidRPr="00AB4AEF">
        <w:rPr>
          <w:rFonts w:asciiTheme="minorHAnsi" w:hAnsiTheme="minorHAnsi" w:cstheme="minorHAnsi"/>
          <w:sz w:val="22"/>
          <w:szCs w:val="22"/>
        </w:rPr>
        <w:t>indiction</w:t>
      </w:r>
      <w:proofErr w:type="spellEnd"/>
      <w:r w:rsidRPr="00AB4AEF">
        <w:rPr>
          <w:rFonts w:asciiTheme="minorHAnsi" w:hAnsiTheme="minorHAnsi" w:cstheme="minorHAnsi"/>
          <w:sz w:val="22"/>
          <w:szCs w:val="22"/>
        </w:rPr>
        <w:t xml:space="preserve"> of the degree of teamwork and compromise that has taken place. Either term has </w:t>
      </w:r>
      <w:r>
        <w:rPr>
          <w:rFonts w:asciiTheme="minorHAnsi" w:hAnsiTheme="minorHAnsi" w:cstheme="minorHAnsi"/>
          <w:sz w:val="22"/>
          <w:szCs w:val="22"/>
        </w:rPr>
        <w:t>an equivalent</w:t>
      </w:r>
      <w:r w:rsidRPr="00AB4AEF">
        <w:rPr>
          <w:rFonts w:asciiTheme="minorHAnsi" w:hAnsiTheme="minorHAnsi" w:cstheme="minorHAnsi"/>
          <w:sz w:val="22"/>
          <w:szCs w:val="22"/>
        </w:rPr>
        <w:t xml:space="preserve"> on the Council discussion. </w:t>
      </w:r>
    </w:p>
    <w:p w14:paraId="097402F0" w14:textId="77777777" w:rsidR="00FF10EF" w:rsidRPr="00AB4AEF" w:rsidRDefault="00FF10EF" w:rsidP="00FF10EF">
      <w:pPr>
        <w:rPr>
          <w:rFonts w:asciiTheme="minorHAnsi" w:hAnsiTheme="minorHAnsi" w:cstheme="minorHAnsi"/>
          <w:sz w:val="22"/>
          <w:szCs w:val="22"/>
        </w:rPr>
      </w:pPr>
    </w:p>
    <w:p w14:paraId="42A172AD" w14:textId="3F1B779B" w:rsidR="00FF10EF" w:rsidRPr="00C278B4" w:rsidRDefault="00FF10EF" w:rsidP="00FF10EF">
      <w:pPr>
        <w:rPr>
          <w:rFonts w:asciiTheme="minorHAnsi" w:hAnsiTheme="minorHAnsi" w:cstheme="minorHAnsi"/>
          <w:sz w:val="22"/>
          <w:szCs w:val="22"/>
        </w:rPr>
      </w:pPr>
      <w:r w:rsidRPr="00AB4AEF">
        <w:rPr>
          <w:rFonts w:asciiTheme="minorHAnsi" w:hAnsiTheme="minorHAnsi" w:cstheme="minorHAnsi"/>
          <w:sz w:val="22"/>
          <w:szCs w:val="22"/>
        </w:rPr>
        <w:t xml:space="preserve">On </w:t>
      </w:r>
      <w:r>
        <w:rPr>
          <w:rFonts w:asciiTheme="minorHAnsi" w:hAnsiTheme="minorHAnsi" w:cstheme="minorHAnsi"/>
          <w:sz w:val="22"/>
          <w:szCs w:val="22"/>
        </w:rPr>
        <w:t>this second</w:t>
      </w:r>
      <w:r w:rsidRPr="00AB4AEF">
        <w:rPr>
          <w:rFonts w:asciiTheme="minorHAnsi" w:hAnsiTheme="minorHAnsi" w:cstheme="minorHAnsi"/>
          <w:sz w:val="22"/>
          <w:szCs w:val="22"/>
        </w:rPr>
        <w:t xml:space="preserve"> set, please revert to me by the end of </w:t>
      </w:r>
      <w:r>
        <w:rPr>
          <w:rFonts w:asciiTheme="minorHAnsi" w:hAnsiTheme="minorHAnsi" w:cstheme="minorHAnsi"/>
          <w:sz w:val="22"/>
          <w:szCs w:val="22"/>
        </w:rPr>
        <w:t>Thursday</w:t>
      </w:r>
      <w:r w:rsidRPr="00AB4AEF">
        <w:rPr>
          <w:rFonts w:asciiTheme="minorHAnsi" w:hAnsiTheme="minorHAnsi" w:cstheme="minorHAnsi"/>
          <w:sz w:val="22"/>
          <w:szCs w:val="22"/>
        </w:rPr>
        <w:t xml:space="preserve"> if you disagree with my assessment and if you will provide a statement for the final report. Remember that you can support a consensus position and still provide a statement.</w:t>
      </w:r>
    </w:p>
    <w:p w14:paraId="482371E7" w14:textId="77777777" w:rsidR="00FF10EF" w:rsidRDefault="00FF10EF">
      <w:pPr>
        <w:rPr>
          <w:rFonts w:asciiTheme="minorHAnsi" w:hAnsiTheme="minorHAnsi" w:cstheme="minorHAnsi"/>
          <w:b/>
          <w:sz w:val="21"/>
          <w:szCs w:val="21"/>
        </w:rPr>
      </w:pPr>
      <w:r>
        <w:rPr>
          <w:rFonts w:asciiTheme="minorHAnsi" w:hAnsiTheme="minorHAnsi" w:cstheme="minorHAnsi"/>
          <w:b/>
          <w:sz w:val="21"/>
          <w:szCs w:val="21"/>
        </w:rPr>
        <w:br w:type="page"/>
      </w:r>
    </w:p>
    <w:p w14:paraId="1E726215" w14:textId="46B9273F" w:rsidR="00E93EA6" w:rsidRPr="00E93EA6" w:rsidRDefault="00E93EA6">
      <w:pPr>
        <w:rPr>
          <w:rFonts w:asciiTheme="minorHAnsi" w:hAnsiTheme="minorHAnsi" w:cstheme="minorHAnsi"/>
          <w:b/>
          <w:sz w:val="21"/>
          <w:szCs w:val="21"/>
        </w:rPr>
      </w:pPr>
      <w:r w:rsidRPr="00E93EA6">
        <w:rPr>
          <w:rFonts w:asciiTheme="minorHAnsi" w:hAnsiTheme="minorHAnsi" w:cstheme="minorHAnsi"/>
          <w:b/>
          <w:sz w:val="21"/>
          <w:szCs w:val="21"/>
        </w:rPr>
        <w:lastRenderedPageBreak/>
        <w:t xml:space="preserve">Cluster #2 – Recommendations </w:t>
      </w:r>
      <w:r w:rsidR="00BF3C47">
        <w:rPr>
          <w:rFonts w:asciiTheme="minorHAnsi" w:hAnsiTheme="minorHAnsi" w:cstheme="minorHAnsi"/>
          <w:b/>
          <w:sz w:val="21"/>
          <w:szCs w:val="21"/>
        </w:rPr>
        <w:t>considered finalized</w:t>
      </w:r>
    </w:p>
    <w:p w14:paraId="46A11166" w14:textId="77777777" w:rsidR="00E93EA6" w:rsidRDefault="00E93EA6"/>
    <w:tbl>
      <w:tblPr>
        <w:tblStyle w:val="TableGrid"/>
        <w:tblW w:w="13207" w:type="dxa"/>
        <w:tblLook w:val="04A0" w:firstRow="1" w:lastRow="0" w:firstColumn="1" w:lastColumn="0" w:noHBand="0" w:noVBand="1"/>
      </w:tblPr>
      <w:tblGrid>
        <w:gridCol w:w="3126"/>
        <w:gridCol w:w="3780"/>
        <w:gridCol w:w="2156"/>
        <w:gridCol w:w="4127"/>
        <w:gridCol w:w="18"/>
      </w:tblGrid>
      <w:tr w:rsidR="00E93EA6" w:rsidRPr="00E82D1D" w14:paraId="4608F892" w14:textId="77777777" w:rsidTr="00B14544">
        <w:trPr>
          <w:tblHeader/>
        </w:trPr>
        <w:tc>
          <w:tcPr>
            <w:tcW w:w="3126"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6D3AE965" w14:textId="77777777" w:rsidR="00E93EA6" w:rsidRPr="00E82D1D" w:rsidRDefault="00E93EA6" w:rsidP="009E17E6">
            <w:pPr>
              <w:jc w:val="center"/>
              <w:rPr>
                <w:rFonts w:asciiTheme="minorHAnsi" w:hAnsiTheme="minorHAnsi" w:cstheme="minorHAnsi"/>
                <w:b/>
                <w:sz w:val="21"/>
                <w:szCs w:val="21"/>
              </w:rPr>
            </w:pPr>
            <w:r w:rsidRPr="00E82D1D">
              <w:rPr>
                <w:rFonts w:asciiTheme="minorHAnsi" w:hAnsiTheme="minorHAnsi" w:cstheme="minorHAnsi"/>
                <w:b/>
                <w:sz w:val="21"/>
                <w:szCs w:val="21"/>
              </w:rPr>
              <w:t>Purpose / Recommendation #</w:t>
            </w:r>
          </w:p>
        </w:tc>
        <w:tc>
          <w:tcPr>
            <w:tcW w:w="3780"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0818B7AD" w14:textId="77777777" w:rsidR="00E93EA6" w:rsidRPr="00E82D1D" w:rsidRDefault="00E93EA6" w:rsidP="009E17E6">
            <w:pPr>
              <w:jc w:val="center"/>
              <w:rPr>
                <w:rFonts w:asciiTheme="minorHAnsi" w:hAnsiTheme="minorHAnsi" w:cstheme="minorHAnsi"/>
                <w:b/>
                <w:sz w:val="21"/>
                <w:szCs w:val="21"/>
              </w:rPr>
            </w:pPr>
            <w:r>
              <w:rPr>
                <w:rFonts w:asciiTheme="minorHAnsi" w:hAnsiTheme="minorHAnsi" w:cstheme="minorHAnsi"/>
                <w:b/>
                <w:sz w:val="21"/>
                <w:szCs w:val="21"/>
              </w:rPr>
              <w:t>Final Language</w:t>
            </w:r>
            <w:r w:rsidRPr="00E82D1D">
              <w:rPr>
                <w:rFonts w:asciiTheme="minorHAnsi" w:hAnsiTheme="minorHAnsi" w:cstheme="minorHAnsi"/>
                <w:b/>
                <w:sz w:val="21"/>
                <w:szCs w:val="21"/>
              </w:rPr>
              <w:t xml:space="preserve"> </w:t>
            </w:r>
          </w:p>
        </w:tc>
        <w:tc>
          <w:tcPr>
            <w:tcW w:w="2156" w:type="dxa"/>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374B19FA" w14:textId="77777777" w:rsidR="00E93EA6" w:rsidRDefault="00E93EA6" w:rsidP="009E17E6">
            <w:pPr>
              <w:jc w:val="center"/>
              <w:rPr>
                <w:rFonts w:asciiTheme="minorHAnsi" w:hAnsiTheme="minorHAnsi" w:cstheme="minorHAnsi"/>
                <w:b/>
                <w:sz w:val="21"/>
                <w:szCs w:val="21"/>
              </w:rPr>
            </w:pPr>
            <w:r>
              <w:rPr>
                <w:rFonts w:asciiTheme="minorHAnsi" w:hAnsiTheme="minorHAnsi" w:cstheme="minorHAnsi"/>
                <w:b/>
                <w:sz w:val="21"/>
                <w:szCs w:val="21"/>
              </w:rPr>
              <w:t>Chair Proposed</w:t>
            </w:r>
          </w:p>
          <w:p w14:paraId="57305327" w14:textId="77777777" w:rsidR="00E93EA6" w:rsidRPr="00E82D1D" w:rsidRDefault="00E93EA6" w:rsidP="009E17E6">
            <w:pPr>
              <w:jc w:val="center"/>
              <w:rPr>
                <w:rFonts w:asciiTheme="minorHAnsi" w:hAnsiTheme="minorHAnsi" w:cstheme="minorHAnsi"/>
                <w:b/>
                <w:sz w:val="21"/>
                <w:szCs w:val="21"/>
              </w:rPr>
            </w:pPr>
            <w:r>
              <w:rPr>
                <w:rFonts w:asciiTheme="minorHAnsi" w:hAnsiTheme="minorHAnsi" w:cstheme="minorHAnsi"/>
                <w:b/>
                <w:sz w:val="21"/>
                <w:szCs w:val="21"/>
              </w:rPr>
              <w:t>Designation</w:t>
            </w:r>
          </w:p>
        </w:tc>
        <w:tc>
          <w:tcPr>
            <w:tcW w:w="4145" w:type="dxa"/>
            <w:gridSpan w:val="2"/>
            <w:tcBorders>
              <w:top w:val="single" w:sz="18" w:space="0" w:color="000000"/>
              <w:left w:val="single" w:sz="18" w:space="0" w:color="000000"/>
              <w:bottom w:val="single" w:sz="18" w:space="0" w:color="000000"/>
              <w:right w:val="single" w:sz="18" w:space="0" w:color="000000"/>
            </w:tcBorders>
            <w:shd w:val="clear" w:color="auto" w:fill="F7CAAC" w:themeFill="accent2" w:themeFillTint="66"/>
          </w:tcPr>
          <w:p w14:paraId="73F2D602" w14:textId="77777777" w:rsidR="00E93EA6" w:rsidRPr="00E82D1D" w:rsidRDefault="00E93EA6" w:rsidP="009E17E6">
            <w:pPr>
              <w:jc w:val="center"/>
              <w:rPr>
                <w:rFonts w:asciiTheme="minorHAnsi" w:hAnsiTheme="minorHAnsi" w:cstheme="minorHAnsi"/>
                <w:b/>
                <w:sz w:val="21"/>
                <w:szCs w:val="21"/>
              </w:rPr>
            </w:pPr>
            <w:r w:rsidRPr="00E82D1D">
              <w:rPr>
                <w:rFonts w:asciiTheme="minorHAnsi" w:hAnsiTheme="minorHAnsi" w:cstheme="minorHAnsi"/>
                <w:b/>
                <w:sz w:val="21"/>
                <w:szCs w:val="21"/>
              </w:rPr>
              <w:t>Notes</w:t>
            </w:r>
          </w:p>
        </w:tc>
      </w:tr>
      <w:tr w:rsidR="00BF3C47" w:rsidRPr="00E82D1D" w14:paraId="0A7C1F32" w14:textId="77777777" w:rsidTr="00B14544">
        <w:trPr>
          <w:gridAfter w:val="1"/>
          <w:wAfter w:w="18" w:type="dxa"/>
        </w:trPr>
        <w:tc>
          <w:tcPr>
            <w:tcW w:w="3126" w:type="dxa"/>
            <w:tcBorders>
              <w:bottom w:val="single" w:sz="4" w:space="0" w:color="auto"/>
            </w:tcBorders>
            <w:shd w:val="clear" w:color="auto" w:fill="auto"/>
          </w:tcPr>
          <w:p w14:paraId="5B88F178" w14:textId="77777777" w:rsidR="00BF3C47" w:rsidRPr="00E82D1D" w:rsidRDefault="00BF3C47"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#2 - Commitment to consider a system for Standardized Access to non-public Registration Data</w:t>
            </w:r>
          </w:p>
        </w:tc>
        <w:tc>
          <w:tcPr>
            <w:tcW w:w="3780" w:type="dxa"/>
            <w:tcBorders>
              <w:bottom w:val="single" w:sz="4" w:space="0" w:color="auto"/>
            </w:tcBorders>
            <w:shd w:val="clear" w:color="auto" w:fill="auto"/>
          </w:tcPr>
          <w:p w14:paraId="5035EFEF" w14:textId="26BF7EA7" w:rsidR="00BF3C47" w:rsidRPr="001979EB" w:rsidRDefault="00BF3C47" w:rsidP="009E17E6">
            <w:pPr>
              <w:rPr>
                <w:rFonts w:asciiTheme="minorHAnsi" w:hAnsiTheme="minorHAnsi" w:cstheme="minorHAnsi"/>
                <w:sz w:val="21"/>
                <w:szCs w:val="21"/>
              </w:rPr>
            </w:pPr>
            <w:r w:rsidRPr="001979EB">
              <w:rPr>
                <w:rFonts w:asciiTheme="minorHAnsi" w:hAnsiTheme="minorHAnsi" w:cstheme="minorHAnsi"/>
                <w:sz w:val="21"/>
                <w:szCs w:val="21"/>
              </w:rPr>
              <w:t xml:space="preserve">In accordance with the EPDP Team Charter and in line with Purpose #2, the EPDP Team undertakes to make a recommendation pertaining to a </w:t>
            </w:r>
            <w:proofErr w:type="spellStart"/>
            <w:r w:rsidRPr="001979EB">
              <w:rPr>
                <w:rFonts w:asciiTheme="minorHAnsi" w:hAnsiTheme="minorHAnsi" w:cstheme="minorHAnsi"/>
                <w:sz w:val="21"/>
                <w:szCs w:val="21"/>
              </w:rPr>
              <w:t>standardised</w:t>
            </w:r>
            <w:proofErr w:type="spellEnd"/>
            <w:r w:rsidRPr="001979EB">
              <w:rPr>
                <w:rFonts w:asciiTheme="minorHAnsi" w:hAnsiTheme="minorHAnsi" w:cstheme="minorHAnsi"/>
                <w:sz w:val="21"/>
                <w:szCs w:val="21"/>
              </w:rPr>
              <w:t xml:space="preserve"> model for lawful disclosure of non-public Registration Data (referred to in the Charter as ’</w:t>
            </w:r>
            <w:proofErr w:type="spellStart"/>
            <w:r w:rsidRPr="001979EB">
              <w:rPr>
                <w:rFonts w:asciiTheme="minorHAnsi" w:hAnsiTheme="minorHAnsi" w:cstheme="minorHAnsi"/>
                <w:sz w:val="21"/>
                <w:szCs w:val="21"/>
              </w:rPr>
              <w:t>Standardised</w:t>
            </w:r>
            <w:proofErr w:type="spellEnd"/>
            <w:r w:rsidRPr="001979EB">
              <w:rPr>
                <w:rFonts w:asciiTheme="minorHAnsi" w:hAnsiTheme="minorHAnsi" w:cstheme="minorHAnsi"/>
                <w:sz w:val="21"/>
                <w:szCs w:val="21"/>
              </w:rPr>
              <w:t xml:space="preserve"> Access’) now that the gating questions in the charter have been answered. This will include addressing questions such as:</w:t>
            </w:r>
          </w:p>
          <w:p w14:paraId="404294AB" w14:textId="77777777" w:rsidR="00BF3C47" w:rsidRPr="001979EB" w:rsidRDefault="00BF3C47" w:rsidP="009E17E6">
            <w:pPr>
              <w:pStyle w:val="ListParagraph"/>
              <w:numPr>
                <w:ilvl w:val="0"/>
                <w:numId w:val="29"/>
              </w:numPr>
              <w:spacing w:before="0" w:beforeAutospacing="0" w:after="0" w:afterAutospacing="0"/>
              <w:ind w:left="360"/>
              <w:contextualSpacing/>
              <w:rPr>
                <w:rFonts w:asciiTheme="minorHAnsi" w:hAnsiTheme="minorHAnsi" w:cstheme="minorHAnsi"/>
                <w:sz w:val="21"/>
                <w:szCs w:val="21"/>
              </w:rPr>
            </w:pPr>
            <w:r w:rsidRPr="001979EB">
              <w:rPr>
                <w:rFonts w:asciiTheme="minorHAnsi" w:hAnsiTheme="minorHAnsi" w:cstheme="minorHAnsi"/>
                <w:sz w:val="21"/>
                <w:szCs w:val="21"/>
              </w:rPr>
              <w:t>Whether such a system should be adopted</w:t>
            </w:r>
          </w:p>
          <w:p w14:paraId="554E2CBA" w14:textId="77777777" w:rsidR="00BF3C47" w:rsidRPr="001979EB" w:rsidRDefault="00BF3C47" w:rsidP="009E17E6">
            <w:pPr>
              <w:pStyle w:val="ListParagraph"/>
              <w:numPr>
                <w:ilvl w:val="0"/>
                <w:numId w:val="29"/>
              </w:numPr>
              <w:spacing w:before="0" w:beforeAutospacing="0" w:after="0" w:afterAutospacing="0"/>
              <w:ind w:left="360"/>
              <w:contextualSpacing/>
              <w:rPr>
                <w:rFonts w:asciiTheme="minorHAnsi" w:hAnsiTheme="minorHAnsi" w:cstheme="minorHAnsi"/>
                <w:sz w:val="21"/>
                <w:szCs w:val="21"/>
              </w:rPr>
            </w:pPr>
            <w:r w:rsidRPr="001979EB">
              <w:rPr>
                <w:rFonts w:asciiTheme="minorHAnsi" w:hAnsiTheme="minorHAnsi" w:cstheme="minorHAnsi"/>
                <w:sz w:val="21"/>
                <w:szCs w:val="21"/>
              </w:rPr>
              <w:t xml:space="preserve">What are the legitimate purposes for third parties to access registration data? </w:t>
            </w:r>
          </w:p>
          <w:p w14:paraId="3316B5C9" w14:textId="77777777" w:rsidR="00BF3C47" w:rsidRPr="001979EB" w:rsidRDefault="00BF3C47" w:rsidP="009E17E6">
            <w:pPr>
              <w:pStyle w:val="ListParagraph"/>
              <w:numPr>
                <w:ilvl w:val="0"/>
                <w:numId w:val="29"/>
              </w:numPr>
              <w:spacing w:before="0" w:beforeAutospacing="0" w:after="0" w:afterAutospacing="0"/>
              <w:ind w:left="360"/>
              <w:contextualSpacing/>
              <w:rPr>
                <w:rFonts w:asciiTheme="minorHAnsi" w:hAnsiTheme="minorHAnsi" w:cstheme="minorHAnsi"/>
                <w:sz w:val="21"/>
                <w:szCs w:val="21"/>
              </w:rPr>
            </w:pPr>
            <w:r w:rsidRPr="001979EB">
              <w:rPr>
                <w:rFonts w:asciiTheme="minorHAnsi" w:hAnsiTheme="minorHAnsi" w:cstheme="minorHAnsi"/>
                <w:sz w:val="21"/>
                <w:szCs w:val="21"/>
              </w:rPr>
              <w:t xml:space="preserve">What are the eligibility criteria for access to non-public Registration data? </w:t>
            </w:r>
          </w:p>
          <w:p w14:paraId="0948AE2C" w14:textId="77777777" w:rsidR="00BF3C47" w:rsidRPr="001979EB" w:rsidRDefault="00BF3C47" w:rsidP="009E17E6">
            <w:pPr>
              <w:pStyle w:val="ListParagraph"/>
              <w:numPr>
                <w:ilvl w:val="0"/>
                <w:numId w:val="29"/>
              </w:numPr>
              <w:spacing w:before="0" w:beforeAutospacing="0" w:after="0" w:afterAutospacing="0"/>
              <w:ind w:left="360"/>
              <w:contextualSpacing/>
              <w:rPr>
                <w:rFonts w:asciiTheme="minorHAnsi" w:hAnsiTheme="minorHAnsi" w:cstheme="minorHAnsi"/>
                <w:sz w:val="21"/>
                <w:szCs w:val="21"/>
              </w:rPr>
            </w:pPr>
            <w:r w:rsidRPr="001979EB">
              <w:rPr>
                <w:rFonts w:asciiTheme="minorHAnsi" w:hAnsiTheme="minorHAnsi" w:cstheme="minorHAnsi"/>
                <w:sz w:val="21"/>
                <w:szCs w:val="21"/>
              </w:rPr>
              <w:t xml:space="preserve">Do those parties/groups consist of different types of third-party requestors? </w:t>
            </w:r>
          </w:p>
          <w:p w14:paraId="15615FAB" w14:textId="203ACB1B" w:rsidR="00BF3C47" w:rsidRPr="00507051" w:rsidRDefault="00BF3C47" w:rsidP="009E17E6">
            <w:pPr>
              <w:pStyle w:val="ListParagraph"/>
              <w:numPr>
                <w:ilvl w:val="0"/>
                <w:numId w:val="29"/>
              </w:numPr>
              <w:spacing w:before="0" w:beforeAutospacing="0" w:after="0" w:afterAutospacing="0"/>
              <w:ind w:left="360"/>
              <w:contextualSpacing/>
              <w:rPr>
                <w:rFonts w:asciiTheme="minorHAnsi" w:hAnsiTheme="minorHAnsi" w:cstheme="minorHAnsi"/>
                <w:sz w:val="21"/>
                <w:szCs w:val="21"/>
              </w:rPr>
            </w:pPr>
            <w:r w:rsidRPr="001979EB">
              <w:rPr>
                <w:rFonts w:asciiTheme="minorHAnsi" w:hAnsiTheme="minorHAnsi" w:cstheme="minorHAnsi"/>
                <w:sz w:val="21"/>
                <w:szCs w:val="21"/>
              </w:rPr>
              <w:t xml:space="preserve">What data elements should each user/party have access to? </w:t>
            </w:r>
          </w:p>
          <w:p w14:paraId="36F851BF" w14:textId="0A8E8F4C" w:rsidR="00BF3C47" w:rsidRPr="00507051" w:rsidRDefault="00BF3C47" w:rsidP="00507051">
            <w:pPr>
              <w:spacing w:before="120"/>
              <w:rPr>
                <w:rFonts w:asciiTheme="minorHAnsi" w:hAnsiTheme="minorHAnsi" w:cstheme="minorHAnsi"/>
                <w:sz w:val="21"/>
                <w:szCs w:val="21"/>
                <w:vertAlign w:val="superscript"/>
              </w:rPr>
            </w:pPr>
            <w:r w:rsidRPr="001979EB">
              <w:rPr>
                <w:rFonts w:asciiTheme="minorHAnsi" w:hAnsiTheme="minorHAnsi" w:cstheme="minorHAnsi"/>
                <w:sz w:val="21"/>
                <w:szCs w:val="21"/>
              </w:rPr>
              <w:t>In this context, the EPDP team will consider amongst other issues, disclosure in the course of intellectual property infringement and DNS abuse cases.</w:t>
            </w:r>
          </w:p>
          <w:p w14:paraId="6F64D045" w14:textId="1A1C0AD6" w:rsidR="00BF3C47" w:rsidRPr="001979EB" w:rsidRDefault="00BF3C47" w:rsidP="00507051">
            <w:pPr>
              <w:spacing w:before="120"/>
              <w:rPr>
                <w:rFonts w:asciiTheme="minorHAnsi" w:hAnsiTheme="minorHAnsi" w:cstheme="minorHAnsi"/>
                <w:b/>
                <w:sz w:val="21"/>
                <w:szCs w:val="21"/>
              </w:rPr>
            </w:pPr>
            <w:r w:rsidRPr="001979EB">
              <w:rPr>
                <w:rFonts w:asciiTheme="minorHAnsi" w:hAnsiTheme="minorHAnsi" w:cstheme="minorHAnsi"/>
                <w:sz w:val="21"/>
                <w:szCs w:val="21"/>
              </w:rPr>
              <w:t>There is a need to confirm that disclosure for legitimate purposes is not incompatible with the purposes for which such data has been collected</w:t>
            </w:r>
            <w:r w:rsidR="00507051">
              <w:rPr>
                <w:rFonts w:asciiTheme="minorHAnsi" w:hAnsiTheme="minorHAnsi" w:cstheme="minorHAnsi"/>
                <w:sz w:val="21"/>
                <w:szCs w:val="21"/>
              </w:rPr>
              <w:t>.</w:t>
            </w:r>
          </w:p>
        </w:tc>
        <w:tc>
          <w:tcPr>
            <w:tcW w:w="2156" w:type="dxa"/>
            <w:tcBorders>
              <w:bottom w:val="single" w:sz="4" w:space="0" w:color="auto"/>
            </w:tcBorders>
            <w:shd w:val="clear" w:color="auto" w:fill="auto"/>
          </w:tcPr>
          <w:p w14:paraId="0996D6A3" w14:textId="783FF4CF" w:rsidR="00BF3C47" w:rsidRPr="00E13ABC" w:rsidRDefault="00AB6B63" w:rsidP="00E13ABC">
            <w:pPr>
              <w:rPr>
                <w:rFonts w:asciiTheme="minorHAnsi" w:hAnsiTheme="minorHAnsi" w:cstheme="minorHAnsi"/>
                <w:sz w:val="21"/>
                <w:szCs w:val="21"/>
              </w:rPr>
            </w:pPr>
            <w:r w:rsidRPr="00E13ABC">
              <w:rPr>
                <w:rFonts w:asciiTheme="minorHAnsi" w:hAnsiTheme="minorHAnsi" w:cstheme="minorHAnsi"/>
                <w:sz w:val="21"/>
                <w:szCs w:val="21"/>
              </w:rPr>
              <w:t xml:space="preserve">Full Consensus </w:t>
            </w:r>
            <w:r w:rsidR="00E13ABC" w:rsidRPr="00E13ABC">
              <w:rPr>
                <w:rFonts w:asciiTheme="minorHAnsi" w:hAnsiTheme="minorHAnsi" w:cstheme="minorHAnsi"/>
                <w:sz w:val="21"/>
                <w:szCs w:val="21"/>
              </w:rPr>
              <w:t xml:space="preserve">/ </w:t>
            </w:r>
            <w:proofErr w:type="spellStart"/>
            <w:r w:rsidR="00E13ABC" w:rsidRPr="00E13ABC">
              <w:rPr>
                <w:rFonts w:asciiTheme="minorHAnsi" w:hAnsiTheme="minorHAnsi" w:cstheme="minorHAnsi"/>
                <w:sz w:val="21"/>
                <w:szCs w:val="21"/>
              </w:rPr>
              <w:t>C</w:t>
            </w:r>
            <w:r w:rsidRPr="00E13ABC">
              <w:rPr>
                <w:rFonts w:asciiTheme="minorHAnsi" w:hAnsiTheme="minorHAnsi" w:cstheme="minorHAnsi"/>
                <w:sz w:val="21"/>
                <w:szCs w:val="21"/>
              </w:rPr>
              <w:t>onsensus</w:t>
            </w:r>
            <w:proofErr w:type="spellEnd"/>
          </w:p>
        </w:tc>
        <w:tc>
          <w:tcPr>
            <w:tcW w:w="4127" w:type="dxa"/>
            <w:tcBorders>
              <w:bottom w:val="single" w:sz="4" w:space="0" w:color="auto"/>
            </w:tcBorders>
            <w:shd w:val="clear" w:color="auto" w:fill="auto"/>
          </w:tcPr>
          <w:p w14:paraId="2E67260C" w14:textId="4820A117" w:rsidR="00507051" w:rsidRDefault="00507051" w:rsidP="00507051">
            <w:pPr>
              <w:rPr>
                <w:rFonts w:asciiTheme="minorHAnsi" w:hAnsiTheme="minorHAnsi" w:cstheme="minorHAnsi"/>
                <w:sz w:val="21"/>
                <w:szCs w:val="21"/>
              </w:rPr>
            </w:pPr>
            <w:r>
              <w:rPr>
                <w:rFonts w:asciiTheme="minorHAnsi" w:hAnsiTheme="minorHAnsi" w:cstheme="minorHAnsi"/>
                <w:sz w:val="21"/>
                <w:szCs w:val="21"/>
              </w:rPr>
              <w:t>Annotations</w:t>
            </w:r>
            <w:r w:rsidRPr="00507051">
              <w:rPr>
                <w:rFonts w:asciiTheme="minorHAnsi" w:hAnsiTheme="minorHAnsi" w:cstheme="minorHAnsi"/>
                <w:sz w:val="21"/>
                <w:szCs w:val="21"/>
              </w:rPr>
              <w:t xml:space="preserve"> in Final Report: </w:t>
            </w:r>
          </w:p>
          <w:p w14:paraId="08BFE09D" w14:textId="77777777" w:rsidR="00507051" w:rsidRDefault="00507051" w:rsidP="00507051">
            <w:pPr>
              <w:rPr>
                <w:rFonts w:asciiTheme="minorHAnsi" w:hAnsiTheme="minorHAnsi" w:cstheme="minorHAnsi"/>
                <w:sz w:val="21"/>
                <w:szCs w:val="21"/>
              </w:rPr>
            </w:pPr>
          </w:p>
          <w:p w14:paraId="6D449FBE" w14:textId="77777777" w:rsidR="00507051" w:rsidRDefault="00507051" w:rsidP="00507051">
            <w:pPr>
              <w:rPr>
                <w:rFonts w:asciiTheme="minorHAnsi" w:hAnsiTheme="minorHAnsi" w:cstheme="minorHAnsi"/>
                <w:sz w:val="21"/>
                <w:szCs w:val="21"/>
              </w:rPr>
            </w:pPr>
            <w:r w:rsidRPr="00507051">
              <w:rPr>
                <w:rFonts w:asciiTheme="minorHAnsi" w:hAnsiTheme="minorHAnsi" w:cstheme="minorHAnsi"/>
                <w:sz w:val="21"/>
                <w:szCs w:val="21"/>
              </w:rPr>
              <w:t>Purpose 2 should not preclude disclosure in the course of investigating intellectual property infringement.</w:t>
            </w:r>
          </w:p>
          <w:p w14:paraId="32443E27" w14:textId="77777777" w:rsidR="00507051" w:rsidRDefault="00507051" w:rsidP="00507051">
            <w:pPr>
              <w:rPr>
                <w:rFonts w:asciiTheme="minorHAnsi" w:hAnsiTheme="minorHAnsi" w:cstheme="minorHAnsi"/>
                <w:sz w:val="21"/>
                <w:szCs w:val="21"/>
              </w:rPr>
            </w:pPr>
          </w:p>
          <w:p w14:paraId="7AB4F085" w14:textId="7CB120CC" w:rsidR="00BF3C47" w:rsidRPr="00507051" w:rsidRDefault="00507051" w:rsidP="00507051">
            <w:pPr>
              <w:rPr>
                <w:rFonts w:asciiTheme="minorHAnsi" w:hAnsiTheme="minorHAnsi" w:cstheme="minorHAnsi"/>
                <w:sz w:val="21"/>
                <w:szCs w:val="21"/>
              </w:rPr>
            </w:pPr>
            <w:r w:rsidRPr="00507051">
              <w:rPr>
                <w:rFonts w:asciiTheme="minorHAnsi" w:hAnsiTheme="minorHAnsi" w:cstheme="minorHAnsi"/>
                <w:sz w:val="21"/>
                <w:szCs w:val="21"/>
              </w:rPr>
              <w:t>The EPDP recognizes that ICANN has a responsibility to foster the openness, interoperability, resilience, security and/or stability of the DNS in accordance with its stated mission (citation required).  It may have a purpose to require actors in the ecosystem to respond to data disclosure requests that are related to the security, stability and resilience of the system. The proposed Purpose 2 in this report is a placeholder, pending further legal analysis of the controller/joint controller relationship, and consultation with the EDPB.  The EPDP recommends that further work be done in phase 2 on these issues, including a review of a limited purpose related to the enforcement of contracted party accountability for disclosure of personal data to legitimate requests.</w:t>
            </w:r>
          </w:p>
        </w:tc>
      </w:tr>
      <w:tr w:rsidR="00BF3C47" w:rsidRPr="00E82D1D" w14:paraId="47AF1C29" w14:textId="77777777" w:rsidTr="00B14544">
        <w:trPr>
          <w:gridAfter w:val="1"/>
          <w:wAfter w:w="18" w:type="dxa"/>
        </w:trPr>
        <w:tc>
          <w:tcPr>
            <w:tcW w:w="3126" w:type="dxa"/>
            <w:shd w:val="clear" w:color="auto" w:fill="auto"/>
          </w:tcPr>
          <w:p w14:paraId="56C584D3" w14:textId="77777777" w:rsidR="00BF3C47" w:rsidRPr="00E82D1D" w:rsidRDefault="00BF3C47"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#3 - Requirements related to accuracy</w:t>
            </w:r>
          </w:p>
        </w:tc>
        <w:tc>
          <w:tcPr>
            <w:tcW w:w="3780" w:type="dxa"/>
            <w:shd w:val="clear" w:color="auto" w:fill="auto"/>
          </w:tcPr>
          <w:p w14:paraId="72856D50" w14:textId="2021CD5F" w:rsidR="00BF3C47" w:rsidRPr="001979EB" w:rsidRDefault="00BF3C47" w:rsidP="00507051">
            <w:pPr>
              <w:keepNext/>
              <w:rPr>
                <w:rFonts w:ascii="Calibri" w:hAnsi="Calibri"/>
                <w:color w:val="000000"/>
              </w:rPr>
            </w:pPr>
            <w:r w:rsidRPr="001979EB">
              <w:rPr>
                <w:rFonts w:asciiTheme="minorHAnsi" w:hAnsiTheme="minorHAnsi" w:cstheme="minorHAnsi"/>
                <w:sz w:val="21"/>
                <w:szCs w:val="21"/>
              </w:rPr>
              <w:t>The EPDP Team recommends that requirements related to the accuracy of registration data under the current ICANN contracts and consensus policies shall not be affected by this policy.</w:t>
            </w:r>
          </w:p>
        </w:tc>
        <w:tc>
          <w:tcPr>
            <w:tcW w:w="2156" w:type="dxa"/>
            <w:shd w:val="clear" w:color="auto" w:fill="auto"/>
          </w:tcPr>
          <w:p w14:paraId="03BF8E07" w14:textId="2C41CA90" w:rsidR="00BF3C47" w:rsidRPr="00AB6B63" w:rsidRDefault="00AB6B63" w:rsidP="00AB6B63">
            <w:pPr>
              <w:rPr>
                <w:rFonts w:asciiTheme="minorHAnsi" w:hAnsiTheme="minorHAnsi" w:cstheme="minorHAnsi"/>
                <w:sz w:val="21"/>
                <w:szCs w:val="21"/>
              </w:rPr>
            </w:pPr>
            <w:r w:rsidRPr="00AB6B63">
              <w:rPr>
                <w:rFonts w:asciiTheme="minorHAnsi" w:hAnsiTheme="minorHAnsi" w:cstheme="minorHAnsi"/>
                <w:sz w:val="21"/>
                <w:szCs w:val="21"/>
              </w:rPr>
              <w:t xml:space="preserve">Full Consensus </w:t>
            </w:r>
            <w:r w:rsidR="00E13ABC">
              <w:rPr>
                <w:rFonts w:asciiTheme="minorHAnsi" w:hAnsiTheme="minorHAnsi" w:cstheme="minorHAnsi"/>
                <w:sz w:val="21"/>
                <w:szCs w:val="21"/>
              </w:rPr>
              <w:t xml:space="preserve">/ </w:t>
            </w:r>
            <w:proofErr w:type="spellStart"/>
            <w:r w:rsidR="00E13ABC">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27" w:type="dxa"/>
            <w:shd w:val="clear" w:color="auto" w:fill="auto"/>
          </w:tcPr>
          <w:p w14:paraId="66B84EAC" w14:textId="338F6BA8" w:rsidR="00BF3C47" w:rsidRPr="00E82D1D" w:rsidRDefault="00507051" w:rsidP="009E17E6">
            <w:pPr>
              <w:rPr>
                <w:rFonts w:asciiTheme="minorHAnsi" w:hAnsiTheme="minorHAnsi" w:cstheme="minorHAnsi"/>
                <w:sz w:val="21"/>
                <w:szCs w:val="21"/>
              </w:rPr>
            </w:pPr>
            <w:r>
              <w:rPr>
                <w:rFonts w:asciiTheme="minorHAnsi" w:hAnsiTheme="minorHAnsi" w:cstheme="minorHAnsi"/>
                <w:sz w:val="21"/>
                <w:szCs w:val="21"/>
              </w:rPr>
              <w:t xml:space="preserve">Annotation in Final Report: </w:t>
            </w:r>
            <w:r w:rsidRPr="00507051">
              <w:rPr>
                <w:rFonts w:asciiTheme="minorHAnsi" w:hAnsiTheme="minorHAnsi" w:cstheme="minorHAnsi"/>
                <w:sz w:val="21"/>
                <w:szCs w:val="21"/>
              </w:rPr>
              <w:t>The topic of accuracy as related to GDPR compliance is expected to be considered further as well as the WHOIS Accuracy Reporting System.</w:t>
            </w:r>
          </w:p>
        </w:tc>
      </w:tr>
      <w:tr w:rsidR="00E93EA6" w:rsidRPr="00E82D1D" w14:paraId="6C4801B0" w14:textId="77777777" w:rsidTr="00B14544">
        <w:tc>
          <w:tcPr>
            <w:tcW w:w="3126" w:type="dxa"/>
            <w:shd w:val="clear" w:color="auto" w:fill="auto"/>
          </w:tcPr>
          <w:p w14:paraId="1DBF1853"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#15 - URS / UDRP</w:t>
            </w:r>
          </w:p>
        </w:tc>
        <w:tc>
          <w:tcPr>
            <w:tcW w:w="3780" w:type="dxa"/>
            <w:shd w:val="clear" w:color="auto" w:fill="auto"/>
          </w:tcPr>
          <w:p w14:paraId="7A32FEFB" w14:textId="1063C220" w:rsidR="00E61378"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The EPDP Team recommends that, except as provided below,</w:t>
            </w:r>
            <w:bookmarkStart w:id="0" w:name="_GoBack"/>
            <w:bookmarkEnd w:id="0"/>
            <w:r w:rsidRPr="00E61378">
              <w:rPr>
                <w:rFonts w:asciiTheme="minorHAnsi" w:hAnsiTheme="minorHAnsi" w:cstheme="minorHAnsi"/>
                <w:color w:val="000000" w:themeColor="text1"/>
                <w:sz w:val="21"/>
                <w:szCs w:val="21"/>
              </w:rPr>
              <w:t xml:space="preserve"> for the new policy on gTLD registration data, the requirements of the Temporary Specification are maintained in relation to URS and UDRP until such time as these are superseded by recommendations from the RPMs PDP WG and/or policies from the EPDP regarding disclosure: </w:t>
            </w:r>
          </w:p>
          <w:p w14:paraId="1645A234" w14:textId="2FFCCD7B" w:rsidR="00E61378"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w:t>
            </w:r>
            <w:proofErr w:type="spellStart"/>
            <w:r w:rsidRPr="00E61378">
              <w:rPr>
                <w:rFonts w:asciiTheme="minorHAnsi" w:hAnsiTheme="minorHAnsi" w:cstheme="minorHAnsi"/>
                <w:color w:val="000000" w:themeColor="text1"/>
                <w:sz w:val="21"/>
                <w:szCs w:val="21"/>
              </w:rPr>
              <w:t>i</w:t>
            </w:r>
            <w:proofErr w:type="spellEnd"/>
            <w:r w:rsidRPr="00E61378">
              <w:rPr>
                <w:rFonts w:asciiTheme="minorHAnsi" w:hAnsiTheme="minorHAnsi" w:cstheme="minorHAnsi"/>
                <w:color w:val="000000" w:themeColor="text1"/>
                <w:sz w:val="21"/>
                <w:szCs w:val="21"/>
              </w:rPr>
              <w:t xml:space="preserve">) Revise the second sentence of Section 1.2 of Appendix D to "In such an event, Complainant may file a complaint against an unidentified Respondent and the Provider shall provide the Complainant with the relevant contact details of the Registered Name Holder after being presented with a complaint against an unidentified Respondent; </w:t>
            </w:r>
          </w:p>
          <w:p w14:paraId="4714FAA6" w14:textId="7B2534D6" w:rsidR="00E93EA6"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 xml:space="preserve">and (ii) Revise the second sentence of Section 1.2 of Appendix E to "In such an event, Complainant may file a complaint against an unidentified Respondent and the Provider shall provide the Complainant with the] relevant contact details of the Registered Name Holder after being presented with a complaint against an unidentified Respondent”.  </w:t>
            </w:r>
          </w:p>
        </w:tc>
        <w:tc>
          <w:tcPr>
            <w:tcW w:w="2156" w:type="dxa"/>
            <w:shd w:val="clear" w:color="auto" w:fill="auto"/>
          </w:tcPr>
          <w:p w14:paraId="0AE08B9F" w14:textId="189E71C5" w:rsidR="00E93EA6" w:rsidRPr="00E82D1D" w:rsidRDefault="00AB6B63"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sidR="00E13ABC">
              <w:rPr>
                <w:rFonts w:asciiTheme="minorHAnsi" w:hAnsiTheme="minorHAnsi" w:cstheme="minorHAnsi"/>
                <w:sz w:val="21"/>
                <w:szCs w:val="21"/>
              </w:rPr>
              <w:t xml:space="preserve">/ </w:t>
            </w:r>
            <w:proofErr w:type="spellStart"/>
            <w:r w:rsidR="00E13ABC">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63591A04" w14:textId="77777777" w:rsidR="00E93EA6" w:rsidRPr="00E82D1D" w:rsidRDefault="00E93EA6" w:rsidP="009E17E6">
            <w:pPr>
              <w:jc w:val="center"/>
              <w:rPr>
                <w:rFonts w:asciiTheme="minorHAnsi" w:hAnsiTheme="minorHAnsi" w:cstheme="minorHAnsi"/>
                <w:b/>
                <w:sz w:val="21"/>
                <w:szCs w:val="21"/>
              </w:rPr>
            </w:pPr>
          </w:p>
        </w:tc>
      </w:tr>
      <w:tr w:rsidR="00E93EA6" w:rsidRPr="00E82D1D" w14:paraId="7EF9AD2E" w14:textId="77777777" w:rsidTr="00B14544">
        <w:tc>
          <w:tcPr>
            <w:tcW w:w="3126" w:type="dxa"/>
            <w:shd w:val="clear" w:color="auto" w:fill="auto"/>
          </w:tcPr>
          <w:p w14:paraId="2175AEE8"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#16 - Instructions for RPM PDP WG</w:t>
            </w:r>
          </w:p>
        </w:tc>
        <w:tc>
          <w:tcPr>
            <w:tcW w:w="3780" w:type="dxa"/>
            <w:shd w:val="clear" w:color="auto" w:fill="auto"/>
          </w:tcPr>
          <w:p w14:paraId="3AC3B866" w14:textId="7DCB583C" w:rsidR="00E93EA6"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 xml:space="preserve">The EPDP Team also recommends that the GNSO Council instructs the review of all RPMs PDP WG to consider, as part of its deliberations, whether there is a need to update existing requirements to clarify that a complainant must only be required to insert the publicly-available RDDS data for the domain name(s) at issue in its initial complaint. The EPDP Team also recommends the GNSO Council to instruct the RPMs PDP WG to consider whether upon receiving updated RDDS data (if any), the complainant must be given the opportunity to file an amended complaint containing the updated respondent information. </w:t>
            </w:r>
          </w:p>
        </w:tc>
        <w:tc>
          <w:tcPr>
            <w:tcW w:w="2156" w:type="dxa"/>
            <w:shd w:val="clear" w:color="auto" w:fill="auto"/>
          </w:tcPr>
          <w:p w14:paraId="0185EACA" w14:textId="5B6CB62A" w:rsidR="00E93EA6"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098CF0AC" w14:textId="77777777" w:rsidR="00E93EA6" w:rsidRPr="00E82D1D" w:rsidRDefault="00E93EA6" w:rsidP="009E17E6">
            <w:pPr>
              <w:jc w:val="center"/>
              <w:rPr>
                <w:rFonts w:asciiTheme="minorHAnsi" w:hAnsiTheme="minorHAnsi" w:cstheme="minorHAnsi"/>
                <w:b/>
                <w:sz w:val="21"/>
                <w:szCs w:val="21"/>
              </w:rPr>
            </w:pPr>
          </w:p>
        </w:tc>
      </w:tr>
      <w:tr w:rsidR="00E93EA6" w:rsidRPr="00E82D1D" w14:paraId="2BE4E9AC" w14:textId="77777777" w:rsidTr="00B14544">
        <w:tc>
          <w:tcPr>
            <w:tcW w:w="3126" w:type="dxa"/>
            <w:shd w:val="clear" w:color="auto" w:fill="auto"/>
          </w:tcPr>
          <w:p w14:paraId="60D9291A"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#18 - Data processing agreements with dispute resolution providers (incl. Question #4)</w:t>
            </w:r>
          </w:p>
        </w:tc>
        <w:tc>
          <w:tcPr>
            <w:tcW w:w="3780" w:type="dxa"/>
            <w:shd w:val="clear" w:color="auto" w:fill="auto"/>
          </w:tcPr>
          <w:p w14:paraId="060AB05A" w14:textId="1C30CAD8" w:rsidR="00E93EA6"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The EPDP Team recommends that ICANN Org must enter into appropriate data processing agreements with dispute resolution providers in which, amongst other items, the data retention period is specifically addressed.</w:t>
            </w:r>
          </w:p>
        </w:tc>
        <w:tc>
          <w:tcPr>
            <w:tcW w:w="2156" w:type="dxa"/>
            <w:shd w:val="clear" w:color="auto" w:fill="auto"/>
          </w:tcPr>
          <w:p w14:paraId="631C215E" w14:textId="7495439E" w:rsidR="00E93EA6"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49390796" w14:textId="77777777" w:rsidR="00E93EA6" w:rsidRPr="00E82D1D" w:rsidRDefault="00E93EA6" w:rsidP="009E17E6">
            <w:pPr>
              <w:jc w:val="center"/>
              <w:rPr>
                <w:rFonts w:asciiTheme="minorHAnsi" w:hAnsiTheme="minorHAnsi" w:cstheme="minorHAnsi"/>
                <w:b/>
                <w:sz w:val="21"/>
                <w:szCs w:val="21"/>
              </w:rPr>
            </w:pPr>
          </w:p>
        </w:tc>
      </w:tr>
      <w:tr w:rsidR="00E93EA6" w:rsidRPr="00E82D1D" w14:paraId="7C273F3F" w14:textId="77777777" w:rsidTr="00B14544">
        <w:tc>
          <w:tcPr>
            <w:tcW w:w="3126" w:type="dxa"/>
            <w:shd w:val="clear" w:color="auto" w:fill="auto"/>
          </w:tcPr>
          <w:p w14:paraId="07E53FB5"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#19 - Transfer Policy</w:t>
            </w:r>
          </w:p>
        </w:tc>
        <w:tc>
          <w:tcPr>
            <w:tcW w:w="3780" w:type="dxa"/>
            <w:shd w:val="clear" w:color="auto" w:fill="auto"/>
          </w:tcPr>
          <w:p w14:paraId="00C9BC87" w14:textId="380FD07F" w:rsidR="00E93EA6"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 xml:space="preserve">The EPDP Team recommends that for the new policy on gTLD registration data, the requirements of the Temporary Specification are maintained in relation to the Transfer Policy until such time these are superseded by recommendations that may come out of the Transfer Policy review that is being undertaken by the GNSO Council.  </w:t>
            </w:r>
          </w:p>
        </w:tc>
        <w:tc>
          <w:tcPr>
            <w:tcW w:w="2156" w:type="dxa"/>
            <w:shd w:val="clear" w:color="auto" w:fill="auto"/>
          </w:tcPr>
          <w:p w14:paraId="56523C3E" w14:textId="1D5006DA" w:rsidR="00E93EA6"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2BDDEF04" w14:textId="77777777" w:rsidR="00E93EA6" w:rsidRPr="00E82D1D" w:rsidRDefault="00E93EA6" w:rsidP="009E17E6">
            <w:pPr>
              <w:jc w:val="center"/>
              <w:rPr>
                <w:rFonts w:asciiTheme="minorHAnsi" w:hAnsiTheme="minorHAnsi" w:cstheme="minorHAnsi"/>
                <w:b/>
                <w:sz w:val="21"/>
                <w:szCs w:val="21"/>
              </w:rPr>
            </w:pPr>
          </w:p>
        </w:tc>
      </w:tr>
      <w:tr w:rsidR="00E93EA6" w:rsidRPr="00E82D1D" w14:paraId="61C48B3B" w14:textId="77777777" w:rsidTr="00B14544">
        <w:tc>
          <w:tcPr>
            <w:tcW w:w="3126" w:type="dxa"/>
            <w:shd w:val="clear" w:color="auto" w:fill="auto"/>
          </w:tcPr>
          <w:p w14:paraId="08B24914"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#20 - Input to Transfer Policy review (incl. Question #5)</w:t>
            </w:r>
          </w:p>
        </w:tc>
        <w:tc>
          <w:tcPr>
            <w:tcW w:w="3780" w:type="dxa"/>
            <w:shd w:val="clear" w:color="auto" w:fill="auto"/>
          </w:tcPr>
          <w:p w14:paraId="3AAA3B0A" w14:textId="49286E7D" w:rsidR="00E93EA6" w:rsidRPr="00E61378" w:rsidRDefault="00E61378" w:rsidP="00E61378">
            <w:pPr>
              <w:spacing w:before="60"/>
              <w:rPr>
                <w:rFonts w:asciiTheme="minorHAnsi" w:hAnsiTheme="minorHAnsi" w:cstheme="minorHAnsi"/>
                <w:color w:val="000000" w:themeColor="text1"/>
                <w:sz w:val="21"/>
                <w:szCs w:val="21"/>
              </w:rPr>
            </w:pPr>
            <w:r w:rsidRPr="00E61378">
              <w:rPr>
                <w:rFonts w:asciiTheme="minorHAnsi" w:hAnsiTheme="minorHAnsi" w:cstheme="minorHAnsi"/>
                <w:color w:val="000000" w:themeColor="text1"/>
                <w:sz w:val="21"/>
                <w:szCs w:val="21"/>
              </w:rPr>
              <w:t xml:space="preserve">The EPDP Team recommends that the GNSO Council, as part of its review of the Transfer Policy, specifically requests the review of the implications, as well as adjustments, that may be needed to the Transfer Policy as a result of GDPR, with great urgency. </w:t>
            </w:r>
          </w:p>
        </w:tc>
        <w:tc>
          <w:tcPr>
            <w:tcW w:w="2156" w:type="dxa"/>
            <w:shd w:val="clear" w:color="auto" w:fill="auto"/>
          </w:tcPr>
          <w:p w14:paraId="2FA7C002" w14:textId="222395D0" w:rsidR="00E93EA6"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517DCA3E" w14:textId="77777777" w:rsidR="00E93EA6" w:rsidRPr="00E82D1D" w:rsidRDefault="00E93EA6" w:rsidP="009E17E6">
            <w:pPr>
              <w:jc w:val="center"/>
              <w:rPr>
                <w:rFonts w:asciiTheme="minorHAnsi" w:hAnsiTheme="minorHAnsi" w:cstheme="minorHAnsi"/>
                <w:b/>
                <w:sz w:val="21"/>
                <w:szCs w:val="21"/>
              </w:rPr>
            </w:pPr>
          </w:p>
        </w:tc>
      </w:tr>
      <w:tr w:rsidR="00E93EA6" w:rsidRPr="00E82D1D" w14:paraId="0525A206" w14:textId="77777777" w:rsidTr="00B14544">
        <w:tc>
          <w:tcPr>
            <w:tcW w:w="3126" w:type="dxa"/>
            <w:shd w:val="clear" w:color="auto" w:fill="auto"/>
          </w:tcPr>
          <w:p w14:paraId="4C1E470D" w14:textId="77777777" w:rsidR="00E93EA6" w:rsidRPr="00E82D1D" w:rsidRDefault="00E93EA6"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t>Recommendation #21 - Data processing agreements with non-Contracted Party entities involved in registration data processing</w:t>
            </w:r>
          </w:p>
        </w:tc>
        <w:tc>
          <w:tcPr>
            <w:tcW w:w="3780" w:type="dxa"/>
            <w:shd w:val="clear" w:color="auto" w:fill="auto"/>
          </w:tcPr>
          <w:p w14:paraId="6C0E12DF" w14:textId="77777777" w:rsidR="00FE5FAE" w:rsidRPr="00FE5FAE" w:rsidRDefault="00FE5FAE" w:rsidP="00FE5FAE">
            <w:pPr>
              <w:rPr>
                <w:rFonts w:asciiTheme="minorHAnsi" w:hAnsiTheme="minorHAnsi" w:cstheme="minorHAnsi"/>
                <w:color w:val="000000" w:themeColor="text1"/>
                <w:sz w:val="21"/>
                <w:szCs w:val="21"/>
              </w:rPr>
            </w:pPr>
            <w:r w:rsidRPr="00FE5FAE">
              <w:rPr>
                <w:rFonts w:asciiTheme="minorHAnsi" w:hAnsiTheme="minorHAnsi" w:cstheme="minorHAnsi"/>
                <w:color w:val="000000" w:themeColor="text1"/>
                <w:sz w:val="21"/>
                <w:szCs w:val="21"/>
              </w:rPr>
              <w:t xml:space="preserve">The EPDP Team recommends that ICANN Org enters into required data protection agreements such as a Data Processing Agreement (GDPR Art. 28) or Joint Controller </w:t>
            </w:r>
          </w:p>
          <w:p w14:paraId="409897C9" w14:textId="6C797955" w:rsidR="00E93EA6" w:rsidRPr="00FE5FAE" w:rsidRDefault="00FE5FAE" w:rsidP="00FE5FAE">
            <w:pPr>
              <w:rPr>
                <w:rFonts w:asciiTheme="minorHAnsi" w:hAnsiTheme="minorHAnsi" w:cstheme="minorHAnsi"/>
                <w:color w:val="000000" w:themeColor="text1"/>
                <w:sz w:val="21"/>
                <w:szCs w:val="21"/>
              </w:rPr>
            </w:pPr>
            <w:r w:rsidRPr="00FE5FAE">
              <w:rPr>
                <w:rFonts w:asciiTheme="minorHAnsi" w:hAnsiTheme="minorHAnsi" w:cstheme="minorHAnsi"/>
                <w:color w:val="000000" w:themeColor="text1"/>
                <w:sz w:val="21"/>
                <w:szCs w:val="21"/>
              </w:rPr>
              <w:t>Agreement (Art. 26), as appropriate, with the non-Contracted Party entities involved in registration data processing such as data escrow providers and EBERO providers. These agreements are expected to set out the relationship obligations and instructions for data processing between the different parties.</w:t>
            </w:r>
          </w:p>
        </w:tc>
        <w:tc>
          <w:tcPr>
            <w:tcW w:w="2156" w:type="dxa"/>
            <w:shd w:val="clear" w:color="auto" w:fill="auto"/>
          </w:tcPr>
          <w:p w14:paraId="3903E099" w14:textId="4A372461" w:rsidR="00E93EA6"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gridSpan w:val="2"/>
            <w:shd w:val="clear" w:color="auto" w:fill="auto"/>
          </w:tcPr>
          <w:p w14:paraId="64CC1A9B" w14:textId="77777777" w:rsidR="00E93EA6" w:rsidRPr="00E82D1D" w:rsidRDefault="00E93EA6" w:rsidP="009E17E6">
            <w:pPr>
              <w:jc w:val="center"/>
              <w:rPr>
                <w:rFonts w:asciiTheme="minorHAnsi" w:hAnsiTheme="minorHAnsi" w:cstheme="minorHAnsi"/>
                <w:b/>
                <w:sz w:val="21"/>
                <w:szCs w:val="21"/>
              </w:rPr>
            </w:pPr>
          </w:p>
        </w:tc>
      </w:tr>
    </w:tbl>
    <w:p w14:paraId="6E353A9D" w14:textId="77777777" w:rsidR="00FF10EF" w:rsidRDefault="00FF10EF">
      <w:r>
        <w:br w:type="page"/>
      </w:r>
    </w:p>
    <w:tbl>
      <w:tblPr>
        <w:tblStyle w:val="TableGrid"/>
        <w:tblW w:w="13207" w:type="dxa"/>
        <w:tblInd w:w="18" w:type="dxa"/>
        <w:tblLook w:val="04A0" w:firstRow="1" w:lastRow="0" w:firstColumn="1" w:lastColumn="0" w:noHBand="0" w:noVBand="1"/>
      </w:tblPr>
      <w:tblGrid>
        <w:gridCol w:w="3126"/>
        <w:gridCol w:w="3780"/>
        <w:gridCol w:w="2156"/>
        <w:gridCol w:w="4145"/>
      </w:tblGrid>
      <w:tr w:rsidR="00BF3C47" w:rsidRPr="00E82D1D" w14:paraId="105E1B8D" w14:textId="77777777" w:rsidTr="00FF10EF">
        <w:tc>
          <w:tcPr>
            <w:tcW w:w="3126" w:type="dxa"/>
          </w:tcPr>
          <w:p w14:paraId="0945DA68" w14:textId="1BC84CC1" w:rsidR="00BF3C47" w:rsidRPr="00E82D1D" w:rsidRDefault="00BF3C47" w:rsidP="009E17E6">
            <w:pPr>
              <w:spacing w:before="60"/>
              <w:rPr>
                <w:rFonts w:asciiTheme="minorHAnsi" w:hAnsiTheme="minorHAnsi" w:cstheme="minorHAnsi"/>
                <w:color w:val="000000" w:themeColor="text1"/>
                <w:sz w:val="21"/>
                <w:szCs w:val="21"/>
              </w:rPr>
            </w:pPr>
            <w:r w:rsidRPr="00E82D1D">
              <w:rPr>
                <w:rFonts w:asciiTheme="minorHAnsi" w:hAnsiTheme="minorHAnsi" w:cstheme="minorHAnsi"/>
                <w:color w:val="000000" w:themeColor="text1"/>
                <w:sz w:val="21"/>
                <w:szCs w:val="21"/>
              </w:rPr>
              <w:lastRenderedPageBreak/>
              <w:t>Recommendation #6 - Escrow Providers</w:t>
            </w:r>
          </w:p>
        </w:tc>
        <w:tc>
          <w:tcPr>
            <w:tcW w:w="3780" w:type="dxa"/>
          </w:tcPr>
          <w:p w14:paraId="57D88F90" w14:textId="77777777" w:rsidR="00BF3C47" w:rsidRDefault="00BF3C47" w:rsidP="009E17E6">
            <w:pPr>
              <w:pStyle w:val="ListParagraph"/>
              <w:numPr>
                <w:ilvl w:val="0"/>
                <w:numId w:val="31"/>
              </w:numPr>
              <w:spacing w:before="60"/>
              <w:rPr>
                <w:rFonts w:asciiTheme="minorHAnsi" w:hAnsiTheme="minorHAnsi" w:cstheme="minorHAnsi"/>
                <w:color w:val="000000" w:themeColor="text1"/>
                <w:sz w:val="21"/>
                <w:szCs w:val="21"/>
              </w:rPr>
            </w:pPr>
            <w:r w:rsidRPr="0063241B">
              <w:rPr>
                <w:rFonts w:asciiTheme="minorHAnsi" w:hAnsiTheme="minorHAnsi" w:cstheme="minorHAnsi"/>
                <w:color w:val="000000" w:themeColor="text1"/>
                <w:sz w:val="21"/>
                <w:szCs w:val="21"/>
              </w:rPr>
              <w:t xml:space="preserve">The EPDP Team recommends that ICANN Org develops legally-compliant data processing agreements with the data escrow providers. </w:t>
            </w:r>
          </w:p>
          <w:p w14:paraId="2A08619A" w14:textId="77777777" w:rsidR="00BF3C47" w:rsidRDefault="00BF3C47" w:rsidP="009E17E6">
            <w:pPr>
              <w:pStyle w:val="ListParagraph"/>
              <w:numPr>
                <w:ilvl w:val="0"/>
                <w:numId w:val="31"/>
              </w:numPr>
              <w:spacing w:before="60"/>
              <w:rPr>
                <w:rFonts w:asciiTheme="minorHAnsi" w:hAnsiTheme="minorHAnsi" w:cstheme="minorHAnsi"/>
                <w:color w:val="000000" w:themeColor="text1"/>
                <w:sz w:val="21"/>
                <w:szCs w:val="21"/>
              </w:rPr>
            </w:pPr>
            <w:r w:rsidRPr="0063241B">
              <w:rPr>
                <w:rFonts w:asciiTheme="minorHAnsi" w:hAnsiTheme="minorHAnsi" w:cstheme="minorHAnsi"/>
                <w:color w:val="000000" w:themeColor="text1"/>
                <w:sz w:val="21"/>
                <w:szCs w:val="21"/>
              </w:rPr>
              <w:t xml:space="preserve">The EPDP Team recommends updates to the contractual requirements for registries and registrars to transfer data that they process to the data escrow provider to ensure consistency with the data elements listed below (for illustrative purposes, see relevant workbooks in Annex D that analyze the purpose to provide mechanisms for safeguarding Registered Name Holders' Registration Data). </w:t>
            </w:r>
          </w:p>
          <w:p w14:paraId="1E952611" w14:textId="77777777" w:rsidR="00BF3C47" w:rsidRDefault="00BF3C47" w:rsidP="009E17E6">
            <w:pPr>
              <w:pStyle w:val="ListParagraph"/>
              <w:numPr>
                <w:ilvl w:val="0"/>
                <w:numId w:val="31"/>
              </w:numPr>
              <w:spacing w:before="0" w:beforeAutospacing="0" w:after="0" w:afterAutospacing="0"/>
              <w:rPr>
                <w:rFonts w:asciiTheme="minorHAnsi" w:hAnsiTheme="minorHAnsi" w:cstheme="minorHAnsi"/>
                <w:color w:val="000000" w:themeColor="text1"/>
                <w:sz w:val="21"/>
                <w:szCs w:val="21"/>
              </w:rPr>
            </w:pPr>
            <w:r w:rsidRPr="0063241B">
              <w:rPr>
                <w:rFonts w:asciiTheme="minorHAnsi" w:hAnsiTheme="minorHAnsi" w:cstheme="minorHAnsi"/>
                <w:color w:val="000000" w:themeColor="text1"/>
                <w:sz w:val="21"/>
                <w:szCs w:val="21"/>
              </w:rPr>
              <w:t xml:space="preserve">The data elements to be transferred by Registries and Registrars to data escrow providers are: </w:t>
            </w:r>
          </w:p>
          <w:p w14:paraId="5AE21AD6" w14:textId="77777777" w:rsidR="00BF3C47" w:rsidRPr="00EF7026" w:rsidRDefault="00BF3C47" w:rsidP="009E17E6">
            <w:pPr>
              <w:ind w:left="360"/>
              <w:rPr>
                <w:rFonts w:asciiTheme="minorHAnsi" w:hAnsiTheme="minorHAnsi" w:cstheme="minorHAnsi"/>
                <w:color w:val="000000" w:themeColor="text1"/>
                <w:sz w:val="21"/>
                <w:szCs w:val="21"/>
              </w:rPr>
            </w:pPr>
            <w:r w:rsidRPr="00EF7026">
              <w:rPr>
                <w:rFonts w:asciiTheme="minorHAnsi" w:hAnsiTheme="minorHAnsi" w:cstheme="minorHAnsi"/>
                <w:color w:val="000000" w:themeColor="text1"/>
                <w:sz w:val="21"/>
                <w:szCs w:val="21"/>
              </w:rPr>
              <w:t>[Data elements table]</w:t>
            </w:r>
          </w:p>
        </w:tc>
        <w:tc>
          <w:tcPr>
            <w:tcW w:w="2156" w:type="dxa"/>
          </w:tcPr>
          <w:p w14:paraId="2F2C7A94" w14:textId="636C28AA" w:rsidR="00BF3C47"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tcPr>
          <w:p w14:paraId="58675CC0" w14:textId="77777777" w:rsidR="00BF3C47" w:rsidRPr="00E82D1D" w:rsidRDefault="00BF3C47" w:rsidP="009E17E6">
            <w:pPr>
              <w:rPr>
                <w:rFonts w:asciiTheme="minorHAnsi" w:hAnsiTheme="minorHAnsi" w:cstheme="minorHAnsi"/>
                <w:sz w:val="21"/>
                <w:szCs w:val="21"/>
              </w:rPr>
            </w:pPr>
          </w:p>
        </w:tc>
      </w:tr>
      <w:tr w:rsidR="00BF3C47" w:rsidRPr="00E82D1D" w14:paraId="58BC0686" w14:textId="77777777" w:rsidTr="00FF10EF">
        <w:tc>
          <w:tcPr>
            <w:tcW w:w="3126" w:type="dxa"/>
          </w:tcPr>
          <w:p w14:paraId="0A4175EB" w14:textId="77777777" w:rsidR="00BF3C47" w:rsidRPr="00E82D1D" w:rsidRDefault="00BF3C47" w:rsidP="009E17E6">
            <w:pPr>
              <w:spacing w:before="60"/>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New – Consent to publish additional information</w:t>
            </w:r>
          </w:p>
        </w:tc>
        <w:tc>
          <w:tcPr>
            <w:tcW w:w="3780" w:type="dxa"/>
          </w:tcPr>
          <w:p w14:paraId="0C5568C7" w14:textId="77777777" w:rsidR="00BF3C47" w:rsidRPr="001979EB" w:rsidRDefault="00BF3C47" w:rsidP="009E17E6">
            <w:pPr>
              <w:spacing w:before="60"/>
              <w:rPr>
                <w:rFonts w:asciiTheme="minorHAnsi" w:hAnsiTheme="minorHAnsi" w:cstheme="minorHAnsi"/>
                <w:color w:val="000000" w:themeColor="text1"/>
                <w:sz w:val="21"/>
                <w:szCs w:val="21"/>
              </w:rPr>
            </w:pPr>
            <w:r w:rsidRPr="001979EB">
              <w:rPr>
                <w:rFonts w:asciiTheme="minorHAnsi" w:hAnsiTheme="minorHAnsi" w:cstheme="minorHAnsi"/>
                <w:color w:val="000000" w:themeColor="text1"/>
                <w:sz w:val="21"/>
                <w:szCs w:val="21"/>
              </w:rPr>
              <w:t>The EPDP Team recommends that, as soon as commercially reasonable, Registrar must provide the opportunity for the Registered Name Holder to provide its Consent to publish additional contact information.</w:t>
            </w:r>
          </w:p>
        </w:tc>
        <w:tc>
          <w:tcPr>
            <w:tcW w:w="2156" w:type="dxa"/>
          </w:tcPr>
          <w:p w14:paraId="43A15ACE" w14:textId="4760FF90" w:rsidR="00BF3C47" w:rsidRPr="00E82D1D" w:rsidRDefault="00E13ABC" w:rsidP="00E13ABC">
            <w:pPr>
              <w:rPr>
                <w:rFonts w:asciiTheme="minorHAnsi" w:hAnsiTheme="minorHAnsi" w:cstheme="minorHAnsi"/>
                <w:b/>
                <w:sz w:val="21"/>
                <w:szCs w:val="21"/>
              </w:rPr>
            </w:pPr>
            <w:r w:rsidRPr="00AB6B63">
              <w:rPr>
                <w:rFonts w:asciiTheme="minorHAnsi" w:hAnsiTheme="minorHAnsi" w:cstheme="minorHAnsi"/>
                <w:sz w:val="21"/>
                <w:szCs w:val="21"/>
              </w:rPr>
              <w:t xml:space="preserve">Full Consensus </w:t>
            </w:r>
            <w:r>
              <w:rPr>
                <w:rFonts w:asciiTheme="minorHAnsi" w:hAnsiTheme="minorHAnsi" w:cstheme="minorHAnsi"/>
                <w:sz w:val="21"/>
                <w:szCs w:val="21"/>
              </w:rPr>
              <w:t xml:space="preserve">/ </w:t>
            </w:r>
            <w:proofErr w:type="spellStart"/>
            <w:r>
              <w:rPr>
                <w:rFonts w:asciiTheme="minorHAnsi" w:hAnsiTheme="minorHAnsi" w:cstheme="minorHAnsi"/>
                <w:sz w:val="21"/>
                <w:szCs w:val="21"/>
              </w:rPr>
              <w:t>C</w:t>
            </w:r>
            <w:r w:rsidRPr="00AB6B63">
              <w:rPr>
                <w:rFonts w:asciiTheme="minorHAnsi" w:hAnsiTheme="minorHAnsi" w:cstheme="minorHAnsi"/>
                <w:sz w:val="21"/>
                <w:szCs w:val="21"/>
              </w:rPr>
              <w:t>onsensus</w:t>
            </w:r>
            <w:proofErr w:type="spellEnd"/>
          </w:p>
        </w:tc>
        <w:tc>
          <w:tcPr>
            <w:tcW w:w="4145" w:type="dxa"/>
          </w:tcPr>
          <w:p w14:paraId="202579BD" w14:textId="77777777" w:rsidR="00BF3C47" w:rsidRPr="00E82D1D" w:rsidRDefault="00BF3C47" w:rsidP="009E17E6">
            <w:pPr>
              <w:jc w:val="center"/>
              <w:rPr>
                <w:rFonts w:asciiTheme="minorHAnsi" w:hAnsiTheme="minorHAnsi" w:cstheme="minorHAnsi"/>
                <w:b/>
                <w:sz w:val="21"/>
                <w:szCs w:val="21"/>
              </w:rPr>
            </w:pPr>
          </w:p>
        </w:tc>
      </w:tr>
    </w:tbl>
    <w:p w14:paraId="0483B881" w14:textId="3AE4B6B1" w:rsidR="00984AF3" w:rsidRDefault="00984AF3" w:rsidP="00984AF3">
      <w:pPr>
        <w:spacing w:before="60"/>
        <w:rPr>
          <w:rFonts w:asciiTheme="minorHAnsi" w:hAnsiTheme="minorHAnsi" w:cstheme="minorHAnsi"/>
          <w:color w:val="000000" w:themeColor="text1"/>
          <w:sz w:val="21"/>
          <w:szCs w:val="21"/>
        </w:rPr>
      </w:pPr>
    </w:p>
    <w:p w14:paraId="7B795215" w14:textId="5D894D94" w:rsidR="005B49C4" w:rsidRDefault="005B49C4" w:rsidP="00984AF3">
      <w:pPr>
        <w:spacing w:before="60"/>
        <w:rPr>
          <w:rFonts w:asciiTheme="minorHAnsi" w:hAnsiTheme="minorHAnsi" w:cstheme="minorHAnsi"/>
          <w:color w:val="000000" w:themeColor="text1"/>
          <w:sz w:val="21"/>
          <w:szCs w:val="21"/>
        </w:rPr>
      </w:pPr>
    </w:p>
    <w:p w14:paraId="0301DF93" w14:textId="77777777" w:rsidR="00E13ABC" w:rsidRDefault="00E13ABC" w:rsidP="00E13ABC">
      <w:pPr>
        <w:rPr>
          <w:rFonts w:asciiTheme="minorHAnsi" w:hAnsiTheme="minorHAnsi" w:cstheme="minorHAnsi"/>
          <w:b/>
          <w:sz w:val="22"/>
          <w:szCs w:val="22"/>
        </w:rPr>
      </w:pPr>
    </w:p>
    <w:p w14:paraId="79EAAA18" w14:textId="77777777" w:rsidR="00E13ABC" w:rsidRDefault="00E13ABC" w:rsidP="00E13ABC">
      <w:pPr>
        <w:rPr>
          <w:rFonts w:asciiTheme="minorHAnsi" w:hAnsiTheme="minorHAnsi" w:cstheme="minorHAnsi"/>
          <w:b/>
          <w:sz w:val="22"/>
          <w:szCs w:val="22"/>
        </w:rPr>
      </w:pPr>
    </w:p>
    <w:p w14:paraId="3A8C548E" w14:textId="77777777" w:rsidR="00E13ABC" w:rsidRDefault="00E13ABC" w:rsidP="00E13ABC">
      <w:pPr>
        <w:rPr>
          <w:rFonts w:asciiTheme="minorHAnsi" w:hAnsiTheme="minorHAnsi" w:cstheme="minorHAnsi"/>
          <w:b/>
          <w:sz w:val="22"/>
          <w:szCs w:val="22"/>
        </w:rPr>
      </w:pPr>
    </w:p>
    <w:p w14:paraId="3494A37A" w14:textId="77777777" w:rsidR="00E13ABC" w:rsidRDefault="00E13ABC" w:rsidP="00E13ABC">
      <w:pPr>
        <w:rPr>
          <w:rFonts w:asciiTheme="minorHAnsi" w:hAnsiTheme="minorHAnsi" w:cstheme="minorHAnsi"/>
          <w:b/>
          <w:sz w:val="22"/>
          <w:szCs w:val="22"/>
        </w:rPr>
      </w:pPr>
    </w:p>
    <w:p w14:paraId="45505BA2" w14:textId="77777777" w:rsidR="00E13ABC" w:rsidRDefault="00E13ABC" w:rsidP="00E13ABC">
      <w:pPr>
        <w:rPr>
          <w:rFonts w:asciiTheme="minorHAnsi" w:hAnsiTheme="minorHAnsi" w:cstheme="minorHAnsi"/>
          <w:b/>
          <w:sz w:val="22"/>
          <w:szCs w:val="22"/>
        </w:rPr>
      </w:pPr>
    </w:p>
    <w:p w14:paraId="36D8274D" w14:textId="77777777" w:rsidR="00E13ABC" w:rsidRDefault="00E13ABC" w:rsidP="00E13ABC">
      <w:pPr>
        <w:rPr>
          <w:rFonts w:asciiTheme="minorHAnsi" w:hAnsiTheme="minorHAnsi" w:cstheme="minorHAnsi"/>
          <w:b/>
          <w:sz w:val="22"/>
          <w:szCs w:val="22"/>
        </w:rPr>
      </w:pPr>
    </w:p>
    <w:p w14:paraId="26E4E6A8" w14:textId="62D11839" w:rsidR="00E13ABC" w:rsidRPr="009D2E95" w:rsidRDefault="00E13ABC" w:rsidP="00E13ABC">
      <w:pPr>
        <w:rPr>
          <w:rFonts w:asciiTheme="minorHAnsi" w:hAnsiTheme="minorHAnsi" w:cstheme="minorHAnsi"/>
          <w:b/>
          <w:sz w:val="22"/>
          <w:szCs w:val="22"/>
        </w:rPr>
      </w:pPr>
      <w:r>
        <w:rPr>
          <w:rFonts w:asciiTheme="minorHAnsi" w:hAnsiTheme="minorHAnsi" w:cstheme="minorHAnsi"/>
          <w:b/>
          <w:sz w:val="22"/>
          <w:szCs w:val="22"/>
        </w:rPr>
        <w:lastRenderedPageBreak/>
        <w:t xml:space="preserve">For Reference: </w:t>
      </w:r>
      <w:r w:rsidRPr="009D2E95">
        <w:rPr>
          <w:rFonts w:asciiTheme="minorHAnsi" w:hAnsiTheme="minorHAnsi" w:cstheme="minorHAnsi"/>
          <w:b/>
          <w:sz w:val="22"/>
          <w:szCs w:val="22"/>
        </w:rPr>
        <w:t xml:space="preserve">GNSO WG Guidelines – SECTION </w:t>
      </w:r>
      <w:r w:rsidRPr="009D2E95">
        <w:rPr>
          <w:rFonts w:asciiTheme="minorHAnsi" w:hAnsiTheme="minorHAnsi" w:cstheme="minorHAnsi"/>
          <w:b/>
          <w:bCs/>
          <w:sz w:val="22"/>
          <w:szCs w:val="22"/>
        </w:rPr>
        <w:t>3.6 Standard Methodology for Making Decisions:</w:t>
      </w:r>
    </w:p>
    <w:p w14:paraId="367187FC" w14:textId="77777777" w:rsidR="00E13ABC" w:rsidRPr="009D2E95" w:rsidRDefault="00E13ABC" w:rsidP="00E13ABC">
      <w:pPr>
        <w:rPr>
          <w:rFonts w:asciiTheme="minorHAnsi" w:hAnsiTheme="minorHAnsi" w:cstheme="minorHAnsi"/>
          <w:b/>
          <w:sz w:val="22"/>
          <w:szCs w:val="22"/>
        </w:rPr>
      </w:pPr>
    </w:p>
    <w:p w14:paraId="3C7A96EE"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The Chair will be responsible for designating each position as having one of the following designations:</w:t>
      </w:r>
      <w:r w:rsidRPr="009D2E95">
        <w:rPr>
          <w:rStyle w:val="FootnoteReference"/>
          <w:rFonts w:asciiTheme="minorHAnsi" w:hAnsiTheme="minorHAnsi" w:cstheme="minorHAnsi"/>
          <w:sz w:val="22"/>
          <w:szCs w:val="22"/>
        </w:rPr>
        <w:footnoteReference w:id="1"/>
      </w:r>
    </w:p>
    <w:p w14:paraId="45FCEDC5"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 xml:space="preserve"> </w:t>
      </w:r>
    </w:p>
    <w:p w14:paraId="133A7915" w14:textId="77777777" w:rsidR="00E13ABC" w:rsidRPr="00F5175E"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Full consensus </w:t>
      </w:r>
      <w:r w:rsidRPr="009D2E95">
        <w:rPr>
          <w:rFonts w:asciiTheme="minorHAnsi" w:hAnsiTheme="minorHAnsi" w:cstheme="minorHAnsi"/>
          <w:sz w:val="22"/>
          <w:szCs w:val="22"/>
        </w:rPr>
        <w:t xml:space="preserve">- when no one in the group speaks against the recommendation in its last readings. This is also sometimes referred to as </w:t>
      </w:r>
      <w:r w:rsidRPr="009D2E95">
        <w:rPr>
          <w:rFonts w:asciiTheme="minorHAnsi" w:hAnsiTheme="minorHAnsi" w:cstheme="minorHAnsi"/>
          <w:b/>
          <w:bCs/>
          <w:sz w:val="22"/>
          <w:szCs w:val="22"/>
        </w:rPr>
        <w:t xml:space="preserve">Unanimous Consensus. </w:t>
      </w:r>
    </w:p>
    <w:p w14:paraId="4543DE4A"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Consensus </w:t>
      </w:r>
      <w:r w:rsidRPr="009D2E95">
        <w:rPr>
          <w:rFonts w:asciiTheme="minorHAnsi" w:hAnsiTheme="minorHAnsi" w:cstheme="minorHAnsi"/>
          <w:sz w:val="22"/>
          <w:szCs w:val="22"/>
        </w:rPr>
        <w:t>- a position where only a small minority disagrees, but most agree.</w:t>
      </w:r>
      <w:r w:rsidRPr="009D2E95">
        <w:rPr>
          <w:rStyle w:val="FootnoteReference"/>
          <w:rFonts w:asciiTheme="minorHAnsi" w:hAnsiTheme="minorHAnsi" w:cstheme="minorHAnsi"/>
          <w:sz w:val="22"/>
          <w:szCs w:val="22"/>
        </w:rPr>
        <w:footnoteReference w:id="2"/>
      </w:r>
      <w:r w:rsidRPr="009D2E95">
        <w:rPr>
          <w:rFonts w:asciiTheme="minorHAnsi" w:hAnsiTheme="minorHAnsi" w:cstheme="minorHAnsi"/>
          <w:sz w:val="22"/>
          <w:szCs w:val="22"/>
        </w:rPr>
        <w:t xml:space="preserve"> </w:t>
      </w:r>
    </w:p>
    <w:p w14:paraId="57B3978C"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Strong support but significant opposition </w:t>
      </w:r>
      <w:r w:rsidRPr="009D2E95">
        <w:rPr>
          <w:rFonts w:asciiTheme="minorHAnsi" w:hAnsiTheme="minorHAnsi" w:cstheme="minorHAnsi"/>
          <w:sz w:val="22"/>
          <w:szCs w:val="22"/>
        </w:rPr>
        <w:t xml:space="preserve">- a position where, while most of the group supports a recommendation, there are a significant number of those who do not support it. </w:t>
      </w:r>
    </w:p>
    <w:p w14:paraId="1FC9A775"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Divergence </w:t>
      </w:r>
      <w:r w:rsidRPr="009D2E95">
        <w:rPr>
          <w:rFonts w:asciiTheme="minorHAnsi" w:hAnsiTheme="minorHAnsi" w:cstheme="minorHAnsi"/>
          <w:sz w:val="22"/>
          <w:szCs w:val="22"/>
        </w:rPr>
        <w:t xml:space="preserve">(also referred to as </w:t>
      </w:r>
      <w:r w:rsidRPr="009D2E95">
        <w:rPr>
          <w:rFonts w:asciiTheme="minorHAnsi" w:hAnsiTheme="minorHAnsi" w:cstheme="minorHAnsi"/>
          <w:b/>
          <w:bCs/>
          <w:sz w:val="22"/>
          <w:szCs w:val="22"/>
        </w:rPr>
        <w:t>No Consensus</w:t>
      </w:r>
      <w:r w:rsidRPr="009D2E95">
        <w:rPr>
          <w:rFonts w:asciiTheme="minorHAnsi" w:hAnsiTheme="minorHAnsi" w:cstheme="minorHAnsi"/>
          <w:sz w:val="22"/>
          <w:szCs w:val="22"/>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 </w:t>
      </w:r>
    </w:p>
    <w:p w14:paraId="162A05EE" w14:textId="77777777" w:rsidR="00E13ABC" w:rsidRPr="009D2E95" w:rsidRDefault="00E13ABC" w:rsidP="00E13ABC">
      <w:pPr>
        <w:pStyle w:val="Default0"/>
        <w:numPr>
          <w:ilvl w:val="1"/>
          <w:numId w:val="22"/>
        </w:numPr>
        <w:spacing w:after="141"/>
        <w:rPr>
          <w:rFonts w:asciiTheme="minorHAnsi" w:hAnsiTheme="minorHAnsi" w:cstheme="minorHAnsi"/>
          <w:sz w:val="22"/>
          <w:szCs w:val="22"/>
        </w:rPr>
      </w:pPr>
      <w:r w:rsidRPr="009D2E95">
        <w:rPr>
          <w:rFonts w:asciiTheme="minorHAnsi" w:hAnsiTheme="minorHAnsi" w:cstheme="minorHAnsi"/>
          <w:b/>
          <w:bCs/>
          <w:sz w:val="22"/>
          <w:szCs w:val="22"/>
        </w:rPr>
        <w:t xml:space="preserve">Minority View </w:t>
      </w:r>
      <w:r w:rsidRPr="009D2E95">
        <w:rPr>
          <w:rFonts w:asciiTheme="minorHAnsi" w:hAnsiTheme="minorHAnsi" w:cstheme="minorHAnsi"/>
          <w:sz w:val="22"/>
          <w:szCs w:val="22"/>
        </w:rPr>
        <w:t xml:space="preserve">- refers to a proposal where a small number of people support the recommendation. This can happen in response to a </w:t>
      </w:r>
      <w:r w:rsidRPr="009D2E95">
        <w:rPr>
          <w:rFonts w:asciiTheme="minorHAnsi" w:hAnsiTheme="minorHAnsi" w:cstheme="minorHAnsi"/>
          <w:b/>
          <w:bCs/>
          <w:sz w:val="22"/>
          <w:szCs w:val="22"/>
        </w:rPr>
        <w:t>Consensus</w:t>
      </w:r>
      <w:r w:rsidRPr="009D2E95">
        <w:rPr>
          <w:rFonts w:asciiTheme="minorHAnsi" w:hAnsiTheme="minorHAnsi" w:cstheme="minorHAnsi"/>
          <w:sz w:val="22"/>
          <w:szCs w:val="22"/>
        </w:rPr>
        <w:t xml:space="preserve">, </w:t>
      </w:r>
      <w:r w:rsidRPr="009D2E95">
        <w:rPr>
          <w:rFonts w:asciiTheme="minorHAnsi" w:hAnsiTheme="minorHAnsi" w:cstheme="minorHAnsi"/>
          <w:b/>
          <w:bCs/>
          <w:sz w:val="22"/>
          <w:szCs w:val="22"/>
        </w:rPr>
        <w:t>Strong support but significant opposition</w:t>
      </w:r>
      <w:r w:rsidRPr="009D2E95">
        <w:rPr>
          <w:rFonts w:asciiTheme="minorHAnsi" w:hAnsiTheme="minorHAnsi" w:cstheme="minorHAnsi"/>
          <w:sz w:val="22"/>
          <w:szCs w:val="22"/>
        </w:rPr>
        <w:t xml:space="preserve">, and </w:t>
      </w:r>
      <w:r w:rsidRPr="009D2E95">
        <w:rPr>
          <w:rFonts w:asciiTheme="minorHAnsi" w:hAnsiTheme="minorHAnsi" w:cstheme="minorHAnsi"/>
          <w:b/>
          <w:bCs/>
          <w:sz w:val="22"/>
          <w:szCs w:val="22"/>
        </w:rPr>
        <w:t xml:space="preserve">No Consensus; </w:t>
      </w:r>
      <w:r w:rsidRPr="009D2E95">
        <w:rPr>
          <w:rFonts w:asciiTheme="minorHAnsi" w:hAnsiTheme="minorHAnsi" w:cstheme="minorHAnsi"/>
          <w:sz w:val="22"/>
          <w:szCs w:val="22"/>
        </w:rPr>
        <w:t xml:space="preserve">or, it can happen in cases where there is neither support nor opposition to a suggestion made by a small number of individuals. </w:t>
      </w:r>
    </w:p>
    <w:p w14:paraId="65322771" w14:textId="77777777" w:rsidR="00E13ABC" w:rsidRPr="009D2E95" w:rsidRDefault="00E13ABC" w:rsidP="00E13ABC">
      <w:pPr>
        <w:numPr>
          <w:ilvl w:val="1"/>
          <w:numId w:val="23"/>
        </w:numPr>
        <w:autoSpaceDE w:val="0"/>
        <w:autoSpaceDN w:val="0"/>
        <w:adjustRightInd w:val="0"/>
        <w:rPr>
          <w:rFonts w:asciiTheme="minorHAnsi" w:eastAsiaTheme="minorHAnsi" w:hAnsiTheme="minorHAnsi" w:cstheme="minorHAnsi"/>
          <w:color w:val="000000"/>
          <w:sz w:val="22"/>
          <w:szCs w:val="22"/>
        </w:rPr>
      </w:pPr>
    </w:p>
    <w:p w14:paraId="50200BCB"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In cases of </w:t>
      </w:r>
      <w:r w:rsidRPr="009D2E95">
        <w:rPr>
          <w:rFonts w:asciiTheme="minorHAnsi" w:eastAsiaTheme="minorHAnsi" w:hAnsiTheme="minorHAnsi" w:cstheme="minorHAnsi"/>
          <w:b/>
          <w:bCs/>
          <w:color w:val="000000"/>
          <w:sz w:val="22"/>
          <w:szCs w:val="22"/>
        </w:rPr>
        <w:t>Consensus</w:t>
      </w:r>
      <w:r w:rsidRPr="009D2E95">
        <w:rPr>
          <w:rFonts w:asciiTheme="minorHAnsi" w:eastAsiaTheme="minorHAnsi" w:hAnsiTheme="minorHAnsi" w:cstheme="minorHAnsi"/>
          <w:color w:val="000000"/>
          <w:sz w:val="22"/>
          <w:szCs w:val="22"/>
        </w:rPr>
        <w:t xml:space="preserve">, </w:t>
      </w:r>
      <w:r w:rsidRPr="009D2E95">
        <w:rPr>
          <w:rFonts w:asciiTheme="minorHAnsi" w:eastAsiaTheme="minorHAnsi" w:hAnsiTheme="minorHAnsi" w:cstheme="minorHAnsi"/>
          <w:b/>
          <w:bCs/>
          <w:color w:val="000000"/>
          <w:sz w:val="22"/>
          <w:szCs w:val="22"/>
        </w:rPr>
        <w:t>Strong support but significant opposition</w:t>
      </w:r>
      <w:r w:rsidRPr="009D2E95">
        <w:rPr>
          <w:rFonts w:asciiTheme="minorHAnsi" w:eastAsiaTheme="minorHAnsi" w:hAnsiTheme="minorHAnsi" w:cstheme="minorHAnsi"/>
          <w:color w:val="000000"/>
          <w:sz w:val="22"/>
          <w:szCs w:val="22"/>
        </w:rPr>
        <w:t xml:space="preserve">, and </w:t>
      </w:r>
      <w:r w:rsidRPr="009D2E95">
        <w:rPr>
          <w:rFonts w:asciiTheme="minorHAnsi" w:eastAsiaTheme="minorHAnsi" w:hAnsiTheme="minorHAnsi" w:cstheme="minorHAnsi"/>
          <w:b/>
          <w:bCs/>
          <w:color w:val="000000"/>
          <w:sz w:val="22"/>
          <w:szCs w:val="22"/>
        </w:rPr>
        <w:t>No Consensus</w:t>
      </w:r>
      <w:r w:rsidRPr="009D2E95">
        <w:rPr>
          <w:rFonts w:asciiTheme="minorHAnsi" w:eastAsiaTheme="minorHAnsi" w:hAnsiTheme="minorHAnsi" w:cstheme="minorHAnsi"/>
          <w:color w:val="000000"/>
          <w:sz w:val="22"/>
          <w:szCs w:val="22"/>
        </w:rPr>
        <w:t xml:space="preserve">, an effort should be made to document that variance in viewpoint and to present any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that may have been made. Documentation of </w:t>
      </w:r>
      <w:r w:rsidRPr="009D2E95">
        <w:rPr>
          <w:rFonts w:asciiTheme="minorHAnsi" w:eastAsiaTheme="minorHAnsi" w:hAnsiTheme="minorHAnsi" w:cstheme="minorHAnsi"/>
          <w:b/>
          <w:bCs/>
          <w:color w:val="000000"/>
          <w:sz w:val="22"/>
          <w:szCs w:val="22"/>
        </w:rPr>
        <w:t xml:space="preserve">Minority View </w:t>
      </w:r>
      <w:r w:rsidRPr="009D2E95">
        <w:rPr>
          <w:rFonts w:asciiTheme="minorHAnsi" w:eastAsiaTheme="minorHAnsi" w:hAnsiTheme="minorHAnsi" w:cstheme="minorHAnsi"/>
          <w:color w:val="000000"/>
          <w:sz w:val="22"/>
          <w:szCs w:val="22"/>
        </w:rPr>
        <w:t xml:space="preserve">recommendations normally depends on text offered by the proponent(s). In all cases of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the WG Chair should encourage the submission of minority viewpoint(s). </w:t>
      </w:r>
    </w:p>
    <w:p w14:paraId="78713A3E"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p>
    <w:p w14:paraId="0A9B2FA8" w14:textId="77777777" w:rsidR="00E13ABC" w:rsidRDefault="00E13ABC" w:rsidP="00E13ABC">
      <w:pPr>
        <w:autoSpaceDE w:val="0"/>
        <w:autoSpaceDN w:val="0"/>
        <w:adjustRightInd w:val="0"/>
        <w:rPr>
          <w:rFonts w:asciiTheme="minorHAnsi" w:eastAsiaTheme="minorHAnsi" w:hAnsiTheme="minorHAnsi" w:cstheme="minorHAnsi"/>
          <w:color w:val="000000"/>
          <w:sz w:val="22"/>
          <w:szCs w:val="22"/>
        </w:rPr>
      </w:pPr>
    </w:p>
    <w:p w14:paraId="2E5B0FBD" w14:textId="457CF9FB"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lastRenderedPageBreak/>
        <w:t xml:space="preserve">The recommended method for discovering the consensus level designation on recommendations should work as follows: </w:t>
      </w:r>
    </w:p>
    <w:p w14:paraId="7677868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an issue long enough for all issues to have been raised, understood and discussed, the Chair, or Co-Chairs, make an evaluation of the designation and publish it for the group to review. </w:t>
      </w:r>
    </w:p>
    <w:p w14:paraId="62718E3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After the group has discussed the Chair's estimation of designation, the Chair, or Co-Chairs, should reevaluate and publish an updated evaluation. </w:t>
      </w:r>
    </w:p>
    <w:p w14:paraId="396A8ADC"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sz w:val="22"/>
          <w:szCs w:val="22"/>
        </w:rPr>
        <w:t>Steps (</w:t>
      </w:r>
      <w:proofErr w:type="spellStart"/>
      <w:r w:rsidRPr="009D2E95">
        <w:rPr>
          <w:rFonts w:asciiTheme="minorHAnsi" w:eastAsiaTheme="minorHAnsi" w:hAnsiTheme="minorHAnsi" w:cstheme="minorHAnsi"/>
          <w:sz w:val="22"/>
          <w:szCs w:val="22"/>
        </w:rPr>
        <w:t>i</w:t>
      </w:r>
      <w:proofErr w:type="spellEnd"/>
      <w:r w:rsidRPr="009D2E95">
        <w:rPr>
          <w:rFonts w:asciiTheme="minorHAnsi" w:eastAsiaTheme="minorHAnsi" w:hAnsiTheme="minorHAnsi" w:cstheme="minorHAnsi"/>
          <w:sz w:val="22"/>
          <w:szCs w:val="22"/>
        </w:rPr>
        <w:t xml:space="preserve">) and (ii) should continue until the Chair/Co-Chairs make an evaluation that is accepted by the group. </w:t>
      </w:r>
    </w:p>
    <w:p w14:paraId="475DE573" w14:textId="77777777" w:rsidR="00E13ABC" w:rsidRPr="009D2E95" w:rsidRDefault="00E13ABC" w:rsidP="00FF10EF">
      <w:pPr>
        <w:pStyle w:val="ListParagraph"/>
        <w:numPr>
          <w:ilvl w:val="0"/>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iv. In rare case, a Chair may decide that the use of polls is reasonable. Some of the reasons for this might be: </w:t>
      </w:r>
    </w:p>
    <w:p w14:paraId="78384A36" w14:textId="77777777" w:rsidR="00E13ABC" w:rsidRPr="009D2E95" w:rsidRDefault="00E13ABC" w:rsidP="00FF10EF">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A decision needs to be made within a time frame that does not allow for the natural process of iteration and settling on a designation to occur. </w:t>
      </w:r>
    </w:p>
    <w:p w14:paraId="2283E6DD" w14:textId="77777777" w:rsidR="00E13ABC" w:rsidRPr="009D2E95" w:rsidRDefault="00E13ABC" w:rsidP="00FF10EF">
      <w:pPr>
        <w:pStyle w:val="ListParagraph"/>
        <w:numPr>
          <w:ilvl w:val="1"/>
          <w:numId w:val="26"/>
        </w:numPr>
        <w:autoSpaceDE w:val="0"/>
        <w:autoSpaceDN w:val="0"/>
        <w:adjustRightInd w:val="0"/>
        <w:spacing w:before="120" w:beforeAutospacing="0" w:after="0" w:afterAutospacing="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It becomes obvious after several iterations that it is impossible to arrive at a designation. This will happen most often when trying to discriminate between </w:t>
      </w:r>
      <w:r w:rsidRPr="009D2E95">
        <w:rPr>
          <w:rFonts w:asciiTheme="minorHAnsi" w:eastAsiaTheme="minorHAnsi" w:hAnsiTheme="minorHAnsi" w:cstheme="minorHAnsi"/>
          <w:b/>
          <w:bCs/>
          <w:color w:val="000000"/>
          <w:sz w:val="22"/>
          <w:szCs w:val="22"/>
        </w:rPr>
        <w:t xml:space="preserve">Consensus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or between </w:t>
      </w:r>
      <w:r w:rsidRPr="009D2E95">
        <w:rPr>
          <w:rFonts w:asciiTheme="minorHAnsi" w:eastAsiaTheme="minorHAnsi" w:hAnsiTheme="minorHAnsi" w:cstheme="minorHAnsi"/>
          <w:b/>
          <w:bCs/>
          <w:color w:val="000000"/>
          <w:sz w:val="22"/>
          <w:szCs w:val="22"/>
        </w:rPr>
        <w:t xml:space="preserve">Strong support but Significant Opposition </w:t>
      </w:r>
      <w:r w:rsidRPr="009D2E95">
        <w:rPr>
          <w:rFonts w:asciiTheme="minorHAnsi" w:eastAsiaTheme="minorHAnsi" w:hAnsiTheme="minorHAnsi" w:cstheme="minorHAnsi"/>
          <w:color w:val="000000"/>
          <w:sz w:val="22"/>
          <w:szCs w:val="22"/>
        </w:rPr>
        <w:t xml:space="preserve">and </w:t>
      </w:r>
      <w:r w:rsidRPr="009D2E95">
        <w:rPr>
          <w:rFonts w:asciiTheme="minorHAnsi" w:eastAsiaTheme="minorHAnsi" w:hAnsiTheme="minorHAnsi" w:cstheme="minorHAnsi"/>
          <w:b/>
          <w:bCs/>
          <w:color w:val="000000"/>
          <w:sz w:val="22"/>
          <w:szCs w:val="22"/>
        </w:rPr>
        <w:t xml:space="preserve">Divergence. </w:t>
      </w:r>
    </w:p>
    <w:p w14:paraId="668EFEAE" w14:textId="77777777" w:rsidR="00FF10EF" w:rsidRDefault="00FF10EF" w:rsidP="00E13ABC">
      <w:pPr>
        <w:autoSpaceDE w:val="0"/>
        <w:autoSpaceDN w:val="0"/>
        <w:adjustRightInd w:val="0"/>
        <w:rPr>
          <w:rFonts w:asciiTheme="minorHAnsi" w:eastAsiaTheme="minorHAnsi" w:hAnsiTheme="minorHAnsi" w:cstheme="minorHAnsi"/>
          <w:color w:val="000000"/>
          <w:sz w:val="22"/>
          <w:szCs w:val="22"/>
        </w:rPr>
      </w:pPr>
    </w:p>
    <w:p w14:paraId="393C7FD5" w14:textId="77777777" w:rsidR="00E13ABC" w:rsidRPr="009D2E95" w:rsidRDefault="00E13ABC" w:rsidP="00E13ABC">
      <w:pPr>
        <w:autoSpaceDE w:val="0"/>
        <w:autoSpaceDN w:val="0"/>
        <w:adjustRightInd w:val="0"/>
        <w:rPr>
          <w:rFonts w:asciiTheme="minorHAnsi" w:eastAsiaTheme="minorHAnsi" w:hAnsiTheme="minorHAnsi" w:cstheme="minorHAnsi"/>
          <w:color w:val="000000"/>
          <w:sz w:val="22"/>
          <w:szCs w:val="22"/>
        </w:rPr>
      </w:pPr>
      <w:r w:rsidRPr="009D2E95">
        <w:rPr>
          <w:rFonts w:asciiTheme="minorHAnsi" w:eastAsiaTheme="minorHAnsi" w:hAnsiTheme="minorHAnsi" w:cstheme="minorHAnsi"/>
          <w:color w:val="000000"/>
          <w:sz w:val="22"/>
          <w:szCs w:val="22"/>
        </w:rPr>
        <w:t xml:space="preserve">Care should be taken in using polls that they do not become votes. A liability with the use of polls is that, in situations where there is </w:t>
      </w:r>
      <w:r w:rsidRPr="009D2E95">
        <w:rPr>
          <w:rFonts w:asciiTheme="minorHAnsi" w:eastAsiaTheme="minorHAnsi" w:hAnsiTheme="minorHAnsi" w:cstheme="minorHAnsi"/>
          <w:b/>
          <w:bCs/>
          <w:color w:val="000000"/>
          <w:sz w:val="22"/>
          <w:szCs w:val="22"/>
        </w:rPr>
        <w:t xml:space="preserve">Divergence </w:t>
      </w:r>
      <w:r w:rsidRPr="009D2E95">
        <w:rPr>
          <w:rFonts w:asciiTheme="minorHAnsi" w:eastAsiaTheme="minorHAnsi" w:hAnsiTheme="minorHAnsi" w:cstheme="minorHAnsi"/>
          <w:color w:val="000000"/>
          <w:sz w:val="22"/>
          <w:szCs w:val="22"/>
        </w:rPr>
        <w:t xml:space="preserve">or </w:t>
      </w:r>
      <w:r w:rsidRPr="009D2E95">
        <w:rPr>
          <w:rFonts w:asciiTheme="minorHAnsi" w:eastAsiaTheme="minorHAnsi" w:hAnsiTheme="minorHAnsi" w:cstheme="minorHAnsi"/>
          <w:b/>
          <w:bCs/>
          <w:color w:val="000000"/>
          <w:sz w:val="22"/>
          <w:szCs w:val="22"/>
        </w:rPr>
        <w:t>Strong Opposition</w:t>
      </w:r>
      <w:r w:rsidRPr="009D2E95">
        <w:rPr>
          <w:rFonts w:asciiTheme="minorHAnsi" w:eastAsiaTheme="minorHAnsi" w:hAnsiTheme="minorHAnsi" w:cstheme="minorHAnsi"/>
          <w:color w:val="000000"/>
          <w:sz w:val="22"/>
          <w:szCs w:val="22"/>
        </w:rPr>
        <w:t xml:space="preserve">, there are often disagreements about the meanings of the poll questions or of the poll results. </w:t>
      </w:r>
    </w:p>
    <w:p w14:paraId="6100D629" w14:textId="77777777" w:rsidR="00E13ABC" w:rsidRPr="009D2E95" w:rsidRDefault="00E13ABC" w:rsidP="00E13ABC">
      <w:pPr>
        <w:pStyle w:val="Default0"/>
        <w:rPr>
          <w:rFonts w:asciiTheme="minorHAnsi" w:hAnsiTheme="minorHAnsi" w:cstheme="minorHAnsi"/>
          <w:sz w:val="22"/>
          <w:szCs w:val="22"/>
        </w:rPr>
      </w:pPr>
    </w:p>
    <w:p w14:paraId="7824BD2E" w14:textId="77777777" w:rsidR="00E13ABC" w:rsidRPr="009D2E95" w:rsidRDefault="00E13ABC" w:rsidP="00E13ABC">
      <w:pPr>
        <w:pStyle w:val="Default0"/>
        <w:rPr>
          <w:rFonts w:asciiTheme="minorHAnsi" w:hAnsiTheme="minorHAnsi" w:cstheme="minorHAnsi"/>
          <w:sz w:val="22"/>
          <w:szCs w:val="22"/>
        </w:rPr>
      </w:pPr>
      <w:r w:rsidRPr="009D2E95">
        <w:rPr>
          <w:rFonts w:asciiTheme="minorHAnsi" w:hAnsiTheme="minorHAnsi" w:cstheme="minorHAnsi"/>
          <w:sz w:val="22"/>
          <w:szCs w:val="22"/>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7A8932" w14:textId="77777777" w:rsidR="00E13ABC" w:rsidRPr="009D2E95" w:rsidRDefault="00E13ABC" w:rsidP="00E13ABC">
      <w:pPr>
        <w:rPr>
          <w:rFonts w:asciiTheme="minorHAnsi" w:hAnsiTheme="minorHAnsi" w:cstheme="minorHAnsi"/>
          <w:b/>
          <w:sz w:val="22"/>
          <w:szCs w:val="22"/>
        </w:rPr>
      </w:pPr>
    </w:p>
    <w:p w14:paraId="5BEE03D3" w14:textId="77777777" w:rsidR="00E13ABC" w:rsidRPr="009D2E95" w:rsidRDefault="00E13ABC" w:rsidP="00E13ABC">
      <w:pPr>
        <w:rPr>
          <w:rFonts w:asciiTheme="minorHAnsi" w:hAnsiTheme="minorHAnsi" w:cstheme="minorHAnsi"/>
          <w:b/>
          <w:sz w:val="22"/>
          <w:szCs w:val="22"/>
        </w:rPr>
      </w:pPr>
      <w:r w:rsidRPr="009D2E95">
        <w:rPr>
          <w:rFonts w:asciiTheme="minorHAnsi" w:hAnsiTheme="minorHAnsi" w:cstheme="minorHAnsi"/>
          <w:b/>
          <w:sz w:val="22"/>
          <w:szCs w:val="22"/>
        </w:rPr>
        <w:t>[…]</w:t>
      </w:r>
    </w:p>
    <w:p w14:paraId="5515AC7D" w14:textId="77777777" w:rsidR="00E13ABC" w:rsidRPr="009D2E95" w:rsidRDefault="00E13ABC" w:rsidP="00E13ABC">
      <w:pPr>
        <w:rPr>
          <w:rFonts w:asciiTheme="minorHAnsi" w:hAnsiTheme="minorHAnsi" w:cstheme="minorHAnsi"/>
          <w:b/>
          <w:sz w:val="22"/>
          <w:szCs w:val="22"/>
        </w:rPr>
      </w:pPr>
    </w:p>
    <w:p w14:paraId="3B871466" w14:textId="77777777" w:rsidR="00E13ABC" w:rsidRPr="009D2E95" w:rsidRDefault="00E13ABC" w:rsidP="00E13ABC">
      <w:pPr>
        <w:rPr>
          <w:rFonts w:asciiTheme="minorHAnsi" w:hAnsiTheme="minorHAnsi" w:cstheme="minorHAnsi"/>
          <w:b/>
          <w:sz w:val="22"/>
          <w:szCs w:val="22"/>
        </w:rPr>
      </w:pPr>
      <w:r w:rsidRPr="009D2E95">
        <w:rPr>
          <w:rFonts w:asciiTheme="minorHAnsi" w:hAnsiTheme="minorHAnsi" w:cstheme="minorHAnsi"/>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w:t>
      </w:r>
    </w:p>
    <w:p w14:paraId="6FED7972" w14:textId="43B2ADBF" w:rsidR="00E13ABC" w:rsidRPr="00CE64F1" w:rsidRDefault="00E13ABC" w:rsidP="00E13ABC">
      <w:pPr>
        <w:rPr>
          <w:rFonts w:asciiTheme="minorHAnsi" w:hAnsiTheme="minorHAnsi" w:cstheme="minorHAnsi"/>
          <w:b/>
          <w:sz w:val="21"/>
          <w:szCs w:val="21"/>
        </w:rPr>
      </w:pPr>
    </w:p>
    <w:p w14:paraId="777205C6" w14:textId="19EF24FA" w:rsidR="005B49C4" w:rsidRDefault="005B49C4" w:rsidP="00984AF3">
      <w:pPr>
        <w:spacing w:before="60"/>
        <w:rPr>
          <w:rFonts w:asciiTheme="minorHAnsi" w:hAnsiTheme="minorHAnsi" w:cstheme="minorHAnsi"/>
          <w:color w:val="000000" w:themeColor="text1"/>
          <w:sz w:val="21"/>
          <w:szCs w:val="21"/>
        </w:rPr>
      </w:pPr>
    </w:p>
    <w:sectPr w:rsidR="005B49C4" w:rsidSect="006E4F8E">
      <w:footerReference w:type="even" r:id="rId7"/>
      <w:footerReference w:type="default" r:id="rId8"/>
      <w:foot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A1547" w14:textId="77777777" w:rsidR="00D36EC6" w:rsidRDefault="00D36EC6" w:rsidP="008D70B6">
      <w:r>
        <w:separator/>
      </w:r>
    </w:p>
  </w:endnote>
  <w:endnote w:type="continuationSeparator" w:id="0">
    <w:p w14:paraId="4C43359C" w14:textId="77777777" w:rsidR="00D36EC6" w:rsidRDefault="00D36EC6" w:rsidP="008D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24CC" w14:textId="77777777" w:rsidR="008D70B6" w:rsidRDefault="008D70B6"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6969A0" w14:textId="77777777" w:rsidR="008D70B6" w:rsidRDefault="008D70B6" w:rsidP="008D70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570B" w14:textId="77777777" w:rsidR="008D70B6" w:rsidRPr="00A21BD2" w:rsidRDefault="008D70B6" w:rsidP="00602CC8">
    <w:pPr>
      <w:pStyle w:val="Footer"/>
      <w:framePr w:wrap="none" w:vAnchor="text" w:hAnchor="margin" w:xAlign="right" w:y="1"/>
      <w:rPr>
        <w:rStyle w:val="PageNumber"/>
        <w:rFonts w:asciiTheme="minorHAnsi" w:hAnsiTheme="minorHAnsi" w:cstheme="minorHAnsi"/>
        <w:sz w:val="18"/>
        <w:szCs w:val="18"/>
      </w:rPr>
    </w:pPr>
    <w:r w:rsidRPr="00A21BD2">
      <w:rPr>
        <w:rStyle w:val="PageNumber"/>
        <w:rFonts w:asciiTheme="minorHAnsi" w:hAnsiTheme="minorHAnsi" w:cstheme="minorHAnsi"/>
        <w:sz w:val="18"/>
        <w:szCs w:val="18"/>
      </w:rPr>
      <w:fldChar w:fldCharType="begin"/>
    </w:r>
    <w:r w:rsidRPr="00A21BD2">
      <w:rPr>
        <w:rStyle w:val="PageNumber"/>
        <w:rFonts w:asciiTheme="minorHAnsi" w:hAnsiTheme="minorHAnsi" w:cstheme="minorHAnsi"/>
        <w:sz w:val="18"/>
        <w:szCs w:val="18"/>
      </w:rPr>
      <w:instrText xml:space="preserve">PAGE  </w:instrText>
    </w:r>
    <w:r w:rsidRPr="00A21BD2">
      <w:rPr>
        <w:rStyle w:val="PageNumber"/>
        <w:rFonts w:asciiTheme="minorHAnsi" w:hAnsiTheme="minorHAnsi" w:cstheme="minorHAnsi"/>
        <w:sz w:val="18"/>
        <w:szCs w:val="18"/>
      </w:rPr>
      <w:fldChar w:fldCharType="separate"/>
    </w:r>
    <w:r w:rsidR="00507051">
      <w:rPr>
        <w:rStyle w:val="PageNumber"/>
        <w:rFonts w:asciiTheme="minorHAnsi" w:hAnsiTheme="minorHAnsi" w:cstheme="minorHAnsi"/>
        <w:noProof/>
        <w:sz w:val="18"/>
        <w:szCs w:val="18"/>
      </w:rPr>
      <w:t>2</w:t>
    </w:r>
    <w:r w:rsidRPr="00A21BD2">
      <w:rPr>
        <w:rStyle w:val="PageNumber"/>
        <w:rFonts w:asciiTheme="minorHAnsi" w:hAnsiTheme="minorHAnsi" w:cstheme="minorHAnsi"/>
        <w:sz w:val="18"/>
        <w:szCs w:val="18"/>
      </w:rPr>
      <w:fldChar w:fldCharType="end"/>
    </w:r>
  </w:p>
  <w:p w14:paraId="2A845BD9" w14:textId="77777777" w:rsidR="008D70B6" w:rsidRDefault="008D70B6" w:rsidP="008D70B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D57A" w14:textId="2196AF35" w:rsidR="000B4740" w:rsidRDefault="000B4740">
    <w:pPr>
      <w:pStyle w:val="Footer"/>
    </w:pPr>
  </w:p>
  <w:p w14:paraId="4D4E5204" w14:textId="260ED1E3" w:rsidR="000B4740" w:rsidRDefault="000B4740">
    <w:pPr>
      <w:pStyle w:val="Footer"/>
    </w:pPr>
  </w:p>
  <w:p w14:paraId="5C448FD2" w14:textId="77777777" w:rsidR="000B4740" w:rsidRDefault="000B47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A37B5" w14:textId="77777777" w:rsidR="00D36EC6" w:rsidRDefault="00D36EC6" w:rsidP="008D70B6">
      <w:r>
        <w:separator/>
      </w:r>
    </w:p>
  </w:footnote>
  <w:footnote w:type="continuationSeparator" w:id="0">
    <w:p w14:paraId="07788025" w14:textId="77777777" w:rsidR="00D36EC6" w:rsidRDefault="00D36EC6" w:rsidP="008D70B6">
      <w:r>
        <w:continuationSeparator/>
      </w:r>
    </w:p>
  </w:footnote>
  <w:footnote w:id="1">
    <w:p w14:paraId="0458F2CB" w14:textId="77777777" w:rsidR="00E13ABC" w:rsidRPr="00867F73" w:rsidRDefault="00E13ABC" w:rsidP="00E13ABC">
      <w:pPr>
        <w:autoSpaceDE w:val="0"/>
        <w:autoSpaceDN w:val="0"/>
        <w:adjustRightInd w:val="0"/>
        <w:rPr>
          <w:rFonts w:asciiTheme="minorHAnsi" w:eastAsiaTheme="minorHAnsi" w:hAnsiTheme="minorHAnsi" w:cstheme="minorHAnsi"/>
          <w:color w:val="000000"/>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The designations “Full consensus,” “Consensus,” and “Strong support but significant opposition” may also be used to signify levels of “consensus against” a particular recommendation if the consensus position of the Working Group warrants it. If this is the case, any “Minority View” will be in favor of the particular recommendation. It is expected that designations of “consensus against” will be rare and Working Groups are encouraged to draft (and revise) recommendations so that a level of consensus can be expressed “for” rather than “against” a recommendation. However, it is recognized that there can be times when a “consensus against” designation is both appropriate and unavoidable as a practical matter. A “consensus against” position should be distinguished from a position of “Divergence” (or “No Consensus”), which is applied where no consensus has emerged either for or against a recommendation (i.e., the consensus level of the Working Group cannot be described as “Full consensus,” “Consensus” or “Strong support but significant opposition” either for or against a recommendation). </w:t>
      </w:r>
    </w:p>
  </w:footnote>
  <w:footnote w:id="2">
    <w:p w14:paraId="63670A45" w14:textId="77777777" w:rsidR="00E13ABC" w:rsidRPr="00867F73" w:rsidRDefault="00E13ABC" w:rsidP="00E13ABC">
      <w:pPr>
        <w:pStyle w:val="FootnoteText"/>
        <w:rPr>
          <w:rFonts w:asciiTheme="minorHAnsi" w:hAnsiTheme="minorHAnsi" w:cstheme="minorHAnsi"/>
          <w:sz w:val="18"/>
          <w:szCs w:val="18"/>
        </w:rPr>
      </w:pPr>
      <w:r w:rsidRPr="00867F73">
        <w:rPr>
          <w:rStyle w:val="FootnoteReference"/>
          <w:rFonts w:asciiTheme="minorHAnsi" w:hAnsiTheme="minorHAnsi" w:cstheme="minorHAnsi"/>
          <w:sz w:val="18"/>
          <w:szCs w:val="18"/>
        </w:rPr>
        <w:footnoteRef/>
      </w:r>
      <w:r w:rsidRPr="00867F73">
        <w:rPr>
          <w:rFonts w:asciiTheme="minorHAnsi" w:hAnsiTheme="minorHAnsi" w:cstheme="minorHAnsi"/>
          <w:sz w:val="18"/>
          <w:szCs w:val="18"/>
        </w:rPr>
        <w:t xml:space="preserve"> </w:t>
      </w:r>
      <w:r w:rsidRPr="00867F73">
        <w:rPr>
          <w:rFonts w:asciiTheme="minorHAnsi" w:eastAsiaTheme="minorHAnsi" w:hAnsiTheme="minorHAnsi" w:cstheme="minorHAnsi"/>
          <w:color w:val="000000"/>
          <w:sz w:val="18"/>
          <w:szCs w:val="18"/>
        </w:rPr>
        <w:t xml:space="preserve">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7394EB"/>
    <w:multiLevelType w:val="hybridMultilevel"/>
    <w:tmpl w:val="293D16A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5F35EB8"/>
    <w:multiLevelType w:val="hybridMultilevel"/>
    <w:tmpl w:val="C2ECF62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96903"/>
    <w:multiLevelType w:val="hybridMultilevel"/>
    <w:tmpl w:val="7B8C5004"/>
    <w:lvl w:ilvl="0" w:tplc="C59C7B58">
      <w:start w:val="1"/>
      <w:numFmt w:val="decimal"/>
      <w:lvlText w:val="%1."/>
      <w:lvlJc w:val="left"/>
      <w:pPr>
        <w:ind w:left="920" w:hanging="9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5A7A4F"/>
    <w:multiLevelType w:val="hybridMultilevel"/>
    <w:tmpl w:val="E5709D14"/>
    <w:lvl w:ilvl="0" w:tplc="9644322A">
      <w:start w:val="1"/>
      <w:numFmt w:val="decimal"/>
      <w:lvlText w:val="%1."/>
      <w:lvlJc w:val="left"/>
      <w:pPr>
        <w:ind w:left="720" w:hanging="360"/>
      </w:pPr>
      <w:rPr>
        <w:rFonts w:ascii="Calibri" w:hAnsi="Calibri" w:cs="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04D00"/>
    <w:multiLevelType w:val="hybridMultilevel"/>
    <w:tmpl w:val="05D04A00"/>
    <w:lvl w:ilvl="0" w:tplc="121031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16140B"/>
    <w:multiLevelType w:val="hybridMultilevel"/>
    <w:tmpl w:val="EBAE1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FF6B3D"/>
    <w:multiLevelType w:val="multilevel"/>
    <w:tmpl w:val="B60C8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D0FF4FE"/>
    <w:multiLevelType w:val="hybridMultilevel"/>
    <w:tmpl w:val="305C8FD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D621B9"/>
    <w:multiLevelType w:val="hybridMultilevel"/>
    <w:tmpl w:val="6AC81928"/>
    <w:lvl w:ilvl="0" w:tplc="15F6F776">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847B5"/>
    <w:multiLevelType w:val="multilevel"/>
    <w:tmpl w:val="3B7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E7908"/>
    <w:multiLevelType w:val="multilevel"/>
    <w:tmpl w:val="D6540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4924D58"/>
    <w:multiLevelType w:val="hybridMultilevel"/>
    <w:tmpl w:val="C480EB1C"/>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8D596"/>
    <w:multiLevelType w:val="hybridMultilevel"/>
    <w:tmpl w:val="C2641AEE"/>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00F09D1"/>
    <w:multiLevelType w:val="multilevel"/>
    <w:tmpl w:val="A5D8B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E77244"/>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D646CF"/>
    <w:multiLevelType w:val="hybridMultilevel"/>
    <w:tmpl w:val="8070DA3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2A6E92"/>
    <w:multiLevelType w:val="hybridMultilevel"/>
    <w:tmpl w:val="4706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3975CE"/>
    <w:multiLevelType w:val="multilevel"/>
    <w:tmpl w:val="551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1916B2"/>
    <w:multiLevelType w:val="hybridMultilevel"/>
    <w:tmpl w:val="2788E200"/>
    <w:lvl w:ilvl="0" w:tplc="B9E28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10D5A"/>
    <w:multiLevelType w:val="hybridMultilevel"/>
    <w:tmpl w:val="C7A22E64"/>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F1344"/>
    <w:multiLevelType w:val="hybridMultilevel"/>
    <w:tmpl w:val="A5D8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664FD"/>
    <w:multiLevelType w:val="hybridMultilevel"/>
    <w:tmpl w:val="16006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4C73AB"/>
    <w:multiLevelType w:val="hybridMultilevel"/>
    <w:tmpl w:val="1252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94B2D"/>
    <w:multiLevelType w:val="hybridMultilevel"/>
    <w:tmpl w:val="F33CDFCC"/>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14E26"/>
    <w:multiLevelType w:val="hybridMultilevel"/>
    <w:tmpl w:val="4B30E2B4"/>
    <w:lvl w:ilvl="0" w:tplc="D966962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7B5C4B"/>
    <w:multiLevelType w:val="hybridMultilevel"/>
    <w:tmpl w:val="F7028B8E"/>
    <w:lvl w:ilvl="0" w:tplc="C47A15FE">
      <w:start w:val="1"/>
      <w:numFmt w:val="bullet"/>
      <w:lvlText w:val="-"/>
      <w:lvlJc w:val="left"/>
      <w:pPr>
        <w:ind w:left="0" w:hanging="360"/>
      </w:pPr>
      <w:rPr>
        <w:rFonts w:ascii="Calibri" w:eastAsia="Times New Roman" w:hAnsi="Calibri" w:cs="Calibri" w:hint="default"/>
        <w:sz w:val="2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4EA24FDA"/>
    <w:multiLevelType w:val="hybridMultilevel"/>
    <w:tmpl w:val="24F8A610"/>
    <w:lvl w:ilvl="0" w:tplc="9644322A">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51093"/>
    <w:multiLevelType w:val="hybridMultilevel"/>
    <w:tmpl w:val="180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013FE8"/>
    <w:multiLevelType w:val="hybridMultilevel"/>
    <w:tmpl w:val="AE7C761E"/>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05443"/>
    <w:multiLevelType w:val="hybridMultilevel"/>
    <w:tmpl w:val="1FBA65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A97936"/>
    <w:multiLevelType w:val="hybridMultilevel"/>
    <w:tmpl w:val="BE40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430159"/>
    <w:multiLevelType w:val="hybridMultilevel"/>
    <w:tmpl w:val="D33C4FE0"/>
    <w:lvl w:ilvl="0" w:tplc="E236C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0"/>
  </w:num>
  <w:num w:numId="3">
    <w:abstractNumId w:val="30"/>
  </w:num>
  <w:num w:numId="4">
    <w:abstractNumId w:val="27"/>
  </w:num>
  <w:num w:numId="5">
    <w:abstractNumId w:val="26"/>
  </w:num>
  <w:num w:numId="6">
    <w:abstractNumId w:val="3"/>
  </w:num>
  <w:num w:numId="7">
    <w:abstractNumId w:val="11"/>
  </w:num>
  <w:num w:numId="8">
    <w:abstractNumId w:val="32"/>
  </w:num>
  <w:num w:numId="9">
    <w:abstractNumId w:val="13"/>
  </w:num>
  <w:num w:numId="10">
    <w:abstractNumId w:val="19"/>
  </w:num>
  <w:num w:numId="11">
    <w:abstractNumId w:val="28"/>
  </w:num>
  <w:num w:numId="12">
    <w:abstractNumId w:val="15"/>
  </w:num>
  <w:num w:numId="13">
    <w:abstractNumId w:val="6"/>
  </w:num>
  <w:num w:numId="14">
    <w:abstractNumId w:val="18"/>
  </w:num>
  <w:num w:numId="15">
    <w:abstractNumId w:val="16"/>
  </w:num>
  <w:num w:numId="16">
    <w:abstractNumId w:val="2"/>
  </w:num>
  <w:num w:numId="17">
    <w:abstractNumId w:val="10"/>
  </w:num>
  <w:num w:numId="18">
    <w:abstractNumId w:val="17"/>
  </w:num>
  <w:num w:numId="19">
    <w:abstractNumId w:val="21"/>
  </w:num>
  <w:num w:numId="20">
    <w:abstractNumId w:val="25"/>
  </w:num>
  <w:num w:numId="21">
    <w:abstractNumId w:val="9"/>
  </w:num>
  <w:num w:numId="22">
    <w:abstractNumId w:val="12"/>
  </w:num>
  <w:num w:numId="23">
    <w:abstractNumId w:val="1"/>
  </w:num>
  <w:num w:numId="24">
    <w:abstractNumId w:val="0"/>
  </w:num>
  <w:num w:numId="25">
    <w:abstractNumId w:val="7"/>
  </w:num>
  <w:num w:numId="26">
    <w:abstractNumId w:val="8"/>
  </w:num>
  <w:num w:numId="27">
    <w:abstractNumId w:val="5"/>
  </w:num>
  <w:num w:numId="28">
    <w:abstractNumId w:val="31"/>
  </w:num>
  <w:num w:numId="29">
    <w:abstractNumId w:val="4"/>
  </w:num>
  <w:num w:numId="30">
    <w:abstractNumId w:val="24"/>
  </w:num>
  <w:num w:numId="31">
    <w:abstractNumId w:val="14"/>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A"/>
    <w:rsid w:val="000016CF"/>
    <w:rsid w:val="0001169A"/>
    <w:rsid w:val="0004791C"/>
    <w:rsid w:val="0007202D"/>
    <w:rsid w:val="00077042"/>
    <w:rsid w:val="000928B4"/>
    <w:rsid w:val="0009433F"/>
    <w:rsid w:val="000B4158"/>
    <w:rsid w:val="000B4740"/>
    <w:rsid w:val="000B7A30"/>
    <w:rsid w:val="000C6B71"/>
    <w:rsid w:val="000D1B6E"/>
    <w:rsid w:val="000E6897"/>
    <w:rsid w:val="000F5A46"/>
    <w:rsid w:val="001008AA"/>
    <w:rsid w:val="0012573C"/>
    <w:rsid w:val="001824C0"/>
    <w:rsid w:val="001979EB"/>
    <w:rsid w:val="001A25CF"/>
    <w:rsid w:val="001A26B4"/>
    <w:rsid w:val="001A38A7"/>
    <w:rsid w:val="001E03B0"/>
    <w:rsid w:val="001F0263"/>
    <w:rsid w:val="001F0CEB"/>
    <w:rsid w:val="00230F24"/>
    <w:rsid w:val="0024529D"/>
    <w:rsid w:val="00246C3B"/>
    <w:rsid w:val="002525B8"/>
    <w:rsid w:val="00261CDC"/>
    <w:rsid w:val="00272C26"/>
    <w:rsid w:val="002858A3"/>
    <w:rsid w:val="002A5B35"/>
    <w:rsid w:val="002B398A"/>
    <w:rsid w:val="002D1F11"/>
    <w:rsid w:val="002E1BAC"/>
    <w:rsid w:val="00304A26"/>
    <w:rsid w:val="00344AF4"/>
    <w:rsid w:val="00385D74"/>
    <w:rsid w:val="00387025"/>
    <w:rsid w:val="003D2B33"/>
    <w:rsid w:val="00400221"/>
    <w:rsid w:val="004052D4"/>
    <w:rsid w:val="004235D7"/>
    <w:rsid w:val="00460543"/>
    <w:rsid w:val="00464228"/>
    <w:rsid w:val="004654E5"/>
    <w:rsid w:val="004A1259"/>
    <w:rsid w:val="004D4375"/>
    <w:rsid w:val="004E4C8E"/>
    <w:rsid w:val="0050267A"/>
    <w:rsid w:val="00507051"/>
    <w:rsid w:val="00526B1F"/>
    <w:rsid w:val="005308E1"/>
    <w:rsid w:val="005B49C4"/>
    <w:rsid w:val="005C54C7"/>
    <w:rsid w:val="005D2BE8"/>
    <w:rsid w:val="005E5640"/>
    <w:rsid w:val="005F102F"/>
    <w:rsid w:val="0063241B"/>
    <w:rsid w:val="00661BA6"/>
    <w:rsid w:val="00667A8C"/>
    <w:rsid w:val="006737F6"/>
    <w:rsid w:val="006A3091"/>
    <w:rsid w:val="006B123A"/>
    <w:rsid w:val="006C04DD"/>
    <w:rsid w:val="006E06C4"/>
    <w:rsid w:val="006E33EA"/>
    <w:rsid w:val="006E4F8E"/>
    <w:rsid w:val="006F4451"/>
    <w:rsid w:val="006F5412"/>
    <w:rsid w:val="0072223E"/>
    <w:rsid w:val="007250F7"/>
    <w:rsid w:val="00735341"/>
    <w:rsid w:val="00735A53"/>
    <w:rsid w:val="00737A83"/>
    <w:rsid w:val="00741A5B"/>
    <w:rsid w:val="00747C21"/>
    <w:rsid w:val="00765F0B"/>
    <w:rsid w:val="007B1673"/>
    <w:rsid w:val="007E5F92"/>
    <w:rsid w:val="007F1FED"/>
    <w:rsid w:val="008030F3"/>
    <w:rsid w:val="00803336"/>
    <w:rsid w:val="00846C93"/>
    <w:rsid w:val="00867F73"/>
    <w:rsid w:val="00885755"/>
    <w:rsid w:val="008A5124"/>
    <w:rsid w:val="008A5602"/>
    <w:rsid w:val="008C20B5"/>
    <w:rsid w:val="008C4599"/>
    <w:rsid w:val="008D70B6"/>
    <w:rsid w:val="008F05DB"/>
    <w:rsid w:val="00907B0A"/>
    <w:rsid w:val="00922268"/>
    <w:rsid w:val="00924D29"/>
    <w:rsid w:val="009701ED"/>
    <w:rsid w:val="00970E43"/>
    <w:rsid w:val="00971646"/>
    <w:rsid w:val="00984AF3"/>
    <w:rsid w:val="0099634F"/>
    <w:rsid w:val="009A6ACD"/>
    <w:rsid w:val="009B2F97"/>
    <w:rsid w:val="009D2E95"/>
    <w:rsid w:val="00A03B55"/>
    <w:rsid w:val="00A104FB"/>
    <w:rsid w:val="00A21BD2"/>
    <w:rsid w:val="00A531F4"/>
    <w:rsid w:val="00A54C3C"/>
    <w:rsid w:val="00AA20FD"/>
    <w:rsid w:val="00AB1497"/>
    <w:rsid w:val="00AB19B3"/>
    <w:rsid w:val="00AB6B63"/>
    <w:rsid w:val="00AC2B1D"/>
    <w:rsid w:val="00AE5394"/>
    <w:rsid w:val="00B007E1"/>
    <w:rsid w:val="00B14544"/>
    <w:rsid w:val="00B20C86"/>
    <w:rsid w:val="00B34569"/>
    <w:rsid w:val="00B75700"/>
    <w:rsid w:val="00B847A9"/>
    <w:rsid w:val="00B92276"/>
    <w:rsid w:val="00BA6DD3"/>
    <w:rsid w:val="00BB7FA6"/>
    <w:rsid w:val="00BC3319"/>
    <w:rsid w:val="00BF3C47"/>
    <w:rsid w:val="00C00455"/>
    <w:rsid w:val="00C2470E"/>
    <w:rsid w:val="00C32B69"/>
    <w:rsid w:val="00C72D8B"/>
    <w:rsid w:val="00C840FE"/>
    <w:rsid w:val="00CA4179"/>
    <w:rsid w:val="00CD12C2"/>
    <w:rsid w:val="00CD2F10"/>
    <w:rsid w:val="00CE64F1"/>
    <w:rsid w:val="00D3291E"/>
    <w:rsid w:val="00D36EC6"/>
    <w:rsid w:val="00D7702A"/>
    <w:rsid w:val="00D822D1"/>
    <w:rsid w:val="00D9360D"/>
    <w:rsid w:val="00DC1A91"/>
    <w:rsid w:val="00DC62E2"/>
    <w:rsid w:val="00DC6FA1"/>
    <w:rsid w:val="00DE04DF"/>
    <w:rsid w:val="00E03996"/>
    <w:rsid w:val="00E13386"/>
    <w:rsid w:val="00E13ABC"/>
    <w:rsid w:val="00E36C69"/>
    <w:rsid w:val="00E53B3D"/>
    <w:rsid w:val="00E61378"/>
    <w:rsid w:val="00E82D1D"/>
    <w:rsid w:val="00E93EA6"/>
    <w:rsid w:val="00EA1D5A"/>
    <w:rsid w:val="00EA4C54"/>
    <w:rsid w:val="00EC0DA2"/>
    <w:rsid w:val="00EC3577"/>
    <w:rsid w:val="00EF35AF"/>
    <w:rsid w:val="00EF7026"/>
    <w:rsid w:val="00F040E2"/>
    <w:rsid w:val="00F10689"/>
    <w:rsid w:val="00F244C0"/>
    <w:rsid w:val="00F41BF4"/>
    <w:rsid w:val="00F462AC"/>
    <w:rsid w:val="00F5175E"/>
    <w:rsid w:val="00F659E8"/>
    <w:rsid w:val="00F80F45"/>
    <w:rsid w:val="00F84449"/>
    <w:rsid w:val="00F90398"/>
    <w:rsid w:val="00FD3E14"/>
    <w:rsid w:val="00FE5FAE"/>
    <w:rsid w:val="00FF10EF"/>
    <w:rsid w:val="00FF1E41"/>
    <w:rsid w:val="00FF77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737A"/>
  <w15:chartTrackingRefBased/>
  <w15:docId w15:val="{3BE002A2-2F27-2740-B018-72D4199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2D1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98A"/>
    <w:pPr>
      <w:spacing w:before="100" w:beforeAutospacing="1" w:after="100" w:afterAutospacing="1"/>
    </w:pPr>
  </w:style>
  <w:style w:type="character" w:customStyle="1" w:styleId="apple-converted-space">
    <w:name w:val="apple-converted-space"/>
    <w:basedOn w:val="DefaultParagraphFont"/>
    <w:rsid w:val="002B398A"/>
  </w:style>
  <w:style w:type="paragraph" w:styleId="NormalWeb">
    <w:name w:val="Normal (Web)"/>
    <w:basedOn w:val="Normal"/>
    <w:uiPriority w:val="99"/>
    <w:semiHidden/>
    <w:unhideWhenUsed/>
    <w:rsid w:val="005308E1"/>
    <w:pPr>
      <w:spacing w:before="100" w:beforeAutospacing="1" w:after="100" w:afterAutospacing="1"/>
    </w:pPr>
  </w:style>
  <w:style w:type="table" w:styleId="TableGrid">
    <w:name w:val="Table Grid"/>
    <w:basedOn w:val="TableNormal"/>
    <w:uiPriority w:val="39"/>
    <w:rsid w:val="00B75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4C8E"/>
    <w:rPr>
      <w:sz w:val="18"/>
      <w:szCs w:val="18"/>
    </w:rPr>
  </w:style>
  <w:style w:type="character" w:customStyle="1" w:styleId="BalloonTextChar">
    <w:name w:val="Balloon Text Char"/>
    <w:basedOn w:val="DefaultParagraphFont"/>
    <w:link w:val="BalloonText"/>
    <w:uiPriority w:val="99"/>
    <w:semiHidden/>
    <w:rsid w:val="004E4C8E"/>
    <w:rPr>
      <w:rFonts w:ascii="Times New Roman" w:hAnsi="Times New Roman" w:cs="Times New Roman"/>
      <w:sz w:val="18"/>
      <w:szCs w:val="18"/>
    </w:rPr>
  </w:style>
  <w:style w:type="paragraph" w:styleId="Footer">
    <w:name w:val="footer"/>
    <w:basedOn w:val="Normal"/>
    <w:link w:val="FooterChar"/>
    <w:uiPriority w:val="99"/>
    <w:unhideWhenUsed/>
    <w:rsid w:val="008D70B6"/>
    <w:pPr>
      <w:tabs>
        <w:tab w:val="center" w:pos="4680"/>
        <w:tab w:val="right" w:pos="9360"/>
      </w:tabs>
    </w:pPr>
  </w:style>
  <w:style w:type="character" w:customStyle="1" w:styleId="FooterChar">
    <w:name w:val="Footer Char"/>
    <w:basedOn w:val="DefaultParagraphFont"/>
    <w:link w:val="Footer"/>
    <w:uiPriority w:val="99"/>
    <w:rsid w:val="008D70B6"/>
  </w:style>
  <w:style w:type="character" w:styleId="PageNumber">
    <w:name w:val="page number"/>
    <w:basedOn w:val="DefaultParagraphFont"/>
    <w:uiPriority w:val="99"/>
    <w:semiHidden/>
    <w:unhideWhenUsed/>
    <w:rsid w:val="008D70B6"/>
  </w:style>
  <w:style w:type="paragraph" w:styleId="Header">
    <w:name w:val="header"/>
    <w:basedOn w:val="Normal"/>
    <w:link w:val="HeaderChar"/>
    <w:uiPriority w:val="99"/>
    <w:unhideWhenUsed/>
    <w:rsid w:val="00F41BF4"/>
    <w:pPr>
      <w:tabs>
        <w:tab w:val="center" w:pos="4680"/>
        <w:tab w:val="right" w:pos="9360"/>
      </w:tabs>
    </w:pPr>
  </w:style>
  <w:style w:type="character" w:customStyle="1" w:styleId="HeaderChar">
    <w:name w:val="Header Char"/>
    <w:basedOn w:val="DefaultParagraphFont"/>
    <w:link w:val="Header"/>
    <w:uiPriority w:val="99"/>
    <w:rsid w:val="00F41BF4"/>
    <w:rPr>
      <w:rFonts w:eastAsiaTheme="minorEastAsia"/>
    </w:rPr>
  </w:style>
  <w:style w:type="character" w:styleId="Hyperlink">
    <w:name w:val="Hyperlink"/>
    <w:basedOn w:val="DefaultParagraphFont"/>
    <w:uiPriority w:val="99"/>
    <w:unhideWhenUsed/>
    <w:rsid w:val="00DC6FA1"/>
    <w:rPr>
      <w:color w:val="0000FF"/>
      <w:u w:val="single"/>
    </w:rPr>
  </w:style>
  <w:style w:type="character" w:customStyle="1" w:styleId="UnresolvedMention">
    <w:name w:val="Unresolved Mention"/>
    <w:basedOn w:val="DefaultParagraphFont"/>
    <w:uiPriority w:val="99"/>
    <w:rsid w:val="00B92276"/>
    <w:rPr>
      <w:color w:val="605E5C"/>
      <w:shd w:val="clear" w:color="auto" w:fill="E1DFDD"/>
    </w:rPr>
  </w:style>
  <w:style w:type="paragraph" w:customStyle="1" w:styleId="default">
    <w:name w:val="default"/>
    <w:basedOn w:val="Normal"/>
    <w:rsid w:val="00907B0A"/>
    <w:pPr>
      <w:spacing w:before="100" w:beforeAutospacing="1" w:after="100" w:afterAutospacing="1"/>
    </w:pPr>
  </w:style>
  <w:style w:type="paragraph" w:customStyle="1" w:styleId="Default0">
    <w:name w:val="Default"/>
    <w:rsid w:val="00867F73"/>
    <w:pPr>
      <w:autoSpaceDE w:val="0"/>
      <w:autoSpaceDN w:val="0"/>
      <w:adjustRightInd w:val="0"/>
    </w:pPr>
    <w:rPr>
      <w:rFonts w:ascii="Times New Roman" w:hAnsi="Times New Roman" w:cs="Times New Roman"/>
      <w:color w:val="000000"/>
    </w:rPr>
  </w:style>
  <w:style w:type="paragraph" w:styleId="FootnoteText">
    <w:name w:val="footnote text"/>
    <w:aliases w:val="+ Footnote Text"/>
    <w:basedOn w:val="Normal"/>
    <w:link w:val="FootnoteTextChar"/>
    <w:uiPriority w:val="99"/>
    <w:unhideWhenUsed/>
    <w:rsid w:val="00867F73"/>
    <w:rPr>
      <w:sz w:val="20"/>
      <w:szCs w:val="20"/>
    </w:rPr>
  </w:style>
  <w:style w:type="character" w:customStyle="1" w:styleId="FootnoteTextChar">
    <w:name w:val="Footnote Text Char"/>
    <w:aliases w:val="+ Footnote Text Char"/>
    <w:basedOn w:val="DefaultParagraphFont"/>
    <w:link w:val="FootnoteText"/>
    <w:uiPriority w:val="99"/>
    <w:rsid w:val="00867F7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67F73"/>
    <w:rPr>
      <w:vertAlign w:val="superscript"/>
    </w:rPr>
  </w:style>
  <w:style w:type="character" w:styleId="CommentReference">
    <w:name w:val="annotation reference"/>
    <w:basedOn w:val="DefaultParagraphFont"/>
    <w:uiPriority w:val="99"/>
    <w:semiHidden/>
    <w:unhideWhenUsed/>
    <w:rsid w:val="0063241B"/>
    <w:rPr>
      <w:sz w:val="16"/>
      <w:szCs w:val="16"/>
    </w:rPr>
  </w:style>
  <w:style w:type="paragraph" w:styleId="CommentText">
    <w:name w:val="annotation text"/>
    <w:basedOn w:val="Normal"/>
    <w:link w:val="CommentTextChar"/>
    <w:uiPriority w:val="99"/>
    <w:unhideWhenUsed/>
    <w:rsid w:val="0063241B"/>
    <w:rPr>
      <w:rFonts w:ascii="Calibri" w:hAnsi="Calibri" w:cstheme="minorBidi"/>
      <w:sz w:val="20"/>
      <w:szCs w:val="20"/>
    </w:rPr>
  </w:style>
  <w:style w:type="character" w:customStyle="1" w:styleId="CommentTextChar">
    <w:name w:val="Comment Text Char"/>
    <w:basedOn w:val="DefaultParagraphFont"/>
    <w:link w:val="CommentText"/>
    <w:uiPriority w:val="99"/>
    <w:rsid w:val="0063241B"/>
    <w:rPr>
      <w:rFonts w:ascii="Calibri" w:eastAsia="Times New Roman"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646">
      <w:bodyDiv w:val="1"/>
      <w:marLeft w:val="0"/>
      <w:marRight w:val="0"/>
      <w:marTop w:val="0"/>
      <w:marBottom w:val="0"/>
      <w:divBdr>
        <w:top w:val="none" w:sz="0" w:space="0" w:color="auto"/>
        <w:left w:val="none" w:sz="0" w:space="0" w:color="auto"/>
        <w:bottom w:val="none" w:sz="0" w:space="0" w:color="auto"/>
        <w:right w:val="none" w:sz="0" w:space="0" w:color="auto"/>
      </w:divBdr>
    </w:div>
    <w:div w:id="52241704">
      <w:bodyDiv w:val="1"/>
      <w:marLeft w:val="0"/>
      <w:marRight w:val="0"/>
      <w:marTop w:val="0"/>
      <w:marBottom w:val="0"/>
      <w:divBdr>
        <w:top w:val="none" w:sz="0" w:space="0" w:color="auto"/>
        <w:left w:val="none" w:sz="0" w:space="0" w:color="auto"/>
        <w:bottom w:val="none" w:sz="0" w:space="0" w:color="auto"/>
        <w:right w:val="none" w:sz="0" w:space="0" w:color="auto"/>
      </w:divBdr>
    </w:div>
    <w:div w:id="84615177">
      <w:bodyDiv w:val="1"/>
      <w:marLeft w:val="0"/>
      <w:marRight w:val="0"/>
      <w:marTop w:val="0"/>
      <w:marBottom w:val="0"/>
      <w:divBdr>
        <w:top w:val="none" w:sz="0" w:space="0" w:color="auto"/>
        <w:left w:val="none" w:sz="0" w:space="0" w:color="auto"/>
        <w:bottom w:val="none" w:sz="0" w:space="0" w:color="auto"/>
        <w:right w:val="none" w:sz="0" w:space="0" w:color="auto"/>
      </w:divBdr>
    </w:div>
    <w:div w:id="182788654">
      <w:bodyDiv w:val="1"/>
      <w:marLeft w:val="0"/>
      <w:marRight w:val="0"/>
      <w:marTop w:val="0"/>
      <w:marBottom w:val="0"/>
      <w:divBdr>
        <w:top w:val="none" w:sz="0" w:space="0" w:color="auto"/>
        <w:left w:val="none" w:sz="0" w:space="0" w:color="auto"/>
        <w:bottom w:val="none" w:sz="0" w:space="0" w:color="auto"/>
        <w:right w:val="none" w:sz="0" w:space="0" w:color="auto"/>
      </w:divBdr>
    </w:div>
    <w:div w:id="240917455">
      <w:bodyDiv w:val="1"/>
      <w:marLeft w:val="0"/>
      <w:marRight w:val="0"/>
      <w:marTop w:val="0"/>
      <w:marBottom w:val="0"/>
      <w:divBdr>
        <w:top w:val="none" w:sz="0" w:space="0" w:color="auto"/>
        <w:left w:val="none" w:sz="0" w:space="0" w:color="auto"/>
        <w:bottom w:val="none" w:sz="0" w:space="0" w:color="auto"/>
        <w:right w:val="none" w:sz="0" w:space="0" w:color="auto"/>
      </w:divBdr>
      <w:divsChild>
        <w:div w:id="1506096208">
          <w:blockQuote w:val="1"/>
          <w:marLeft w:val="600"/>
          <w:marRight w:val="0"/>
          <w:marTop w:val="0"/>
          <w:marBottom w:val="0"/>
          <w:divBdr>
            <w:top w:val="none" w:sz="0" w:space="0" w:color="auto"/>
            <w:left w:val="none" w:sz="0" w:space="0" w:color="auto"/>
            <w:bottom w:val="none" w:sz="0" w:space="0" w:color="auto"/>
            <w:right w:val="none" w:sz="0" w:space="0" w:color="auto"/>
          </w:divBdr>
        </w:div>
        <w:div w:id="132793538">
          <w:blockQuote w:val="1"/>
          <w:marLeft w:val="600"/>
          <w:marRight w:val="0"/>
          <w:marTop w:val="0"/>
          <w:marBottom w:val="0"/>
          <w:divBdr>
            <w:top w:val="none" w:sz="0" w:space="0" w:color="auto"/>
            <w:left w:val="none" w:sz="0" w:space="0" w:color="auto"/>
            <w:bottom w:val="none" w:sz="0" w:space="0" w:color="auto"/>
            <w:right w:val="none" w:sz="0" w:space="0" w:color="auto"/>
          </w:divBdr>
        </w:div>
        <w:div w:id="15652145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3031237">
      <w:bodyDiv w:val="1"/>
      <w:marLeft w:val="0"/>
      <w:marRight w:val="0"/>
      <w:marTop w:val="0"/>
      <w:marBottom w:val="0"/>
      <w:divBdr>
        <w:top w:val="none" w:sz="0" w:space="0" w:color="auto"/>
        <w:left w:val="none" w:sz="0" w:space="0" w:color="auto"/>
        <w:bottom w:val="none" w:sz="0" w:space="0" w:color="auto"/>
        <w:right w:val="none" w:sz="0" w:space="0" w:color="auto"/>
      </w:divBdr>
    </w:div>
    <w:div w:id="312492123">
      <w:bodyDiv w:val="1"/>
      <w:marLeft w:val="0"/>
      <w:marRight w:val="0"/>
      <w:marTop w:val="0"/>
      <w:marBottom w:val="0"/>
      <w:divBdr>
        <w:top w:val="none" w:sz="0" w:space="0" w:color="auto"/>
        <w:left w:val="none" w:sz="0" w:space="0" w:color="auto"/>
        <w:bottom w:val="none" w:sz="0" w:space="0" w:color="auto"/>
        <w:right w:val="none" w:sz="0" w:space="0" w:color="auto"/>
      </w:divBdr>
      <w:divsChild>
        <w:div w:id="748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3028">
              <w:marLeft w:val="0"/>
              <w:marRight w:val="0"/>
              <w:marTop w:val="0"/>
              <w:marBottom w:val="0"/>
              <w:divBdr>
                <w:top w:val="none" w:sz="0" w:space="0" w:color="auto"/>
                <w:left w:val="none" w:sz="0" w:space="0" w:color="auto"/>
                <w:bottom w:val="none" w:sz="0" w:space="0" w:color="auto"/>
                <w:right w:val="none" w:sz="0" w:space="0" w:color="auto"/>
              </w:divBdr>
              <w:divsChild>
                <w:div w:id="149140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73390371">
      <w:bodyDiv w:val="1"/>
      <w:marLeft w:val="0"/>
      <w:marRight w:val="0"/>
      <w:marTop w:val="0"/>
      <w:marBottom w:val="0"/>
      <w:divBdr>
        <w:top w:val="none" w:sz="0" w:space="0" w:color="auto"/>
        <w:left w:val="none" w:sz="0" w:space="0" w:color="auto"/>
        <w:bottom w:val="none" w:sz="0" w:space="0" w:color="auto"/>
        <w:right w:val="none" w:sz="0" w:space="0" w:color="auto"/>
      </w:divBdr>
    </w:div>
    <w:div w:id="381684660">
      <w:bodyDiv w:val="1"/>
      <w:marLeft w:val="0"/>
      <w:marRight w:val="0"/>
      <w:marTop w:val="0"/>
      <w:marBottom w:val="0"/>
      <w:divBdr>
        <w:top w:val="none" w:sz="0" w:space="0" w:color="auto"/>
        <w:left w:val="none" w:sz="0" w:space="0" w:color="auto"/>
        <w:bottom w:val="none" w:sz="0" w:space="0" w:color="auto"/>
        <w:right w:val="none" w:sz="0" w:space="0" w:color="auto"/>
      </w:divBdr>
    </w:div>
    <w:div w:id="453864524">
      <w:bodyDiv w:val="1"/>
      <w:marLeft w:val="0"/>
      <w:marRight w:val="0"/>
      <w:marTop w:val="0"/>
      <w:marBottom w:val="0"/>
      <w:divBdr>
        <w:top w:val="none" w:sz="0" w:space="0" w:color="auto"/>
        <w:left w:val="none" w:sz="0" w:space="0" w:color="auto"/>
        <w:bottom w:val="none" w:sz="0" w:space="0" w:color="auto"/>
        <w:right w:val="none" w:sz="0" w:space="0" w:color="auto"/>
      </w:divBdr>
    </w:div>
    <w:div w:id="469130234">
      <w:bodyDiv w:val="1"/>
      <w:marLeft w:val="0"/>
      <w:marRight w:val="0"/>
      <w:marTop w:val="0"/>
      <w:marBottom w:val="0"/>
      <w:divBdr>
        <w:top w:val="none" w:sz="0" w:space="0" w:color="auto"/>
        <w:left w:val="none" w:sz="0" w:space="0" w:color="auto"/>
        <w:bottom w:val="none" w:sz="0" w:space="0" w:color="auto"/>
        <w:right w:val="none" w:sz="0" w:space="0" w:color="auto"/>
      </w:divBdr>
    </w:div>
    <w:div w:id="490876251">
      <w:bodyDiv w:val="1"/>
      <w:marLeft w:val="0"/>
      <w:marRight w:val="0"/>
      <w:marTop w:val="0"/>
      <w:marBottom w:val="0"/>
      <w:divBdr>
        <w:top w:val="none" w:sz="0" w:space="0" w:color="auto"/>
        <w:left w:val="none" w:sz="0" w:space="0" w:color="auto"/>
        <w:bottom w:val="none" w:sz="0" w:space="0" w:color="auto"/>
        <w:right w:val="none" w:sz="0" w:space="0" w:color="auto"/>
      </w:divBdr>
      <w:divsChild>
        <w:div w:id="476730930">
          <w:marLeft w:val="0"/>
          <w:marRight w:val="0"/>
          <w:marTop w:val="0"/>
          <w:marBottom w:val="0"/>
          <w:divBdr>
            <w:top w:val="none" w:sz="0" w:space="0" w:color="auto"/>
            <w:left w:val="none" w:sz="0" w:space="0" w:color="auto"/>
            <w:bottom w:val="none" w:sz="0" w:space="0" w:color="auto"/>
            <w:right w:val="none" w:sz="0" w:space="0" w:color="auto"/>
          </w:divBdr>
          <w:divsChild>
            <w:div w:id="1760443810">
              <w:marLeft w:val="0"/>
              <w:marRight w:val="0"/>
              <w:marTop w:val="0"/>
              <w:marBottom w:val="0"/>
              <w:divBdr>
                <w:top w:val="none" w:sz="0" w:space="0" w:color="auto"/>
                <w:left w:val="none" w:sz="0" w:space="0" w:color="auto"/>
                <w:bottom w:val="none" w:sz="0" w:space="0" w:color="auto"/>
                <w:right w:val="none" w:sz="0" w:space="0" w:color="auto"/>
              </w:divBdr>
            </w:div>
          </w:divsChild>
        </w:div>
        <w:div w:id="1310356492">
          <w:marLeft w:val="0"/>
          <w:marRight w:val="0"/>
          <w:marTop w:val="0"/>
          <w:marBottom w:val="0"/>
          <w:divBdr>
            <w:top w:val="none" w:sz="0" w:space="0" w:color="auto"/>
            <w:left w:val="none" w:sz="0" w:space="0" w:color="auto"/>
            <w:bottom w:val="none" w:sz="0" w:space="0" w:color="auto"/>
            <w:right w:val="none" w:sz="0" w:space="0" w:color="auto"/>
          </w:divBdr>
          <w:divsChild>
            <w:div w:id="1442339264">
              <w:marLeft w:val="0"/>
              <w:marRight w:val="0"/>
              <w:marTop w:val="0"/>
              <w:marBottom w:val="0"/>
              <w:divBdr>
                <w:top w:val="none" w:sz="0" w:space="0" w:color="auto"/>
                <w:left w:val="none" w:sz="0" w:space="0" w:color="auto"/>
                <w:bottom w:val="none" w:sz="0" w:space="0" w:color="auto"/>
                <w:right w:val="none" w:sz="0" w:space="0" w:color="auto"/>
              </w:divBdr>
            </w:div>
          </w:divsChild>
        </w:div>
        <w:div w:id="369306931">
          <w:marLeft w:val="0"/>
          <w:marRight w:val="0"/>
          <w:marTop w:val="0"/>
          <w:marBottom w:val="0"/>
          <w:divBdr>
            <w:top w:val="none" w:sz="0" w:space="0" w:color="auto"/>
            <w:left w:val="none" w:sz="0" w:space="0" w:color="auto"/>
            <w:bottom w:val="none" w:sz="0" w:space="0" w:color="auto"/>
            <w:right w:val="none" w:sz="0" w:space="0" w:color="auto"/>
          </w:divBdr>
          <w:divsChild>
            <w:div w:id="427239874">
              <w:marLeft w:val="0"/>
              <w:marRight w:val="0"/>
              <w:marTop w:val="0"/>
              <w:marBottom w:val="0"/>
              <w:divBdr>
                <w:top w:val="none" w:sz="0" w:space="0" w:color="auto"/>
                <w:left w:val="none" w:sz="0" w:space="0" w:color="auto"/>
                <w:bottom w:val="none" w:sz="0" w:space="0" w:color="auto"/>
                <w:right w:val="none" w:sz="0" w:space="0" w:color="auto"/>
              </w:divBdr>
            </w:div>
          </w:divsChild>
        </w:div>
        <w:div w:id="439185226">
          <w:marLeft w:val="0"/>
          <w:marRight w:val="0"/>
          <w:marTop w:val="0"/>
          <w:marBottom w:val="0"/>
          <w:divBdr>
            <w:top w:val="none" w:sz="0" w:space="0" w:color="auto"/>
            <w:left w:val="none" w:sz="0" w:space="0" w:color="auto"/>
            <w:bottom w:val="none" w:sz="0" w:space="0" w:color="auto"/>
            <w:right w:val="none" w:sz="0" w:space="0" w:color="auto"/>
          </w:divBdr>
          <w:divsChild>
            <w:div w:id="356129234">
              <w:marLeft w:val="0"/>
              <w:marRight w:val="0"/>
              <w:marTop w:val="0"/>
              <w:marBottom w:val="0"/>
              <w:divBdr>
                <w:top w:val="none" w:sz="0" w:space="0" w:color="auto"/>
                <w:left w:val="none" w:sz="0" w:space="0" w:color="auto"/>
                <w:bottom w:val="none" w:sz="0" w:space="0" w:color="auto"/>
                <w:right w:val="none" w:sz="0" w:space="0" w:color="auto"/>
              </w:divBdr>
            </w:div>
          </w:divsChild>
        </w:div>
        <w:div w:id="2127649315">
          <w:marLeft w:val="0"/>
          <w:marRight w:val="0"/>
          <w:marTop w:val="0"/>
          <w:marBottom w:val="0"/>
          <w:divBdr>
            <w:top w:val="none" w:sz="0" w:space="0" w:color="auto"/>
            <w:left w:val="none" w:sz="0" w:space="0" w:color="auto"/>
            <w:bottom w:val="none" w:sz="0" w:space="0" w:color="auto"/>
            <w:right w:val="none" w:sz="0" w:space="0" w:color="auto"/>
          </w:divBdr>
          <w:divsChild>
            <w:div w:id="296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8640">
      <w:bodyDiv w:val="1"/>
      <w:marLeft w:val="0"/>
      <w:marRight w:val="0"/>
      <w:marTop w:val="0"/>
      <w:marBottom w:val="0"/>
      <w:divBdr>
        <w:top w:val="none" w:sz="0" w:space="0" w:color="auto"/>
        <w:left w:val="none" w:sz="0" w:space="0" w:color="auto"/>
        <w:bottom w:val="none" w:sz="0" w:space="0" w:color="auto"/>
        <w:right w:val="none" w:sz="0" w:space="0" w:color="auto"/>
      </w:divBdr>
      <w:divsChild>
        <w:div w:id="1323974019">
          <w:marLeft w:val="0"/>
          <w:marRight w:val="0"/>
          <w:marTop w:val="0"/>
          <w:marBottom w:val="0"/>
          <w:divBdr>
            <w:top w:val="none" w:sz="0" w:space="0" w:color="auto"/>
            <w:left w:val="none" w:sz="0" w:space="0" w:color="auto"/>
            <w:bottom w:val="none" w:sz="0" w:space="0" w:color="auto"/>
            <w:right w:val="none" w:sz="0" w:space="0" w:color="auto"/>
          </w:divBdr>
        </w:div>
        <w:div w:id="1399548158">
          <w:marLeft w:val="0"/>
          <w:marRight w:val="0"/>
          <w:marTop w:val="0"/>
          <w:marBottom w:val="0"/>
          <w:divBdr>
            <w:top w:val="none" w:sz="0" w:space="0" w:color="auto"/>
            <w:left w:val="none" w:sz="0" w:space="0" w:color="auto"/>
            <w:bottom w:val="none" w:sz="0" w:space="0" w:color="auto"/>
            <w:right w:val="none" w:sz="0" w:space="0" w:color="auto"/>
          </w:divBdr>
        </w:div>
        <w:div w:id="207646213">
          <w:marLeft w:val="0"/>
          <w:marRight w:val="0"/>
          <w:marTop w:val="0"/>
          <w:marBottom w:val="0"/>
          <w:divBdr>
            <w:top w:val="none" w:sz="0" w:space="0" w:color="auto"/>
            <w:left w:val="none" w:sz="0" w:space="0" w:color="auto"/>
            <w:bottom w:val="none" w:sz="0" w:space="0" w:color="auto"/>
            <w:right w:val="none" w:sz="0" w:space="0" w:color="auto"/>
          </w:divBdr>
        </w:div>
        <w:div w:id="1534224975">
          <w:marLeft w:val="0"/>
          <w:marRight w:val="0"/>
          <w:marTop w:val="0"/>
          <w:marBottom w:val="0"/>
          <w:divBdr>
            <w:top w:val="none" w:sz="0" w:space="0" w:color="auto"/>
            <w:left w:val="none" w:sz="0" w:space="0" w:color="auto"/>
            <w:bottom w:val="none" w:sz="0" w:space="0" w:color="auto"/>
            <w:right w:val="none" w:sz="0" w:space="0" w:color="auto"/>
          </w:divBdr>
        </w:div>
        <w:div w:id="667902965">
          <w:marLeft w:val="0"/>
          <w:marRight w:val="0"/>
          <w:marTop w:val="0"/>
          <w:marBottom w:val="0"/>
          <w:divBdr>
            <w:top w:val="none" w:sz="0" w:space="0" w:color="auto"/>
            <w:left w:val="none" w:sz="0" w:space="0" w:color="auto"/>
            <w:bottom w:val="none" w:sz="0" w:space="0" w:color="auto"/>
            <w:right w:val="none" w:sz="0" w:space="0" w:color="auto"/>
          </w:divBdr>
        </w:div>
        <w:div w:id="1486971692">
          <w:marLeft w:val="0"/>
          <w:marRight w:val="0"/>
          <w:marTop w:val="0"/>
          <w:marBottom w:val="0"/>
          <w:divBdr>
            <w:top w:val="none" w:sz="0" w:space="0" w:color="auto"/>
            <w:left w:val="none" w:sz="0" w:space="0" w:color="auto"/>
            <w:bottom w:val="double" w:sz="6" w:space="1" w:color="auto"/>
            <w:right w:val="none" w:sz="0" w:space="0" w:color="auto"/>
          </w:divBdr>
        </w:div>
      </w:divsChild>
    </w:div>
    <w:div w:id="642780940">
      <w:bodyDiv w:val="1"/>
      <w:marLeft w:val="0"/>
      <w:marRight w:val="0"/>
      <w:marTop w:val="0"/>
      <w:marBottom w:val="0"/>
      <w:divBdr>
        <w:top w:val="none" w:sz="0" w:space="0" w:color="auto"/>
        <w:left w:val="none" w:sz="0" w:space="0" w:color="auto"/>
        <w:bottom w:val="none" w:sz="0" w:space="0" w:color="auto"/>
        <w:right w:val="none" w:sz="0" w:space="0" w:color="auto"/>
      </w:divBdr>
    </w:div>
    <w:div w:id="781072011">
      <w:bodyDiv w:val="1"/>
      <w:marLeft w:val="0"/>
      <w:marRight w:val="0"/>
      <w:marTop w:val="0"/>
      <w:marBottom w:val="0"/>
      <w:divBdr>
        <w:top w:val="none" w:sz="0" w:space="0" w:color="auto"/>
        <w:left w:val="none" w:sz="0" w:space="0" w:color="auto"/>
        <w:bottom w:val="none" w:sz="0" w:space="0" w:color="auto"/>
        <w:right w:val="none" w:sz="0" w:space="0" w:color="auto"/>
      </w:divBdr>
    </w:div>
    <w:div w:id="859516686">
      <w:bodyDiv w:val="1"/>
      <w:marLeft w:val="0"/>
      <w:marRight w:val="0"/>
      <w:marTop w:val="0"/>
      <w:marBottom w:val="0"/>
      <w:divBdr>
        <w:top w:val="none" w:sz="0" w:space="0" w:color="auto"/>
        <w:left w:val="none" w:sz="0" w:space="0" w:color="auto"/>
        <w:bottom w:val="none" w:sz="0" w:space="0" w:color="auto"/>
        <w:right w:val="none" w:sz="0" w:space="0" w:color="auto"/>
      </w:divBdr>
    </w:div>
    <w:div w:id="959149636">
      <w:bodyDiv w:val="1"/>
      <w:marLeft w:val="0"/>
      <w:marRight w:val="0"/>
      <w:marTop w:val="0"/>
      <w:marBottom w:val="0"/>
      <w:divBdr>
        <w:top w:val="none" w:sz="0" w:space="0" w:color="auto"/>
        <w:left w:val="none" w:sz="0" w:space="0" w:color="auto"/>
        <w:bottom w:val="none" w:sz="0" w:space="0" w:color="auto"/>
        <w:right w:val="none" w:sz="0" w:space="0" w:color="auto"/>
      </w:divBdr>
    </w:div>
    <w:div w:id="1004043740">
      <w:bodyDiv w:val="1"/>
      <w:marLeft w:val="0"/>
      <w:marRight w:val="0"/>
      <w:marTop w:val="0"/>
      <w:marBottom w:val="0"/>
      <w:divBdr>
        <w:top w:val="none" w:sz="0" w:space="0" w:color="auto"/>
        <w:left w:val="none" w:sz="0" w:space="0" w:color="auto"/>
        <w:bottom w:val="none" w:sz="0" w:space="0" w:color="auto"/>
        <w:right w:val="none" w:sz="0" w:space="0" w:color="auto"/>
      </w:divBdr>
    </w:div>
    <w:div w:id="1013996174">
      <w:bodyDiv w:val="1"/>
      <w:marLeft w:val="0"/>
      <w:marRight w:val="0"/>
      <w:marTop w:val="0"/>
      <w:marBottom w:val="0"/>
      <w:divBdr>
        <w:top w:val="none" w:sz="0" w:space="0" w:color="auto"/>
        <w:left w:val="none" w:sz="0" w:space="0" w:color="auto"/>
        <w:bottom w:val="none" w:sz="0" w:space="0" w:color="auto"/>
        <w:right w:val="none" w:sz="0" w:space="0" w:color="auto"/>
      </w:divBdr>
    </w:div>
    <w:div w:id="1029450932">
      <w:bodyDiv w:val="1"/>
      <w:marLeft w:val="0"/>
      <w:marRight w:val="0"/>
      <w:marTop w:val="0"/>
      <w:marBottom w:val="0"/>
      <w:divBdr>
        <w:top w:val="none" w:sz="0" w:space="0" w:color="auto"/>
        <w:left w:val="none" w:sz="0" w:space="0" w:color="auto"/>
        <w:bottom w:val="none" w:sz="0" w:space="0" w:color="auto"/>
        <w:right w:val="none" w:sz="0" w:space="0" w:color="auto"/>
      </w:divBdr>
    </w:div>
    <w:div w:id="1082215395">
      <w:bodyDiv w:val="1"/>
      <w:marLeft w:val="0"/>
      <w:marRight w:val="0"/>
      <w:marTop w:val="0"/>
      <w:marBottom w:val="0"/>
      <w:divBdr>
        <w:top w:val="none" w:sz="0" w:space="0" w:color="auto"/>
        <w:left w:val="none" w:sz="0" w:space="0" w:color="auto"/>
        <w:bottom w:val="none" w:sz="0" w:space="0" w:color="auto"/>
        <w:right w:val="none" w:sz="0" w:space="0" w:color="auto"/>
      </w:divBdr>
    </w:div>
    <w:div w:id="1111247607">
      <w:bodyDiv w:val="1"/>
      <w:marLeft w:val="0"/>
      <w:marRight w:val="0"/>
      <w:marTop w:val="0"/>
      <w:marBottom w:val="0"/>
      <w:divBdr>
        <w:top w:val="none" w:sz="0" w:space="0" w:color="auto"/>
        <w:left w:val="none" w:sz="0" w:space="0" w:color="auto"/>
        <w:bottom w:val="none" w:sz="0" w:space="0" w:color="auto"/>
        <w:right w:val="none" w:sz="0" w:space="0" w:color="auto"/>
      </w:divBdr>
    </w:div>
    <w:div w:id="1121798569">
      <w:bodyDiv w:val="1"/>
      <w:marLeft w:val="0"/>
      <w:marRight w:val="0"/>
      <w:marTop w:val="0"/>
      <w:marBottom w:val="0"/>
      <w:divBdr>
        <w:top w:val="none" w:sz="0" w:space="0" w:color="auto"/>
        <w:left w:val="none" w:sz="0" w:space="0" w:color="auto"/>
        <w:bottom w:val="none" w:sz="0" w:space="0" w:color="auto"/>
        <w:right w:val="none" w:sz="0" w:space="0" w:color="auto"/>
      </w:divBdr>
    </w:div>
    <w:div w:id="1203253812">
      <w:bodyDiv w:val="1"/>
      <w:marLeft w:val="0"/>
      <w:marRight w:val="0"/>
      <w:marTop w:val="0"/>
      <w:marBottom w:val="0"/>
      <w:divBdr>
        <w:top w:val="none" w:sz="0" w:space="0" w:color="auto"/>
        <w:left w:val="none" w:sz="0" w:space="0" w:color="auto"/>
        <w:bottom w:val="none" w:sz="0" w:space="0" w:color="auto"/>
        <w:right w:val="none" w:sz="0" w:space="0" w:color="auto"/>
      </w:divBdr>
    </w:div>
    <w:div w:id="1222905990">
      <w:bodyDiv w:val="1"/>
      <w:marLeft w:val="0"/>
      <w:marRight w:val="0"/>
      <w:marTop w:val="0"/>
      <w:marBottom w:val="0"/>
      <w:divBdr>
        <w:top w:val="none" w:sz="0" w:space="0" w:color="auto"/>
        <w:left w:val="none" w:sz="0" w:space="0" w:color="auto"/>
        <w:bottom w:val="none" w:sz="0" w:space="0" w:color="auto"/>
        <w:right w:val="none" w:sz="0" w:space="0" w:color="auto"/>
      </w:divBdr>
    </w:div>
    <w:div w:id="1321351895">
      <w:bodyDiv w:val="1"/>
      <w:marLeft w:val="0"/>
      <w:marRight w:val="0"/>
      <w:marTop w:val="0"/>
      <w:marBottom w:val="0"/>
      <w:divBdr>
        <w:top w:val="none" w:sz="0" w:space="0" w:color="auto"/>
        <w:left w:val="none" w:sz="0" w:space="0" w:color="auto"/>
        <w:bottom w:val="none" w:sz="0" w:space="0" w:color="auto"/>
        <w:right w:val="none" w:sz="0" w:space="0" w:color="auto"/>
      </w:divBdr>
    </w:div>
    <w:div w:id="1351224587">
      <w:bodyDiv w:val="1"/>
      <w:marLeft w:val="0"/>
      <w:marRight w:val="0"/>
      <w:marTop w:val="0"/>
      <w:marBottom w:val="0"/>
      <w:divBdr>
        <w:top w:val="none" w:sz="0" w:space="0" w:color="auto"/>
        <w:left w:val="none" w:sz="0" w:space="0" w:color="auto"/>
        <w:bottom w:val="none" w:sz="0" w:space="0" w:color="auto"/>
        <w:right w:val="none" w:sz="0" w:space="0" w:color="auto"/>
      </w:divBdr>
    </w:div>
    <w:div w:id="1361977434">
      <w:bodyDiv w:val="1"/>
      <w:marLeft w:val="0"/>
      <w:marRight w:val="0"/>
      <w:marTop w:val="0"/>
      <w:marBottom w:val="0"/>
      <w:divBdr>
        <w:top w:val="none" w:sz="0" w:space="0" w:color="auto"/>
        <w:left w:val="none" w:sz="0" w:space="0" w:color="auto"/>
        <w:bottom w:val="none" w:sz="0" w:space="0" w:color="auto"/>
        <w:right w:val="none" w:sz="0" w:space="0" w:color="auto"/>
      </w:divBdr>
    </w:div>
    <w:div w:id="1422029084">
      <w:bodyDiv w:val="1"/>
      <w:marLeft w:val="0"/>
      <w:marRight w:val="0"/>
      <w:marTop w:val="0"/>
      <w:marBottom w:val="0"/>
      <w:divBdr>
        <w:top w:val="none" w:sz="0" w:space="0" w:color="auto"/>
        <w:left w:val="none" w:sz="0" w:space="0" w:color="auto"/>
        <w:bottom w:val="none" w:sz="0" w:space="0" w:color="auto"/>
        <w:right w:val="none" w:sz="0" w:space="0" w:color="auto"/>
      </w:divBdr>
    </w:div>
    <w:div w:id="1428885004">
      <w:bodyDiv w:val="1"/>
      <w:marLeft w:val="0"/>
      <w:marRight w:val="0"/>
      <w:marTop w:val="0"/>
      <w:marBottom w:val="0"/>
      <w:divBdr>
        <w:top w:val="none" w:sz="0" w:space="0" w:color="auto"/>
        <w:left w:val="none" w:sz="0" w:space="0" w:color="auto"/>
        <w:bottom w:val="none" w:sz="0" w:space="0" w:color="auto"/>
        <w:right w:val="none" w:sz="0" w:space="0" w:color="auto"/>
      </w:divBdr>
    </w:div>
    <w:div w:id="1458643115">
      <w:bodyDiv w:val="1"/>
      <w:marLeft w:val="0"/>
      <w:marRight w:val="0"/>
      <w:marTop w:val="0"/>
      <w:marBottom w:val="0"/>
      <w:divBdr>
        <w:top w:val="none" w:sz="0" w:space="0" w:color="auto"/>
        <w:left w:val="none" w:sz="0" w:space="0" w:color="auto"/>
        <w:bottom w:val="none" w:sz="0" w:space="0" w:color="auto"/>
        <w:right w:val="none" w:sz="0" w:space="0" w:color="auto"/>
      </w:divBdr>
    </w:div>
    <w:div w:id="1507550918">
      <w:bodyDiv w:val="1"/>
      <w:marLeft w:val="0"/>
      <w:marRight w:val="0"/>
      <w:marTop w:val="0"/>
      <w:marBottom w:val="0"/>
      <w:divBdr>
        <w:top w:val="none" w:sz="0" w:space="0" w:color="auto"/>
        <w:left w:val="none" w:sz="0" w:space="0" w:color="auto"/>
        <w:bottom w:val="none" w:sz="0" w:space="0" w:color="auto"/>
        <w:right w:val="none" w:sz="0" w:space="0" w:color="auto"/>
      </w:divBdr>
    </w:div>
    <w:div w:id="1527333494">
      <w:bodyDiv w:val="1"/>
      <w:marLeft w:val="0"/>
      <w:marRight w:val="0"/>
      <w:marTop w:val="0"/>
      <w:marBottom w:val="0"/>
      <w:divBdr>
        <w:top w:val="none" w:sz="0" w:space="0" w:color="auto"/>
        <w:left w:val="none" w:sz="0" w:space="0" w:color="auto"/>
        <w:bottom w:val="none" w:sz="0" w:space="0" w:color="auto"/>
        <w:right w:val="none" w:sz="0" w:space="0" w:color="auto"/>
      </w:divBdr>
    </w:div>
    <w:div w:id="1618951864">
      <w:bodyDiv w:val="1"/>
      <w:marLeft w:val="0"/>
      <w:marRight w:val="0"/>
      <w:marTop w:val="0"/>
      <w:marBottom w:val="0"/>
      <w:divBdr>
        <w:top w:val="none" w:sz="0" w:space="0" w:color="auto"/>
        <w:left w:val="none" w:sz="0" w:space="0" w:color="auto"/>
        <w:bottom w:val="none" w:sz="0" w:space="0" w:color="auto"/>
        <w:right w:val="none" w:sz="0" w:space="0" w:color="auto"/>
      </w:divBdr>
    </w:div>
    <w:div w:id="1625308830">
      <w:bodyDiv w:val="1"/>
      <w:marLeft w:val="0"/>
      <w:marRight w:val="0"/>
      <w:marTop w:val="0"/>
      <w:marBottom w:val="0"/>
      <w:divBdr>
        <w:top w:val="none" w:sz="0" w:space="0" w:color="auto"/>
        <w:left w:val="none" w:sz="0" w:space="0" w:color="auto"/>
        <w:bottom w:val="none" w:sz="0" w:space="0" w:color="auto"/>
        <w:right w:val="none" w:sz="0" w:space="0" w:color="auto"/>
      </w:divBdr>
    </w:div>
    <w:div w:id="1695107256">
      <w:bodyDiv w:val="1"/>
      <w:marLeft w:val="0"/>
      <w:marRight w:val="0"/>
      <w:marTop w:val="0"/>
      <w:marBottom w:val="0"/>
      <w:divBdr>
        <w:top w:val="none" w:sz="0" w:space="0" w:color="auto"/>
        <w:left w:val="none" w:sz="0" w:space="0" w:color="auto"/>
        <w:bottom w:val="none" w:sz="0" w:space="0" w:color="auto"/>
        <w:right w:val="none" w:sz="0" w:space="0" w:color="auto"/>
      </w:divBdr>
    </w:div>
    <w:div w:id="1749038324">
      <w:bodyDiv w:val="1"/>
      <w:marLeft w:val="0"/>
      <w:marRight w:val="0"/>
      <w:marTop w:val="0"/>
      <w:marBottom w:val="0"/>
      <w:divBdr>
        <w:top w:val="none" w:sz="0" w:space="0" w:color="auto"/>
        <w:left w:val="none" w:sz="0" w:space="0" w:color="auto"/>
        <w:bottom w:val="none" w:sz="0" w:space="0" w:color="auto"/>
        <w:right w:val="none" w:sz="0" w:space="0" w:color="auto"/>
      </w:divBdr>
    </w:div>
    <w:div w:id="1805656098">
      <w:bodyDiv w:val="1"/>
      <w:marLeft w:val="0"/>
      <w:marRight w:val="0"/>
      <w:marTop w:val="0"/>
      <w:marBottom w:val="0"/>
      <w:divBdr>
        <w:top w:val="none" w:sz="0" w:space="0" w:color="auto"/>
        <w:left w:val="none" w:sz="0" w:space="0" w:color="auto"/>
        <w:bottom w:val="none" w:sz="0" w:space="0" w:color="auto"/>
        <w:right w:val="none" w:sz="0" w:space="0" w:color="auto"/>
      </w:divBdr>
    </w:div>
    <w:div w:id="1891645095">
      <w:bodyDiv w:val="1"/>
      <w:marLeft w:val="0"/>
      <w:marRight w:val="0"/>
      <w:marTop w:val="0"/>
      <w:marBottom w:val="0"/>
      <w:divBdr>
        <w:top w:val="none" w:sz="0" w:space="0" w:color="auto"/>
        <w:left w:val="none" w:sz="0" w:space="0" w:color="auto"/>
        <w:bottom w:val="none" w:sz="0" w:space="0" w:color="auto"/>
        <w:right w:val="none" w:sz="0" w:space="0" w:color="auto"/>
      </w:divBdr>
    </w:div>
    <w:div w:id="1979384429">
      <w:bodyDiv w:val="1"/>
      <w:marLeft w:val="0"/>
      <w:marRight w:val="0"/>
      <w:marTop w:val="0"/>
      <w:marBottom w:val="0"/>
      <w:divBdr>
        <w:top w:val="none" w:sz="0" w:space="0" w:color="auto"/>
        <w:left w:val="none" w:sz="0" w:space="0" w:color="auto"/>
        <w:bottom w:val="none" w:sz="0" w:space="0" w:color="auto"/>
        <w:right w:val="none" w:sz="0" w:space="0" w:color="auto"/>
      </w:divBdr>
    </w:div>
    <w:div w:id="2022706091">
      <w:bodyDiv w:val="1"/>
      <w:marLeft w:val="0"/>
      <w:marRight w:val="0"/>
      <w:marTop w:val="0"/>
      <w:marBottom w:val="0"/>
      <w:divBdr>
        <w:top w:val="none" w:sz="0" w:space="0" w:color="auto"/>
        <w:left w:val="none" w:sz="0" w:space="0" w:color="auto"/>
        <w:bottom w:val="none" w:sz="0" w:space="0" w:color="auto"/>
        <w:right w:val="none" w:sz="0" w:space="0" w:color="auto"/>
      </w:divBdr>
    </w:div>
    <w:div w:id="21210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1857</Words>
  <Characters>10585</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Kurt Pritz</cp:lastModifiedBy>
  <cp:revision>3</cp:revision>
  <cp:lastPrinted>2019-01-29T13:43:00Z</cp:lastPrinted>
  <dcterms:created xsi:type="dcterms:W3CDTF">2019-02-05T03:38:00Z</dcterms:created>
  <dcterms:modified xsi:type="dcterms:W3CDTF">2019-02-05T03:50:00Z</dcterms:modified>
  <cp:category/>
</cp:coreProperties>
</file>