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FCB3" w14:textId="3393A32A" w:rsidR="004664B7" w:rsidRPr="009B37F1" w:rsidRDefault="004664B7">
      <w:pPr>
        <w:rPr>
          <w:rFonts w:cstheme="minorHAnsi"/>
        </w:rPr>
      </w:pPr>
      <w:r w:rsidRPr="009B37F1">
        <w:rPr>
          <w:rFonts w:cstheme="minorHAnsi"/>
        </w:rPr>
        <w:t>Dear Keith,</w:t>
      </w:r>
    </w:p>
    <w:p w14:paraId="7BE1312A" w14:textId="77777777" w:rsidR="004664B7" w:rsidRPr="009B37F1" w:rsidRDefault="004664B7">
      <w:pPr>
        <w:rPr>
          <w:rFonts w:cstheme="minorHAnsi"/>
        </w:rPr>
      </w:pPr>
    </w:p>
    <w:p w14:paraId="243D5AB4" w14:textId="30D60CDA" w:rsidR="00B958F1" w:rsidRPr="009B37F1" w:rsidRDefault="004664B7">
      <w:pPr>
        <w:rPr>
          <w:rFonts w:eastAsia="Times New Roman" w:cstheme="minorHAnsi"/>
        </w:rPr>
      </w:pPr>
      <w:r w:rsidRPr="009B37F1">
        <w:rPr>
          <w:rFonts w:cstheme="minorHAnsi"/>
        </w:rPr>
        <w:t>Following the request of the GNSO Council for the EPDP Team to i</w:t>
      </w:r>
      <w:r w:rsidRPr="009B37F1">
        <w:rPr>
          <w:rFonts w:eastAsia="Times New Roman" w:cstheme="minorHAnsi"/>
        </w:rPr>
        <w:t>dentify any questions, comments or concerns to be shared with the ICANN Board in relation to their action on the EPDP Phase 1 Recommendations</w:t>
      </w:r>
      <w:r w:rsidRPr="009B37F1">
        <w:rPr>
          <w:rFonts w:eastAsia="Times New Roman" w:cstheme="minorHAnsi"/>
        </w:rPr>
        <w:t xml:space="preserve">, 3 groups provided their feedback </w:t>
      </w:r>
      <w:r w:rsidR="00B958F1" w:rsidRPr="009B37F1">
        <w:rPr>
          <w:rFonts w:eastAsia="Times New Roman" w:cstheme="minorHAnsi"/>
        </w:rPr>
        <w:t xml:space="preserve">(see Annex A) which the EPDP Team discussed during its meeting on 6 June 2019. Although there was not sufficient time to formalize and agree on an EPDP Team response, the team felt it important to share the different perspectives with you to help inform the Council’s </w:t>
      </w:r>
      <w:r w:rsidR="006D2693">
        <w:rPr>
          <w:rFonts w:eastAsia="Times New Roman" w:cstheme="minorHAnsi"/>
        </w:rPr>
        <w:t xml:space="preserve">preparation for the </w:t>
      </w:r>
      <w:r w:rsidR="00B958F1" w:rsidRPr="009B37F1">
        <w:rPr>
          <w:rFonts w:eastAsia="Times New Roman" w:cstheme="minorHAnsi"/>
        </w:rPr>
        <w:t>consultation process with the ICANN Board. My take-away from the discussion was that:</w:t>
      </w:r>
    </w:p>
    <w:p w14:paraId="43162CCD" w14:textId="77777777" w:rsidR="00B958F1" w:rsidRPr="009B37F1" w:rsidRDefault="00B958F1">
      <w:pPr>
        <w:rPr>
          <w:rFonts w:eastAsia="Times New Roman" w:cstheme="minorHAnsi"/>
        </w:rPr>
      </w:pPr>
    </w:p>
    <w:p w14:paraId="096B8A8C" w14:textId="77777777" w:rsidR="00B958F1" w:rsidRPr="009B37F1" w:rsidRDefault="00B958F1" w:rsidP="00B958F1">
      <w:pPr>
        <w:pStyle w:val="ListParagraph"/>
        <w:numPr>
          <w:ilvl w:val="0"/>
          <w:numId w:val="6"/>
        </w:numPr>
        <w:ind w:left="360"/>
        <w:rPr>
          <w:rFonts w:cstheme="minorHAnsi"/>
          <w:sz w:val="24"/>
          <w:szCs w:val="24"/>
        </w:rPr>
      </w:pPr>
      <w:r w:rsidRPr="009B37F1">
        <w:rPr>
          <w:rFonts w:asciiTheme="minorHAnsi" w:hAnsiTheme="minorHAnsi" w:cstheme="minorHAnsi"/>
          <w:sz w:val="24"/>
          <w:szCs w:val="24"/>
        </w:rPr>
        <w:t>In relation to purpose 2, there is general understanding for why the Board decided to not adopt this purpose and the EPDP Team confirms that it considers it firmly within its scope for phase 2 to further review this purpose in the context of the System for Standardized Access / Disclosure (SSAD);</w:t>
      </w:r>
    </w:p>
    <w:p w14:paraId="42ABA237" w14:textId="0357BE77" w:rsidR="009B37F1" w:rsidRPr="009B37F1" w:rsidRDefault="00B958F1" w:rsidP="00B958F1">
      <w:pPr>
        <w:pStyle w:val="ListParagraph"/>
        <w:numPr>
          <w:ilvl w:val="0"/>
          <w:numId w:val="6"/>
        </w:numPr>
        <w:ind w:left="360"/>
        <w:rPr>
          <w:rFonts w:cstheme="minorHAnsi"/>
          <w:sz w:val="24"/>
          <w:szCs w:val="24"/>
        </w:rPr>
      </w:pPr>
      <w:r w:rsidRPr="009B37F1">
        <w:rPr>
          <w:rFonts w:asciiTheme="minorHAnsi" w:hAnsiTheme="minorHAnsi" w:cstheme="minorHAnsi"/>
          <w:sz w:val="24"/>
          <w:szCs w:val="24"/>
        </w:rPr>
        <w:t>For recommendation #12, some additional context has been provided that may help explain the thinking behind the EPDP Team’s original recommendation. However, there is no agreement at this stage on whether or not the Board’s non-adoption should be support</w:t>
      </w:r>
      <w:r w:rsidR="007D5801">
        <w:rPr>
          <w:rFonts w:asciiTheme="minorHAnsi" w:hAnsiTheme="minorHAnsi" w:cstheme="minorHAnsi"/>
          <w:sz w:val="24"/>
          <w:szCs w:val="24"/>
        </w:rPr>
        <w:t>ed</w:t>
      </w:r>
      <w:r w:rsidRPr="009B37F1">
        <w:rPr>
          <w:rFonts w:asciiTheme="minorHAnsi" w:hAnsiTheme="minorHAnsi" w:cstheme="minorHAnsi"/>
          <w:sz w:val="24"/>
          <w:szCs w:val="24"/>
        </w:rPr>
        <w:t xml:space="preserve">. </w:t>
      </w:r>
    </w:p>
    <w:p w14:paraId="72E0917A" w14:textId="77777777" w:rsidR="009B37F1" w:rsidRPr="009B37F1" w:rsidRDefault="009B37F1" w:rsidP="009B37F1">
      <w:pPr>
        <w:rPr>
          <w:rFonts w:cstheme="minorHAnsi"/>
        </w:rPr>
      </w:pPr>
    </w:p>
    <w:p w14:paraId="104B4EC5" w14:textId="77777777" w:rsidR="009B37F1" w:rsidRPr="009B37F1" w:rsidRDefault="009B37F1" w:rsidP="009B37F1">
      <w:pPr>
        <w:rPr>
          <w:rFonts w:eastAsia="Times New Roman" w:cstheme="minorHAnsi"/>
        </w:rPr>
      </w:pPr>
      <w:r w:rsidRPr="009B37F1">
        <w:rPr>
          <w:rFonts w:cstheme="minorHAnsi"/>
        </w:rPr>
        <w:t xml:space="preserve">The EPDP Team understands that following the GNSO Council’s consultation with the ICANN Board you will follow up with us </w:t>
      </w:r>
      <w:r w:rsidRPr="009B37F1">
        <w:rPr>
          <w:rFonts w:eastAsia="Times New Roman" w:cstheme="minorHAnsi"/>
        </w:rPr>
        <w:t xml:space="preserve">to provide </w:t>
      </w:r>
      <w:r w:rsidRPr="009B37F1">
        <w:rPr>
          <w:rFonts w:eastAsia="Times New Roman" w:cstheme="minorHAnsi"/>
        </w:rPr>
        <w:t xml:space="preserve">an </w:t>
      </w:r>
      <w:r w:rsidRPr="009B37F1">
        <w:rPr>
          <w:rFonts w:eastAsia="Times New Roman" w:cstheme="minorHAnsi"/>
        </w:rPr>
        <w:t>update on dialogue with ICANN Board and request</w:t>
      </w:r>
      <w:r w:rsidRPr="009B37F1">
        <w:rPr>
          <w:rFonts w:eastAsia="Times New Roman" w:cstheme="minorHAnsi"/>
        </w:rPr>
        <w:t xml:space="preserve"> further</w:t>
      </w:r>
      <w:r w:rsidRPr="009B37F1">
        <w:rPr>
          <w:rFonts w:eastAsia="Times New Roman" w:cstheme="minorHAnsi"/>
        </w:rPr>
        <w:t xml:space="preserve"> input on the possible next steps for GNSO Council</w:t>
      </w:r>
      <w:r w:rsidRPr="009B37F1">
        <w:rPr>
          <w:rFonts w:eastAsia="Times New Roman" w:cstheme="minorHAnsi"/>
        </w:rPr>
        <w:t xml:space="preserve">. The EPDP Team stands ready to assist as needed. </w:t>
      </w:r>
    </w:p>
    <w:p w14:paraId="575FDED3" w14:textId="77777777" w:rsidR="009B37F1" w:rsidRPr="009B37F1" w:rsidRDefault="009B37F1" w:rsidP="009B37F1">
      <w:pPr>
        <w:rPr>
          <w:rFonts w:eastAsia="Times New Roman" w:cstheme="minorHAnsi"/>
        </w:rPr>
      </w:pPr>
    </w:p>
    <w:p w14:paraId="672470AD" w14:textId="77777777" w:rsidR="009B37F1" w:rsidRPr="009B37F1" w:rsidRDefault="009B37F1" w:rsidP="009B37F1">
      <w:pPr>
        <w:rPr>
          <w:rFonts w:eastAsia="Times New Roman" w:cstheme="minorHAnsi"/>
        </w:rPr>
      </w:pPr>
      <w:r w:rsidRPr="009B37F1">
        <w:rPr>
          <w:rFonts w:eastAsia="Times New Roman" w:cstheme="minorHAnsi"/>
        </w:rPr>
        <w:t>Best regards,</w:t>
      </w:r>
    </w:p>
    <w:p w14:paraId="31119461" w14:textId="77777777" w:rsidR="009B37F1" w:rsidRPr="009B37F1" w:rsidRDefault="009B37F1" w:rsidP="009B37F1">
      <w:pPr>
        <w:rPr>
          <w:rFonts w:eastAsia="Times New Roman" w:cstheme="minorHAnsi"/>
        </w:rPr>
      </w:pPr>
    </w:p>
    <w:p w14:paraId="0DCB42C0" w14:textId="7744A835" w:rsidR="004664B7" w:rsidRPr="009B37F1" w:rsidRDefault="009B37F1" w:rsidP="009B37F1">
      <w:pPr>
        <w:rPr>
          <w:rFonts w:cstheme="minorHAnsi"/>
        </w:rPr>
      </w:pPr>
      <w:r w:rsidRPr="009B37F1">
        <w:rPr>
          <w:rFonts w:eastAsia="Times New Roman" w:cstheme="minorHAnsi"/>
        </w:rPr>
        <w:t xml:space="preserve">Janis </w:t>
      </w:r>
      <w:proofErr w:type="spellStart"/>
      <w:r w:rsidRPr="009B37F1">
        <w:rPr>
          <w:rFonts w:eastAsia="Times New Roman" w:cstheme="minorHAnsi"/>
        </w:rPr>
        <w:t>Karklins</w:t>
      </w:r>
      <w:proofErr w:type="spellEnd"/>
      <w:r w:rsidRPr="009B37F1">
        <w:rPr>
          <w:rFonts w:cstheme="minorHAnsi"/>
        </w:rPr>
        <w:t xml:space="preserve"> </w:t>
      </w:r>
      <w:r w:rsidR="004664B7" w:rsidRPr="009B37F1">
        <w:rPr>
          <w:rFonts w:cstheme="minorHAnsi"/>
        </w:rPr>
        <w:br w:type="page"/>
      </w:r>
    </w:p>
    <w:p w14:paraId="4A153759" w14:textId="77777777" w:rsidR="00551947" w:rsidRDefault="00551947">
      <w:pPr>
        <w:rPr>
          <w:rFonts w:eastAsia="Arial" w:cstheme="minorHAnsi"/>
          <w:b/>
          <w:bCs/>
          <w:sz w:val="22"/>
          <w:szCs w:val="22"/>
        </w:rPr>
      </w:pPr>
    </w:p>
    <w:p w14:paraId="4C95FFE0" w14:textId="5BCACA99"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t>ANNEX A</w:t>
      </w:r>
    </w:p>
    <w:p w14:paraId="7DC55232" w14:textId="63587EE1" w:rsidR="00943AC2" w:rsidRPr="009B37F1" w:rsidRDefault="00943AC2" w:rsidP="00943AC2">
      <w:pPr>
        <w:pStyle w:val="Heading1"/>
        <w:ind w:left="0"/>
        <w:rPr>
          <w:rFonts w:ascii="Calibri" w:hAnsi="Calibri" w:cs="Calibri"/>
          <w:sz w:val="24"/>
          <w:szCs w:val="24"/>
        </w:rPr>
      </w:pPr>
    </w:p>
    <w:p w14:paraId="55086703" w14:textId="1F633916" w:rsidR="00943AC2" w:rsidRPr="0047560E" w:rsidRDefault="00943AC2"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Input from Registrar Stakeholder Group</w:t>
      </w:r>
    </w:p>
    <w:p w14:paraId="3A1EC98E" w14:textId="77777777" w:rsidR="00943AC2" w:rsidRPr="0047560E" w:rsidRDefault="00943AC2" w:rsidP="0047560E">
      <w:pPr>
        <w:pStyle w:val="Heading1"/>
        <w:ind w:left="0"/>
        <w:rPr>
          <w:rFonts w:asciiTheme="minorHAnsi" w:hAnsiTheme="minorHAnsi" w:cstheme="minorHAnsi"/>
          <w:sz w:val="24"/>
          <w:szCs w:val="24"/>
        </w:rPr>
      </w:pPr>
    </w:p>
    <w:p w14:paraId="4E0B2F3E" w14:textId="77777777" w:rsidR="0047560E" w:rsidRPr="0047560E" w:rsidRDefault="0047560E" w:rsidP="0047560E">
      <w:pPr>
        <w:pStyle w:val="Heading1"/>
        <w:spacing w:before="65"/>
        <w:ind w:left="0"/>
        <w:rPr>
          <w:rFonts w:asciiTheme="minorHAnsi" w:hAnsiTheme="minorHAnsi" w:cstheme="minorHAnsi"/>
          <w:sz w:val="24"/>
          <w:szCs w:val="24"/>
        </w:rPr>
      </w:pPr>
      <w:bookmarkStart w:id="0" w:name="RrSG_feedback_re_Council_&amp;_Board_Consult"/>
      <w:bookmarkEnd w:id="0"/>
      <w:r w:rsidRPr="0047560E">
        <w:rPr>
          <w:rFonts w:asciiTheme="minorHAnsi" w:hAnsiTheme="minorHAnsi" w:cstheme="minorHAnsi"/>
          <w:sz w:val="24"/>
          <w:szCs w:val="24"/>
        </w:rPr>
        <w:t>Recommendation 1</w:t>
      </w:r>
    </w:p>
    <w:p w14:paraId="1E204693" w14:textId="77777777" w:rsidR="0047560E" w:rsidRPr="0047560E" w:rsidRDefault="0047560E" w:rsidP="0047560E">
      <w:pPr>
        <w:pStyle w:val="BodyText"/>
        <w:spacing w:before="4"/>
        <w:ind w:left="0"/>
        <w:rPr>
          <w:rFonts w:asciiTheme="minorHAnsi" w:hAnsiTheme="minorHAnsi" w:cstheme="minorHAnsi"/>
          <w:b/>
          <w:sz w:val="24"/>
          <w:szCs w:val="24"/>
        </w:rPr>
      </w:pPr>
    </w:p>
    <w:p w14:paraId="57404234" w14:textId="77777777" w:rsidR="0047560E" w:rsidRPr="0047560E" w:rsidRDefault="0047560E" w:rsidP="0047560E">
      <w:pPr>
        <w:pStyle w:val="BodyText"/>
        <w:spacing w:line="256" w:lineRule="auto"/>
        <w:ind w:left="0" w:right="265"/>
        <w:rPr>
          <w:rFonts w:asciiTheme="minorHAnsi" w:hAnsiTheme="minorHAnsi" w:cstheme="minorHAnsi"/>
          <w:sz w:val="24"/>
          <w:szCs w:val="24"/>
        </w:rPr>
      </w:pPr>
      <w:r w:rsidRPr="0047560E">
        <w:rPr>
          <w:rFonts w:asciiTheme="minorHAnsi" w:hAnsiTheme="minorHAnsi" w:cstheme="minorHAnsi"/>
          <w:sz w:val="24"/>
          <w:szCs w:val="24"/>
        </w:rPr>
        <w:t xml:space="preserve">The </w:t>
      </w:r>
      <w:proofErr w:type="spellStart"/>
      <w:r w:rsidRPr="0047560E">
        <w:rPr>
          <w:rFonts w:asciiTheme="minorHAnsi" w:hAnsiTheme="minorHAnsi" w:cstheme="minorHAnsi"/>
          <w:sz w:val="24"/>
          <w:szCs w:val="24"/>
        </w:rPr>
        <w:t>RrSG</w:t>
      </w:r>
      <w:proofErr w:type="spellEnd"/>
      <w:r w:rsidRPr="0047560E">
        <w:rPr>
          <w:rFonts w:asciiTheme="minorHAnsi" w:hAnsiTheme="minorHAnsi" w:cstheme="minorHAnsi"/>
          <w:sz w:val="24"/>
          <w:szCs w:val="24"/>
        </w:rPr>
        <w:t xml:space="preserve"> does not have significant concerns with regard to Recommendation #1, Purpose #2. The Board’s decision is aligned with our position since the very beginning of Phase </w:t>
      </w:r>
      <w:proofErr w:type="gramStart"/>
      <w:r w:rsidRPr="0047560E">
        <w:rPr>
          <w:rFonts w:asciiTheme="minorHAnsi" w:hAnsiTheme="minorHAnsi" w:cstheme="minorHAnsi"/>
          <w:sz w:val="24"/>
          <w:szCs w:val="24"/>
        </w:rPr>
        <w:t>1, and</w:t>
      </w:r>
      <w:proofErr w:type="gramEnd"/>
      <w:r w:rsidRPr="0047560E">
        <w:rPr>
          <w:rFonts w:asciiTheme="minorHAnsi" w:hAnsiTheme="minorHAnsi" w:cstheme="minorHAnsi"/>
          <w:sz w:val="24"/>
          <w:szCs w:val="24"/>
        </w:rPr>
        <w:t xml:space="preserve"> is also aligned with the recent letter to ICANN from the European Commission.</w:t>
      </w:r>
    </w:p>
    <w:p w14:paraId="5738A5B2" w14:textId="77777777" w:rsidR="0047560E" w:rsidRPr="0047560E" w:rsidRDefault="0047560E" w:rsidP="0047560E">
      <w:pPr>
        <w:pStyle w:val="BodyText"/>
        <w:spacing w:before="9"/>
        <w:ind w:left="0"/>
        <w:rPr>
          <w:rFonts w:asciiTheme="minorHAnsi" w:hAnsiTheme="minorHAnsi" w:cstheme="minorHAnsi"/>
          <w:sz w:val="24"/>
          <w:szCs w:val="24"/>
        </w:rPr>
      </w:pPr>
    </w:p>
    <w:p w14:paraId="33399194"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12</w:t>
      </w:r>
    </w:p>
    <w:p w14:paraId="4292B488" w14:textId="77777777" w:rsidR="0047560E" w:rsidRPr="0047560E" w:rsidRDefault="0047560E" w:rsidP="0047560E">
      <w:pPr>
        <w:pStyle w:val="BodyText"/>
        <w:ind w:left="0"/>
        <w:rPr>
          <w:rFonts w:asciiTheme="minorHAnsi" w:hAnsiTheme="minorHAnsi" w:cstheme="minorHAnsi"/>
          <w:b/>
          <w:sz w:val="24"/>
          <w:szCs w:val="24"/>
        </w:rPr>
      </w:pPr>
    </w:p>
    <w:p w14:paraId="1124901D" w14:textId="77777777" w:rsidR="0047560E" w:rsidRPr="0047560E" w:rsidRDefault="0047560E" w:rsidP="0047560E">
      <w:pPr>
        <w:pStyle w:val="BodyText"/>
        <w:spacing w:line="256" w:lineRule="auto"/>
        <w:ind w:left="0" w:right="400"/>
        <w:rPr>
          <w:rFonts w:asciiTheme="minorHAnsi" w:hAnsiTheme="minorHAnsi" w:cstheme="minorHAnsi"/>
          <w:sz w:val="24"/>
          <w:szCs w:val="24"/>
        </w:rPr>
      </w:pPr>
      <w:r w:rsidRPr="0047560E">
        <w:rPr>
          <w:rFonts w:asciiTheme="minorHAnsi" w:hAnsiTheme="minorHAnsi" w:cstheme="minorHAnsi"/>
          <w:sz w:val="24"/>
          <w:szCs w:val="24"/>
        </w:rPr>
        <w:t xml:space="preserve">With regard to Recommendation #12 (Registrant Organization Field), the </w:t>
      </w:r>
      <w:proofErr w:type="spellStart"/>
      <w:r w:rsidRPr="0047560E">
        <w:rPr>
          <w:rFonts w:asciiTheme="minorHAnsi" w:hAnsiTheme="minorHAnsi" w:cstheme="minorHAnsi"/>
          <w:sz w:val="24"/>
          <w:szCs w:val="24"/>
        </w:rPr>
        <w:t>RrSG</w:t>
      </w:r>
      <w:proofErr w:type="spellEnd"/>
      <w:r w:rsidRPr="0047560E">
        <w:rPr>
          <w:rFonts w:asciiTheme="minorHAnsi" w:hAnsiTheme="minorHAnsi" w:cstheme="minorHAnsi"/>
          <w:sz w:val="24"/>
          <w:szCs w:val="24"/>
        </w:rPr>
        <w:t xml:space="preserve"> would like the Board to fully appreciate the complexities around this Recommendation, and how we arrived at Rec 12.</w:t>
      </w:r>
    </w:p>
    <w:p w14:paraId="42B95FAF" w14:textId="77777777" w:rsidR="0047560E" w:rsidRPr="0047560E" w:rsidRDefault="0047560E" w:rsidP="0047560E">
      <w:pPr>
        <w:pStyle w:val="BodyText"/>
        <w:spacing w:before="9"/>
        <w:ind w:left="0"/>
        <w:rPr>
          <w:rFonts w:asciiTheme="minorHAnsi" w:hAnsiTheme="minorHAnsi" w:cstheme="minorHAnsi"/>
          <w:sz w:val="24"/>
          <w:szCs w:val="24"/>
        </w:rPr>
      </w:pPr>
    </w:p>
    <w:p w14:paraId="5C988A6C" w14:textId="77777777" w:rsidR="0047560E" w:rsidRPr="0047560E" w:rsidRDefault="0047560E" w:rsidP="0047560E">
      <w:pPr>
        <w:pStyle w:val="ListParagraph"/>
        <w:numPr>
          <w:ilvl w:val="0"/>
          <w:numId w:val="8"/>
        </w:numPr>
        <w:tabs>
          <w:tab w:val="left" w:pos="806"/>
          <w:tab w:val="left" w:pos="807"/>
        </w:tabs>
        <w:spacing w:line="256" w:lineRule="auto"/>
        <w:ind w:left="360" w:right="370" w:hanging="360"/>
        <w:rPr>
          <w:rFonts w:asciiTheme="minorHAnsi" w:hAnsiTheme="minorHAnsi" w:cstheme="minorHAnsi"/>
          <w:sz w:val="24"/>
          <w:szCs w:val="24"/>
        </w:rPr>
      </w:pPr>
      <w:r w:rsidRPr="0047560E">
        <w:rPr>
          <w:rFonts w:asciiTheme="minorHAnsi" w:hAnsiTheme="minorHAnsi" w:cstheme="minorHAnsi"/>
          <w:sz w:val="24"/>
          <w:szCs w:val="24"/>
        </w:rPr>
        <w:t xml:space="preserve">Rec 12 is a compromise between those who believe that the Registrant Org is not personal data, and those who believe it could possibly be personal </w:t>
      </w:r>
      <w:proofErr w:type="gramStart"/>
      <w:r w:rsidRPr="0047560E">
        <w:rPr>
          <w:rFonts w:asciiTheme="minorHAnsi" w:hAnsiTheme="minorHAnsi" w:cstheme="minorHAnsi"/>
          <w:sz w:val="24"/>
          <w:szCs w:val="24"/>
        </w:rPr>
        <w:t>data, or</w:t>
      </w:r>
      <w:proofErr w:type="gramEnd"/>
      <w:r w:rsidRPr="0047560E">
        <w:rPr>
          <w:rFonts w:asciiTheme="minorHAnsi" w:hAnsiTheme="minorHAnsi" w:cstheme="minorHAnsi"/>
          <w:sz w:val="24"/>
          <w:szCs w:val="24"/>
        </w:rPr>
        <w:t xml:space="preserve"> used to infer/obtain personal data via other sources (This last bit was supported by Bird &amp; Bird).</w:t>
      </w:r>
    </w:p>
    <w:p w14:paraId="630346DF"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Registrants and Registrars have been using Registrant Org in non-standard ways for almost 20 years. We have a significant legacy of mixed uses and purposes for this field. There is no standardization across the registrar landscape in how this field is utilized.</w:t>
      </w:r>
    </w:p>
    <w:p w14:paraId="0FC2B999" w14:textId="77777777" w:rsidR="0047560E" w:rsidRPr="0047560E" w:rsidRDefault="0047560E" w:rsidP="0047560E">
      <w:pPr>
        <w:pStyle w:val="ListParagraph"/>
        <w:numPr>
          <w:ilvl w:val="0"/>
          <w:numId w:val="8"/>
        </w:numPr>
        <w:tabs>
          <w:tab w:val="left" w:pos="806"/>
          <w:tab w:val="left" w:pos="807"/>
        </w:tabs>
        <w:spacing w:line="256" w:lineRule="auto"/>
        <w:ind w:left="360" w:right="615" w:hanging="360"/>
        <w:rPr>
          <w:rFonts w:asciiTheme="minorHAnsi" w:hAnsiTheme="minorHAnsi" w:cstheme="minorHAnsi"/>
          <w:sz w:val="24"/>
          <w:szCs w:val="24"/>
        </w:rPr>
      </w:pPr>
      <w:r w:rsidRPr="0047560E">
        <w:rPr>
          <w:rFonts w:asciiTheme="minorHAnsi" w:hAnsiTheme="minorHAnsi" w:cstheme="minorHAnsi"/>
          <w:sz w:val="24"/>
          <w:szCs w:val="24"/>
        </w:rPr>
        <w:t xml:space="preserve">No matter what the outcome, the </w:t>
      </w:r>
      <w:proofErr w:type="spellStart"/>
      <w:r w:rsidRPr="0047560E">
        <w:rPr>
          <w:rFonts w:asciiTheme="minorHAnsi" w:hAnsiTheme="minorHAnsi" w:cstheme="minorHAnsi"/>
          <w:sz w:val="24"/>
          <w:szCs w:val="24"/>
        </w:rPr>
        <w:t>ePDP</w:t>
      </w:r>
      <w:proofErr w:type="spellEnd"/>
      <w:r w:rsidRPr="0047560E">
        <w:rPr>
          <w:rFonts w:asciiTheme="minorHAnsi" w:hAnsiTheme="minorHAnsi" w:cstheme="minorHAnsi"/>
          <w:sz w:val="24"/>
          <w:szCs w:val="24"/>
        </w:rPr>
        <w:t xml:space="preserve"> will effectively “change the rules” for Registrants who may have entered data years ago without regard for the privacy implications.</w:t>
      </w:r>
    </w:p>
    <w:p w14:paraId="3C56DB3A"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We need to provide Registrants a path to confirm if the data entered in Registrant Org indicates that their domain name is actually registered by a legal (vs. natural) person. As this will result in the legal person’s Org data being published, this needs to be an explicit confirmation, similar to opt-in consent.</w:t>
      </w:r>
    </w:p>
    <w:p w14:paraId="6B252632"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If a Registrant explicitly deletes the data in Registrant Org, then Registrars should make this change in their own databases, and at the Registry.</w:t>
      </w:r>
    </w:p>
    <w:p w14:paraId="0B373C1C"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But if the Registrant doesn’t respond to attempts by the registrar to confirm the type of data subject they are, then that must be taken as an “opt-out” of the new rules supporting this field. (Privacy by Default)</w:t>
      </w:r>
    </w:p>
    <w:p w14:paraId="6109C008"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We have no method at this time to relay a consent status to the registry. Deletion of data is a workaround which allows the natural person’s Org field to remain private, but which may cause databases to get out of sync, thus negatively impacting the accuracy of registration data</w:t>
      </w:r>
    </w:p>
    <w:p w14:paraId="4E18E625"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If deletion was later found to be an error on the part of the Registrant, it is a trivial matter for them to re-enter the data.</w:t>
      </w:r>
    </w:p>
    <w:p w14:paraId="2C420138"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But if their personal data is exposed in error, then it cannot be un-exposed, and the Registrar/Registry involved could be subject to GDPR enforcement.</w:t>
      </w:r>
    </w:p>
    <w:p w14:paraId="7B358AC5"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Exposing the data by accident is an issue, but we also need to know our liability and responsibility under Art 17.2 of the GDPR.</w:t>
      </w:r>
    </w:p>
    <w:p w14:paraId="0AB2FF02" w14:textId="77777777" w:rsid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w:t>
      </w:r>
      <w:r w:rsidRPr="0047560E">
        <w:rPr>
          <w:rFonts w:asciiTheme="minorHAnsi" w:hAnsiTheme="minorHAnsi" w:cstheme="minorHAnsi"/>
          <w:spacing w:val="-5"/>
          <w:sz w:val="24"/>
          <w:szCs w:val="24"/>
        </w:rPr>
        <w:t xml:space="preserve"> </w:t>
      </w:r>
      <w:r w:rsidRPr="0047560E">
        <w:rPr>
          <w:rFonts w:asciiTheme="minorHAnsi" w:hAnsiTheme="minorHAnsi" w:cstheme="minorHAnsi"/>
          <w:sz w:val="24"/>
          <w:szCs w:val="24"/>
        </w:rPr>
        <w:t>data.</w:t>
      </w:r>
    </w:p>
    <w:p w14:paraId="035181CD" w14:textId="4AD93AD6"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The latest decision of the Polish DPA</w:t>
      </w:r>
      <w:r w:rsidRPr="0047560E">
        <w:rPr>
          <w:rFonts w:asciiTheme="minorHAnsi" w:hAnsiTheme="minorHAnsi" w:cstheme="minorHAnsi"/>
          <w:spacing w:val="-8"/>
          <w:sz w:val="24"/>
          <w:szCs w:val="24"/>
        </w:rPr>
        <w:t xml:space="preserve"> </w:t>
      </w:r>
      <w:r w:rsidRPr="0047560E">
        <w:rPr>
          <w:rFonts w:asciiTheme="minorHAnsi" w:hAnsiTheme="minorHAnsi" w:cstheme="minorHAnsi"/>
          <w:sz w:val="24"/>
          <w:szCs w:val="24"/>
        </w:rPr>
        <w:t>(see:</w:t>
      </w:r>
    </w:p>
    <w:p w14:paraId="68ED3EFB" w14:textId="0EAE231D" w:rsidR="0047560E" w:rsidRPr="0047560E" w:rsidRDefault="0047560E" w:rsidP="0047560E">
      <w:pPr>
        <w:pStyle w:val="BodyText"/>
        <w:spacing w:before="3"/>
        <w:ind w:left="360"/>
        <w:rPr>
          <w:rFonts w:asciiTheme="minorHAnsi" w:hAnsiTheme="minorHAnsi" w:cstheme="minorHAnsi"/>
          <w:sz w:val="24"/>
          <w:szCs w:val="24"/>
        </w:rPr>
      </w:pPr>
      <w:r>
        <w:rPr>
          <w:rFonts w:asciiTheme="minorHAnsi" w:hAnsiTheme="minorHAnsi" w:cstheme="minorHAnsi"/>
          <w:color w:val="1154CC"/>
          <w:sz w:val="24"/>
          <w:szCs w:val="24"/>
          <w:u w:val="single" w:color="1154CC"/>
        </w:rPr>
        <w:fldChar w:fldCharType="begin"/>
      </w:r>
      <w:r>
        <w:rPr>
          <w:rFonts w:asciiTheme="minorHAnsi" w:hAnsiTheme="minorHAnsi" w:cstheme="minorHAnsi"/>
          <w:color w:val="1154CC"/>
          <w:sz w:val="24"/>
          <w:szCs w:val="24"/>
          <w:u w:val="single" w:color="1154CC"/>
        </w:rPr>
        <w:instrText xml:space="preserve"> HYPERLINK "</w:instrText>
      </w:r>
      <w:r w:rsidRPr="0047560E">
        <w:rPr>
          <w:rFonts w:asciiTheme="minorHAnsi" w:hAnsiTheme="minorHAnsi" w:cstheme="minorHAnsi"/>
          <w:color w:val="1154CC"/>
          <w:sz w:val="24"/>
          <w:szCs w:val="24"/>
          <w:u w:val="single" w:color="1154CC"/>
        </w:rPr>
        <w:instrText>https://iapp.org/news/a/polish-dpas-first-fine-pay-close-attention/</w:instrText>
      </w:r>
      <w:r>
        <w:rPr>
          <w:rFonts w:asciiTheme="minorHAnsi" w:hAnsiTheme="minorHAnsi" w:cstheme="minorHAnsi"/>
          <w:color w:val="1154CC"/>
          <w:sz w:val="24"/>
          <w:szCs w:val="24"/>
          <w:u w:val="single" w:color="1154CC"/>
        </w:rPr>
        <w:instrText xml:space="preserve">" </w:instrText>
      </w:r>
      <w:r>
        <w:rPr>
          <w:rFonts w:asciiTheme="minorHAnsi" w:hAnsiTheme="minorHAnsi" w:cstheme="minorHAnsi"/>
          <w:color w:val="1154CC"/>
          <w:sz w:val="24"/>
          <w:szCs w:val="24"/>
          <w:u w:val="single" w:color="1154CC"/>
        </w:rPr>
        <w:fldChar w:fldCharType="separate"/>
      </w:r>
      <w:r w:rsidRPr="008B40AB">
        <w:rPr>
          <w:rStyle w:val="Hyperlink"/>
          <w:rFonts w:asciiTheme="minorHAnsi" w:hAnsiTheme="minorHAnsi" w:cstheme="minorHAnsi"/>
          <w:sz w:val="24"/>
          <w:szCs w:val="24"/>
        </w:rPr>
        <w:t>https://iapp.org/news/a/polish-dpas-first-fine-pay-close-attention/</w:t>
      </w:r>
      <w:r>
        <w:rPr>
          <w:rFonts w:asciiTheme="minorHAnsi" w:hAnsiTheme="minorHAnsi" w:cstheme="minorHAnsi"/>
          <w:color w:val="1154CC"/>
          <w:sz w:val="24"/>
          <w:szCs w:val="24"/>
          <w:u w:val="single" w:color="1154CC"/>
        </w:rPr>
        <w:fldChar w:fldCharType="end"/>
      </w:r>
      <w:r w:rsidRPr="0047560E">
        <w:rPr>
          <w:rFonts w:asciiTheme="minorHAnsi" w:hAnsiTheme="minorHAnsi" w:cstheme="minorHAnsi"/>
          <w:sz w:val="24"/>
          <w:szCs w:val="24"/>
        </w:rPr>
        <w:t>) indicates that</w:t>
      </w:r>
    </w:p>
    <w:p w14:paraId="70961526" w14:textId="77777777" w:rsidR="0047560E" w:rsidRPr="0047560E" w:rsidRDefault="0047560E" w:rsidP="0047560E">
      <w:pPr>
        <w:rPr>
          <w:rFonts w:cstheme="minorHAnsi"/>
        </w:rPr>
        <w:sectPr w:rsidR="0047560E" w:rsidRPr="0047560E" w:rsidSect="0047560E">
          <w:pgSz w:w="12240" w:h="20160"/>
          <w:pgMar w:top="1380" w:right="1340" w:bottom="280" w:left="1340" w:header="720" w:footer="720" w:gutter="0"/>
          <w:cols w:space="720"/>
          <w:docGrid w:linePitch="326"/>
        </w:sectPr>
      </w:pPr>
    </w:p>
    <w:p w14:paraId="48B64E36" w14:textId="77777777" w:rsidR="0047560E" w:rsidRPr="0047560E" w:rsidRDefault="0047560E" w:rsidP="0047560E">
      <w:pPr>
        <w:pStyle w:val="BodyText"/>
        <w:spacing w:before="65" w:line="256" w:lineRule="auto"/>
        <w:ind w:left="0" w:right="563"/>
        <w:rPr>
          <w:rFonts w:asciiTheme="minorHAnsi" w:hAnsiTheme="minorHAnsi" w:cstheme="minorHAnsi"/>
          <w:sz w:val="24"/>
          <w:szCs w:val="24"/>
        </w:rPr>
      </w:pPr>
      <w:r w:rsidRPr="0047560E">
        <w:rPr>
          <w:rFonts w:asciiTheme="minorHAnsi" w:hAnsiTheme="minorHAnsi" w:cstheme="minorHAnsi"/>
          <w:sz w:val="24"/>
          <w:szCs w:val="24"/>
        </w:rPr>
        <w:lastRenderedPageBreak/>
        <w:t xml:space="preserve">reasonable steps might involve a lot of WORK for us. </w:t>
      </w:r>
      <w:proofErr w:type="gramStart"/>
      <w:r w:rsidRPr="0047560E">
        <w:rPr>
          <w:rFonts w:asciiTheme="minorHAnsi" w:hAnsiTheme="minorHAnsi" w:cstheme="minorHAnsi"/>
          <w:sz w:val="24"/>
          <w:szCs w:val="24"/>
        </w:rPr>
        <w:t>Of course</w:t>
      </w:r>
      <w:proofErr w:type="gramEnd"/>
      <w:r w:rsidRPr="0047560E">
        <w:rPr>
          <w:rFonts w:asciiTheme="minorHAnsi" w:hAnsiTheme="minorHAnsi" w:cstheme="minorHAnsi"/>
          <w:sz w:val="24"/>
          <w:szCs w:val="24"/>
        </w:rPr>
        <w:t xml:space="preserve"> the first question here is, who is the controller? ICANN? CP's?</w:t>
      </w:r>
    </w:p>
    <w:p w14:paraId="14E34DC1" w14:textId="77777777" w:rsidR="0047560E" w:rsidRPr="0047560E" w:rsidRDefault="0047560E" w:rsidP="0047560E">
      <w:pPr>
        <w:pStyle w:val="BodyText"/>
        <w:spacing w:before="9"/>
        <w:ind w:left="0"/>
        <w:rPr>
          <w:rFonts w:asciiTheme="minorHAnsi" w:hAnsiTheme="minorHAnsi" w:cstheme="minorHAnsi"/>
          <w:sz w:val="24"/>
          <w:szCs w:val="24"/>
        </w:rPr>
      </w:pPr>
    </w:p>
    <w:p w14:paraId="6F2A9A4F"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u w:val="single"/>
        </w:rPr>
        <w:t>Possible solutions</w:t>
      </w:r>
    </w:p>
    <w:p w14:paraId="506EC78D" w14:textId="77777777" w:rsidR="0047560E" w:rsidRPr="0047560E" w:rsidRDefault="0047560E" w:rsidP="0047560E">
      <w:pPr>
        <w:pStyle w:val="BodyText"/>
        <w:spacing w:before="4"/>
        <w:ind w:left="0"/>
        <w:rPr>
          <w:rFonts w:asciiTheme="minorHAnsi" w:hAnsiTheme="minorHAnsi" w:cstheme="minorHAnsi"/>
          <w:sz w:val="24"/>
          <w:szCs w:val="24"/>
        </w:rPr>
      </w:pPr>
    </w:p>
    <w:p w14:paraId="44EA59FE" w14:textId="77777777" w:rsidR="0047560E" w:rsidRPr="0047560E" w:rsidRDefault="0047560E" w:rsidP="0047560E">
      <w:pPr>
        <w:pStyle w:val="ListParagraph"/>
        <w:numPr>
          <w:ilvl w:val="0"/>
          <w:numId w:val="7"/>
        </w:numPr>
        <w:tabs>
          <w:tab w:val="left" w:pos="822"/>
        </w:tabs>
        <w:spacing w:before="1" w:line="256" w:lineRule="auto"/>
        <w:ind w:left="0" w:right="160" w:firstLine="0"/>
        <w:rPr>
          <w:rFonts w:asciiTheme="minorHAnsi" w:hAnsiTheme="minorHAnsi" w:cstheme="minorHAnsi"/>
          <w:sz w:val="24"/>
          <w:szCs w:val="24"/>
        </w:rPr>
      </w:pPr>
      <w:r w:rsidRPr="0047560E">
        <w:rPr>
          <w:rFonts w:asciiTheme="minorHAnsi" w:hAnsiTheme="minorHAnsi" w:cstheme="minorHAnsi"/>
          <w:sz w:val="24"/>
          <w:szCs w:val="24"/>
        </w:rPr>
        <w:t>The Board's concern was that deleting the Org field would result in a domain with no valid owner (e.g. first/last name is 'domain admin'). However, the option to delete the data is important for the reasons listed above. One solution would be to follow a process similar to what the EPDP team already agreed on in Rec 29, which says in part, "...prior to eliminating Administrative Contact fields, all Registrars must ensure that each registration contains Registered Name Holder contact information." We could add a similar obligation in Rec 12, that prior to deletion of the Org field data the registrar should ensure there's a valid registrant</w:t>
      </w:r>
      <w:r w:rsidRPr="0047560E">
        <w:rPr>
          <w:rFonts w:asciiTheme="minorHAnsi" w:hAnsiTheme="minorHAnsi" w:cstheme="minorHAnsi"/>
          <w:spacing w:val="-12"/>
          <w:sz w:val="24"/>
          <w:szCs w:val="24"/>
        </w:rPr>
        <w:t xml:space="preserve"> </w:t>
      </w:r>
      <w:r w:rsidRPr="0047560E">
        <w:rPr>
          <w:rFonts w:asciiTheme="minorHAnsi" w:hAnsiTheme="minorHAnsi" w:cstheme="minorHAnsi"/>
          <w:sz w:val="24"/>
          <w:szCs w:val="24"/>
        </w:rPr>
        <w:t>name.</w:t>
      </w:r>
    </w:p>
    <w:p w14:paraId="1299665B" w14:textId="77777777" w:rsidR="0047560E" w:rsidRPr="0047560E" w:rsidRDefault="0047560E" w:rsidP="0047560E">
      <w:pPr>
        <w:pStyle w:val="BodyText"/>
        <w:ind w:left="0"/>
        <w:rPr>
          <w:rFonts w:asciiTheme="minorHAnsi" w:hAnsiTheme="minorHAnsi" w:cstheme="minorHAnsi"/>
          <w:sz w:val="24"/>
          <w:szCs w:val="24"/>
        </w:rPr>
      </w:pPr>
    </w:p>
    <w:p w14:paraId="21F86FED" w14:textId="77777777" w:rsidR="0047560E" w:rsidRPr="0047560E" w:rsidRDefault="0047560E" w:rsidP="0047560E">
      <w:pPr>
        <w:pStyle w:val="ListParagraph"/>
        <w:numPr>
          <w:ilvl w:val="0"/>
          <w:numId w:val="7"/>
        </w:numPr>
        <w:tabs>
          <w:tab w:val="left" w:pos="822"/>
        </w:tabs>
        <w:spacing w:line="256" w:lineRule="auto"/>
        <w:ind w:left="0" w:right="367" w:firstLine="0"/>
        <w:rPr>
          <w:rFonts w:asciiTheme="minorHAnsi" w:hAnsiTheme="minorHAnsi" w:cstheme="minorHAnsi"/>
          <w:sz w:val="24"/>
          <w:szCs w:val="24"/>
        </w:rPr>
      </w:pPr>
      <w:r w:rsidRPr="0047560E">
        <w:rPr>
          <w:rFonts w:asciiTheme="minorHAnsi" w:hAnsiTheme="minorHAnsi" w:cstheme="minorHAnsi"/>
          <w:sz w:val="24"/>
          <w:szCs w:val="24"/>
        </w:rPr>
        <w:t>Another alternative to deletion would be continued redaction if no opt-in is received so the registry would continue to only get the redaction notice/placeholder data (exact method TBD depending on Phase 1 IRT</w:t>
      </w:r>
      <w:r w:rsidRPr="0047560E">
        <w:rPr>
          <w:rFonts w:asciiTheme="minorHAnsi" w:hAnsiTheme="minorHAnsi" w:cstheme="minorHAnsi"/>
          <w:spacing w:val="-14"/>
          <w:sz w:val="24"/>
          <w:szCs w:val="24"/>
        </w:rPr>
        <w:t xml:space="preserve"> </w:t>
      </w:r>
      <w:r w:rsidRPr="0047560E">
        <w:rPr>
          <w:rFonts w:asciiTheme="minorHAnsi" w:hAnsiTheme="minorHAnsi" w:cstheme="minorHAnsi"/>
          <w:sz w:val="24"/>
          <w:szCs w:val="24"/>
        </w:rPr>
        <w:t>outcomes).</w:t>
      </w:r>
    </w:p>
    <w:p w14:paraId="75840A93" w14:textId="77777777" w:rsidR="00943AC2" w:rsidRPr="009B37F1" w:rsidRDefault="00943AC2" w:rsidP="00943AC2">
      <w:pPr>
        <w:autoSpaceDE w:val="0"/>
        <w:autoSpaceDN w:val="0"/>
        <w:adjustRightInd w:val="0"/>
        <w:rPr>
          <w:rFonts w:ascii="Calibri" w:hAnsi="Calibri" w:cs="Calibri"/>
          <w:color w:val="000000"/>
        </w:rPr>
      </w:pPr>
    </w:p>
    <w:p w14:paraId="484D9365" w14:textId="77777777" w:rsidR="00551947" w:rsidRPr="009B37F1" w:rsidRDefault="00551947">
      <w:pPr>
        <w:rPr>
          <w:rFonts w:ascii="Calibri" w:eastAsia="Arial" w:hAnsi="Calibri" w:cs="Calibri"/>
          <w:b/>
          <w:bCs/>
        </w:rPr>
      </w:pPr>
      <w:r w:rsidRPr="009B37F1">
        <w:rPr>
          <w:rFonts w:ascii="Calibri" w:hAnsi="Calibri" w:cs="Calibri"/>
        </w:rPr>
        <w:br w:type="page"/>
      </w:r>
    </w:p>
    <w:p w14:paraId="707583BA" w14:textId="26132A61"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lastRenderedPageBreak/>
        <w:t>Input from Regist</w:t>
      </w:r>
      <w:r w:rsidR="00551947" w:rsidRPr="009B37F1">
        <w:rPr>
          <w:rFonts w:ascii="Calibri" w:hAnsi="Calibri" w:cs="Calibri"/>
          <w:sz w:val="24"/>
          <w:szCs w:val="24"/>
        </w:rPr>
        <w:t>r</w:t>
      </w:r>
      <w:r w:rsidRPr="009B37F1">
        <w:rPr>
          <w:rFonts w:ascii="Calibri" w:hAnsi="Calibri" w:cs="Calibri"/>
          <w:sz w:val="24"/>
          <w:szCs w:val="24"/>
        </w:rPr>
        <w:t>y</w:t>
      </w:r>
      <w:r w:rsidRPr="009B37F1">
        <w:rPr>
          <w:rFonts w:ascii="Calibri" w:hAnsi="Calibri" w:cs="Calibri"/>
          <w:sz w:val="24"/>
          <w:szCs w:val="24"/>
        </w:rPr>
        <w:t xml:space="preserve"> Stakeholder Group</w:t>
      </w:r>
    </w:p>
    <w:p w14:paraId="03AF2044" w14:textId="77777777" w:rsidR="00943AC2" w:rsidRPr="0047560E" w:rsidRDefault="00943AC2" w:rsidP="0047560E">
      <w:pPr>
        <w:autoSpaceDE w:val="0"/>
        <w:autoSpaceDN w:val="0"/>
        <w:adjustRightInd w:val="0"/>
        <w:rPr>
          <w:rFonts w:cstheme="minorHAnsi"/>
          <w:color w:val="000000"/>
        </w:rPr>
      </w:pPr>
    </w:p>
    <w:p w14:paraId="6668BC2C" w14:textId="2C0167CA" w:rsidR="00943AC2" w:rsidRPr="0047560E" w:rsidRDefault="00943AC2" w:rsidP="0047560E">
      <w:pPr>
        <w:autoSpaceDE w:val="0"/>
        <w:autoSpaceDN w:val="0"/>
        <w:adjustRightInd w:val="0"/>
        <w:rPr>
          <w:rFonts w:cstheme="minorHAnsi"/>
          <w:color w:val="000000"/>
        </w:rPr>
      </w:pPr>
      <w:r w:rsidRPr="0047560E">
        <w:rPr>
          <w:rFonts w:cstheme="minorHAnsi"/>
          <w:color w:val="000000"/>
        </w:rPr>
        <w:t>GNSO</w:t>
      </w:r>
      <w:r w:rsidRPr="0047560E">
        <w:rPr>
          <w:rFonts w:cstheme="minorHAnsi"/>
          <w:color w:val="000000"/>
        </w:rPr>
        <w:t xml:space="preserve"> </w:t>
      </w:r>
      <w:r w:rsidRPr="0047560E">
        <w:rPr>
          <w:rFonts w:cstheme="minorHAnsi"/>
          <w:color w:val="000000"/>
        </w:rPr>
        <w:t>Council</w:t>
      </w:r>
      <w:r w:rsidRPr="0047560E">
        <w:rPr>
          <w:rFonts w:cstheme="minorHAnsi"/>
          <w:color w:val="000000"/>
        </w:rPr>
        <w:t xml:space="preserve"> </w:t>
      </w:r>
      <w:r w:rsidRPr="0047560E">
        <w:rPr>
          <w:rFonts w:cstheme="minorHAnsi"/>
          <w:color w:val="000000"/>
        </w:rPr>
        <w:t>feedback</w:t>
      </w:r>
      <w:r w:rsidRPr="0047560E">
        <w:rPr>
          <w:rFonts w:cstheme="minorHAnsi"/>
          <w:color w:val="000000"/>
        </w:rPr>
        <w:t xml:space="preserve"> </w:t>
      </w:r>
      <w:r w:rsidRPr="0047560E">
        <w:rPr>
          <w:rFonts w:cstheme="minorHAnsi"/>
          <w:color w:val="000000"/>
        </w:rPr>
        <w:t>–</w:t>
      </w:r>
      <w:r w:rsidRPr="0047560E">
        <w:rPr>
          <w:rFonts w:cstheme="minorHAnsi"/>
          <w:color w:val="000000"/>
        </w:rPr>
        <w:t xml:space="preserve"> </w:t>
      </w:r>
      <w:r w:rsidRPr="0047560E">
        <w:rPr>
          <w:rFonts w:cstheme="minorHAnsi"/>
          <w:color w:val="000000"/>
        </w:rPr>
        <w:t>Board</w:t>
      </w:r>
      <w:r w:rsidRPr="0047560E">
        <w:rPr>
          <w:rFonts w:cstheme="minorHAnsi"/>
          <w:color w:val="000000"/>
        </w:rPr>
        <w:t xml:space="preserve"> c</w:t>
      </w:r>
      <w:r w:rsidRPr="0047560E">
        <w:rPr>
          <w:rFonts w:cstheme="minorHAnsi"/>
          <w:color w:val="000000"/>
        </w:rPr>
        <w:t>onsultation</w:t>
      </w:r>
      <w:r w:rsidRPr="0047560E">
        <w:rPr>
          <w:rFonts w:cstheme="minorHAnsi"/>
          <w:color w:val="000000"/>
        </w:rPr>
        <w:t xml:space="preserve"> </w:t>
      </w:r>
      <w:proofErr w:type="spellStart"/>
      <w:r w:rsidRPr="0047560E">
        <w:rPr>
          <w:rFonts w:cstheme="minorHAnsi"/>
          <w:color w:val="000000"/>
        </w:rPr>
        <w:t>RySG</w:t>
      </w:r>
      <w:proofErr w:type="spellEnd"/>
      <w:r w:rsidRPr="0047560E">
        <w:rPr>
          <w:rFonts w:cstheme="minorHAnsi"/>
          <w:color w:val="000000"/>
        </w:rPr>
        <w:t xml:space="preserve"> </w:t>
      </w:r>
      <w:r w:rsidRPr="0047560E">
        <w:rPr>
          <w:rFonts w:cstheme="minorHAnsi"/>
          <w:color w:val="000000"/>
        </w:rPr>
        <w:t>team</w:t>
      </w:r>
      <w:r w:rsidRPr="0047560E">
        <w:rPr>
          <w:rFonts w:cstheme="minorHAnsi"/>
          <w:color w:val="000000"/>
        </w:rPr>
        <w:t xml:space="preserve"> </w:t>
      </w:r>
      <w:r w:rsidRPr="0047560E">
        <w:rPr>
          <w:rFonts w:cstheme="minorHAnsi"/>
          <w:color w:val="000000"/>
        </w:rPr>
        <w:t>members</w:t>
      </w:r>
    </w:p>
    <w:p w14:paraId="43E309DD" w14:textId="77777777" w:rsidR="00943AC2" w:rsidRPr="0047560E" w:rsidRDefault="00943AC2" w:rsidP="0047560E">
      <w:pPr>
        <w:autoSpaceDE w:val="0"/>
        <w:autoSpaceDN w:val="0"/>
        <w:adjustRightInd w:val="0"/>
        <w:rPr>
          <w:rFonts w:cstheme="minorHAnsi"/>
          <w:color w:val="000000"/>
        </w:rPr>
      </w:pPr>
    </w:p>
    <w:p w14:paraId="2416128D"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rPr>
        <w:t xml:space="preserve">The following is </w:t>
      </w:r>
      <w:proofErr w:type="spellStart"/>
      <w:r w:rsidRPr="0047560E">
        <w:rPr>
          <w:rFonts w:asciiTheme="minorHAnsi" w:hAnsiTheme="minorHAnsi" w:cstheme="minorHAnsi"/>
          <w:sz w:val="24"/>
          <w:szCs w:val="24"/>
        </w:rPr>
        <w:t>RySG</w:t>
      </w:r>
      <w:proofErr w:type="spellEnd"/>
      <w:r w:rsidRPr="0047560E">
        <w:rPr>
          <w:rFonts w:asciiTheme="minorHAnsi" w:hAnsiTheme="minorHAnsi" w:cstheme="minorHAnsi"/>
          <w:sz w:val="24"/>
          <w:szCs w:val="24"/>
        </w:rPr>
        <w:t xml:space="preserve"> team member feedback for the GNSO council per request from GNSO council chair Keith </w:t>
      </w:r>
      <w:proofErr w:type="spellStart"/>
      <w:r w:rsidRPr="0047560E">
        <w:rPr>
          <w:rFonts w:asciiTheme="minorHAnsi" w:hAnsiTheme="minorHAnsi" w:cstheme="minorHAnsi"/>
          <w:sz w:val="24"/>
          <w:szCs w:val="24"/>
        </w:rPr>
        <w:t>Drazek</w:t>
      </w:r>
      <w:proofErr w:type="spellEnd"/>
      <w:r w:rsidRPr="0047560E">
        <w:rPr>
          <w:rFonts w:asciiTheme="minorHAnsi" w:hAnsiTheme="minorHAnsi" w:cstheme="minorHAnsi"/>
          <w:sz w:val="24"/>
          <w:szCs w:val="24"/>
        </w:rPr>
        <w:t xml:space="preserve"> to help inform their consultation with the ICANN Board resulting from the board’s partial acceptance of recommendation 1 and 12 of the </w:t>
      </w:r>
      <w:proofErr w:type="spellStart"/>
      <w:r w:rsidRPr="0047560E">
        <w:rPr>
          <w:rFonts w:asciiTheme="minorHAnsi" w:hAnsiTheme="minorHAnsi" w:cstheme="minorHAnsi"/>
          <w:sz w:val="24"/>
          <w:szCs w:val="24"/>
        </w:rPr>
        <w:t>ePDP</w:t>
      </w:r>
      <w:proofErr w:type="spellEnd"/>
      <w:r w:rsidRPr="0047560E">
        <w:rPr>
          <w:rFonts w:asciiTheme="minorHAnsi" w:hAnsiTheme="minorHAnsi" w:cstheme="minorHAnsi"/>
          <w:sz w:val="24"/>
          <w:szCs w:val="24"/>
        </w:rPr>
        <w:t xml:space="preserve"> phase 1 final report.</w:t>
      </w:r>
    </w:p>
    <w:p w14:paraId="7DD2685C" w14:textId="77777777" w:rsidR="0047560E" w:rsidRPr="0047560E" w:rsidRDefault="0047560E" w:rsidP="0047560E">
      <w:pPr>
        <w:pStyle w:val="BodyText"/>
        <w:spacing w:before="10"/>
        <w:ind w:left="0"/>
        <w:rPr>
          <w:rFonts w:asciiTheme="minorHAnsi" w:hAnsiTheme="minorHAnsi" w:cstheme="minorHAnsi"/>
          <w:sz w:val="24"/>
          <w:szCs w:val="24"/>
        </w:rPr>
      </w:pPr>
    </w:p>
    <w:p w14:paraId="0BFA9A0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We understand that the likely outcome of any council/board consultation is that for recommendation 1 and 12, the council may ask the board to reconsider the recommendations as is, may submit modifications to the recommendations for the board to consider or the council may accept the board’s partial acceptance of those two recommendations.</w:t>
      </w:r>
    </w:p>
    <w:p w14:paraId="27F36A64" w14:textId="77777777" w:rsidR="0047560E" w:rsidRPr="0047560E" w:rsidRDefault="0047560E" w:rsidP="0047560E">
      <w:pPr>
        <w:pStyle w:val="BodyText"/>
        <w:spacing w:before="8"/>
        <w:ind w:left="0"/>
        <w:rPr>
          <w:rFonts w:asciiTheme="minorHAnsi" w:hAnsiTheme="minorHAnsi" w:cstheme="minorHAnsi"/>
          <w:sz w:val="24"/>
          <w:szCs w:val="24"/>
        </w:rPr>
      </w:pPr>
    </w:p>
    <w:p w14:paraId="40453720"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 xml:space="preserve">We further note the ICANN Board resolution and accompanying scorecard includes responses intended for the </w:t>
      </w:r>
      <w:proofErr w:type="spellStart"/>
      <w:r w:rsidRPr="0047560E">
        <w:rPr>
          <w:rFonts w:asciiTheme="minorHAnsi" w:hAnsiTheme="minorHAnsi" w:cstheme="minorHAnsi"/>
          <w:sz w:val="24"/>
          <w:szCs w:val="24"/>
        </w:rPr>
        <w:t>ePDP</w:t>
      </w:r>
      <w:proofErr w:type="spellEnd"/>
      <w:r w:rsidRPr="0047560E">
        <w:rPr>
          <w:rFonts w:asciiTheme="minorHAnsi" w:hAnsiTheme="minorHAnsi" w:cstheme="minorHAnsi"/>
          <w:sz w:val="24"/>
          <w:szCs w:val="24"/>
        </w:rPr>
        <w:t>. These should be tracked and considered during our phase 2 deliberations as appropriate.</w:t>
      </w:r>
    </w:p>
    <w:p w14:paraId="3A609454" w14:textId="77777777" w:rsidR="0047560E" w:rsidRPr="0047560E" w:rsidRDefault="0047560E" w:rsidP="0047560E">
      <w:pPr>
        <w:pStyle w:val="BodyText"/>
        <w:spacing w:before="9"/>
        <w:ind w:left="0"/>
        <w:rPr>
          <w:rFonts w:asciiTheme="minorHAnsi" w:hAnsiTheme="minorHAnsi" w:cstheme="minorHAnsi"/>
          <w:sz w:val="24"/>
          <w:szCs w:val="24"/>
        </w:rPr>
      </w:pPr>
    </w:p>
    <w:p w14:paraId="26271BDB" w14:textId="77777777" w:rsidR="0047560E" w:rsidRPr="0047560E" w:rsidRDefault="0047560E" w:rsidP="0047560E">
      <w:pPr>
        <w:pStyle w:val="BodyText"/>
        <w:spacing w:before="1" w:line="285" w:lineRule="auto"/>
        <w:ind w:left="0" w:right="691"/>
        <w:rPr>
          <w:rFonts w:asciiTheme="minorHAnsi" w:hAnsiTheme="minorHAnsi" w:cstheme="minorHAnsi"/>
          <w:sz w:val="24"/>
          <w:szCs w:val="24"/>
        </w:rPr>
      </w:pPr>
      <w:r w:rsidRPr="0047560E">
        <w:rPr>
          <w:rFonts w:asciiTheme="minorHAnsi" w:hAnsiTheme="minorHAnsi" w:cstheme="minorHAnsi"/>
          <w:sz w:val="24"/>
          <w:szCs w:val="24"/>
        </w:rPr>
        <w:t xml:space="preserve">Letter from </w:t>
      </w:r>
      <w:proofErr w:type="spellStart"/>
      <w:r w:rsidRPr="0047560E">
        <w:rPr>
          <w:rFonts w:asciiTheme="minorHAnsi" w:hAnsiTheme="minorHAnsi" w:cstheme="minorHAnsi"/>
          <w:sz w:val="24"/>
          <w:szCs w:val="24"/>
        </w:rPr>
        <w:t>Chalaby</w:t>
      </w:r>
      <w:proofErr w:type="spellEnd"/>
      <w:r w:rsidRPr="0047560E">
        <w:rPr>
          <w:rFonts w:asciiTheme="minorHAnsi" w:hAnsiTheme="minorHAnsi" w:cstheme="minorHAnsi"/>
          <w:sz w:val="24"/>
          <w:szCs w:val="24"/>
        </w:rPr>
        <w:t xml:space="preserve"> to </w:t>
      </w:r>
      <w:proofErr w:type="spellStart"/>
      <w:r w:rsidRPr="0047560E">
        <w:rPr>
          <w:rFonts w:asciiTheme="minorHAnsi" w:hAnsiTheme="minorHAnsi" w:cstheme="minorHAnsi"/>
          <w:sz w:val="24"/>
          <w:szCs w:val="24"/>
        </w:rPr>
        <w:t>Drazek</w:t>
      </w:r>
      <w:proofErr w:type="spellEnd"/>
      <w:r w:rsidRPr="0047560E">
        <w:rPr>
          <w:rFonts w:asciiTheme="minorHAnsi" w:hAnsiTheme="minorHAnsi" w:cstheme="minorHAnsi"/>
          <w:sz w:val="24"/>
          <w:szCs w:val="24"/>
        </w:rPr>
        <w:t xml:space="preserve"> on board action: </w:t>
      </w:r>
      <w:hyperlink r:id="rId5">
        <w:r w:rsidRPr="0047560E">
          <w:rPr>
            <w:rFonts w:asciiTheme="minorHAnsi" w:hAnsiTheme="minorHAnsi" w:cstheme="minorHAnsi"/>
            <w:color w:val="1154CC"/>
            <w:sz w:val="24"/>
            <w:szCs w:val="24"/>
            <w:u w:val="single" w:color="1154CC"/>
          </w:rPr>
          <w:t>https://www.icann.org/en/system/files/correspondence/chalaby-to-drazek-15may19-en.pdf</w:t>
        </w:r>
      </w:hyperlink>
    </w:p>
    <w:p w14:paraId="45646305" w14:textId="77777777" w:rsidR="0047560E" w:rsidRPr="0047560E" w:rsidRDefault="0047560E" w:rsidP="0047560E">
      <w:pPr>
        <w:pStyle w:val="BodyText"/>
        <w:spacing w:before="10"/>
        <w:ind w:left="0"/>
        <w:rPr>
          <w:rFonts w:asciiTheme="minorHAnsi" w:hAnsiTheme="minorHAnsi" w:cstheme="minorHAnsi"/>
          <w:sz w:val="24"/>
          <w:szCs w:val="24"/>
        </w:rPr>
      </w:pPr>
    </w:p>
    <w:p w14:paraId="37379514"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rPr>
        <w:t>ICANN Board resolution:</w:t>
      </w:r>
    </w:p>
    <w:p w14:paraId="6A5EE712" w14:textId="77777777" w:rsidR="0047560E" w:rsidRPr="0047560E" w:rsidRDefault="0047560E" w:rsidP="0047560E">
      <w:pPr>
        <w:pStyle w:val="BodyText"/>
        <w:spacing w:before="47"/>
        <w:ind w:left="0"/>
        <w:rPr>
          <w:rFonts w:asciiTheme="minorHAnsi" w:hAnsiTheme="minorHAnsi" w:cstheme="minorHAnsi"/>
          <w:sz w:val="24"/>
          <w:szCs w:val="24"/>
        </w:rPr>
      </w:pPr>
      <w:r w:rsidRPr="0047560E">
        <w:rPr>
          <w:rFonts w:asciiTheme="minorHAnsi" w:hAnsiTheme="minorHAnsi" w:cstheme="minorHAnsi"/>
          <w:sz w:val="24"/>
          <w:szCs w:val="24"/>
        </w:rPr>
        <w:t>Preliminary report:</w:t>
      </w:r>
    </w:p>
    <w:p w14:paraId="55D39054" w14:textId="77777777" w:rsidR="0047560E" w:rsidRPr="0047560E" w:rsidRDefault="0047560E" w:rsidP="0047560E">
      <w:pPr>
        <w:pStyle w:val="BodyText"/>
        <w:spacing w:before="47" w:line="285" w:lineRule="auto"/>
        <w:ind w:left="0" w:right="1213"/>
        <w:rPr>
          <w:rFonts w:asciiTheme="minorHAnsi" w:hAnsiTheme="minorHAnsi" w:cstheme="minorHAnsi"/>
          <w:sz w:val="24"/>
          <w:szCs w:val="24"/>
        </w:rPr>
      </w:pPr>
      <w:hyperlink r:id="rId6">
        <w:r w:rsidRPr="0047560E">
          <w:rPr>
            <w:rFonts w:asciiTheme="minorHAnsi" w:hAnsiTheme="minorHAnsi" w:cstheme="minorHAnsi"/>
            <w:color w:val="1154CC"/>
            <w:sz w:val="24"/>
            <w:szCs w:val="24"/>
            <w:u w:val="single" w:color="1154CC"/>
          </w:rPr>
          <w:t>https://www.icann.org/resources/board-material/prelim-report-2019-05-15-en</w:t>
        </w:r>
      </w:hyperlink>
      <w:r w:rsidRPr="0047560E">
        <w:rPr>
          <w:rFonts w:asciiTheme="minorHAnsi" w:hAnsiTheme="minorHAnsi" w:cstheme="minorHAnsi"/>
          <w:color w:val="1154CC"/>
          <w:sz w:val="24"/>
          <w:szCs w:val="24"/>
        </w:rPr>
        <w:t xml:space="preserve"> </w:t>
      </w:r>
      <w:r w:rsidRPr="0047560E">
        <w:rPr>
          <w:rFonts w:asciiTheme="minorHAnsi" w:hAnsiTheme="minorHAnsi" w:cstheme="minorHAnsi"/>
          <w:sz w:val="24"/>
          <w:szCs w:val="24"/>
        </w:rPr>
        <w:t>Scorecard:</w:t>
      </w:r>
    </w:p>
    <w:p w14:paraId="3054CAD9" w14:textId="77777777" w:rsidR="0047560E" w:rsidRPr="0047560E" w:rsidRDefault="0047560E" w:rsidP="0047560E">
      <w:pPr>
        <w:pStyle w:val="BodyText"/>
        <w:spacing w:line="285" w:lineRule="auto"/>
        <w:ind w:left="0" w:right="1213"/>
        <w:rPr>
          <w:rFonts w:asciiTheme="minorHAnsi" w:hAnsiTheme="minorHAnsi" w:cstheme="minorHAnsi"/>
          <w:sz w:val="24"/>
          <w:szCs w:val="24"/>
        </w:rPr>
      </w:pPr>
      <w:hyperlink r:id="rId7">
        <w:r w:rsidRPr="0047560E">
          <w:rPr>
            <w:rFonts w:asciiTheme="minorHAnsi" w:hAnsiTheme="minorHAnsi" w:cstheme="minorHAnsi"/>
            <w:color w:val="1154CC"/>
            <w:sz w:val="24"/>
            <w:szCs w:val="24"/>
            <w:u w:val="single" w:color="1154CC"/>
          </w:rPr>
          <w:t>https://www.icann.org/en/system/files/files/epdp-scorecard-15may19-en.pdf</w:t>
        </w:r>
      </w:hyperlink>
      <w:r w:rsidRPr="0047560E">
        <w:rPr>
          <w:rFonts w:asciiTheme="minorHAnsi" w:hAnsiTheme="minorHAnsi" w:cstheme="minorHAnsi"/>
          <w:color w:val="1154CC"/>
          <w:sz w:val="24"/>
          <w:szCs w:val="24"/>
        </w:rPr>
        <w:t xml:space="preserve"> </w:t>
      </w:r>
      <w:r w:rsidRPr="0047560E">
        <w:rPr>
          <w:rFonts w:asciiTheme="minorHAnsi" w:hAnsiTheme="minorHAnsi" w:cstheme="minorHAnsi"/>
          <w:sz w:val="24"/>
          <w:szCs w:val="24"/>
        </w:rPr>
        <w:t>Approved Resolution:</w:t>
      </w:r>
    </w:p>
    <w:p w14:paraId="3FF6A2A0" w14:textId="77777777" w:rsidR="0047560E" w:rsidRPr="0047560E" w:rsidRDefault="0047560E" w:rsidP="0047560E">
      <w:pPr>
        <w:pStyle w:val="BodyText"/>
        <w:spacing w:line="251" w:lineRule="exact"/>
        <w:ind w:left="0"/>
        <w:rPr>
          <w:rFonts w:asciiTheme="minorHAnsi" w:hAnsiTheme="minorHAnsi" w:cstheme="minorHAnsi"/>
          <w:sz w:val="24"/>
          <w:szCs w:val="24"/>
        </w:rPr>
      </w:pPr>
      <w:hyperlink r:id="rId8">
        <w:r w:rsidRPr="0047560E">
          <w:rPr>
            <w:rFonts w:asciiTheme="minorHAnsi" w:hAnsiTheme="minorHAnsi" w:cstheme="minorHAnsi"/>
            <w:color w:val="1154CC"/>
            <w:sz w:val="24"/>
            <w:szCs w:val="24"/>
            <w:u w:val="single" w:color="1154CC"/>
          </w:rPr>
          <w:t>https://www.icann.org/resources/board-material/resolutions-2019-05-15-en</w:t>
        </w:r>
      </w:hyperlink>
    </w:p>
    <w:p w14:paraId="73C9AC03" w14:textId="77777777" w:rsidR="0047560E" w:rsidRPr="0047560E" w:rsidRDefault="0047560E" w:rsidP="0047560E">
      <w:pPr>
        <w:pStyle w:val="BodyText"/>
        <w:ind w:left="0"/>
        <w:rPr>
          <w:rFonts w:asciiTheme="minorHAnsi" w:hAnsiTheme="minorHAnsi" w:cstheme="minorHAnsi"/>
          <w:sz w:val="24"/>
          <w:szCs w:val="24"/>
        </w:rPr>
      </w:pPr>
    </w:p>
    <w:p w14:paraId="1AD8F1C4"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 (Purpose 2)</w:t>
      </w:r>
    </w:p>
    <w:p w14:paraId="0FBFBDA7" w14:textId="77777777" w:rsidR="0047560E" w:rsidRPr="0047560E" w:rsidRDefault="0047560E" w:rsidP="0047560E">
      <w:pPr>
        <w:pStyle w:val="BodyText"/>
        <w:spacing w:before="47" w:line="285" w:lineRule="auto"/>
        <w:ind w:left="0"/>
        <w:rPr>
          <w:rFonts w:asciiTheme="minorHAnsi" w:hAnsiTheme="minorHAnsi" w:cstheme="minorHAnsi"/>
          <w:sz w:val="24"/>
          <w:szCs w:val="24"/>
        </w:rPr>
      </w:pPr>
      <w:r w:rsidRPr="0047560E">
        <w:rPr>
          <w:rFonts w:asciiTheme="minorHAnsi" w:hAnsiTheme="minorHAnsi" w:cstheme="minorHAnsi"/>
          <w:sz w:val="24"/>
          <w:szCs w:val="24"/>
        </w:rPr>
        <w:t>Clearly the ICANN board considered the correspondence with the European Commission on the final report.</w:t>
      </w:r>
    </w:p>
    <w:p w14:paraId="49DB7427" w14:textId="77777777" w:rsidR="0047560E" w:rsidRPr="0047560E" w:rsidRDefault="0047560E" w:rsidP="0047560E">
      <w:pPr>
        <w:pStyle w:val="BodyText"/>
        <w:spacing w:before="10"/>
        <w:ind w:left="0"/>
        <w:rPr>
          <w:rFonts w:asciiTheme="minorHAnsi" w:hAnsiTheme="minorHAnsi" w:cstheme="minorHAnsi"/>
          <w:sz w:val="24"/>
          <w:szCs w:val="24"/>
        </w:rPr>
      </w:pPr>
    </w:p>
    <w:p w14:paraId="0303D6C3"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rPr>
        <w:t>Initial comments:</w:t>
      </w:r>
    </w:p>
    <w:p w14:paraId="45529B1B" w14:textId="77777777" w:rsidR="0047560E" w:rsidRPr="0047560E" w:rsidRDefault="0047560E" w:rsidP="0047560E">
      <w:pPr>
        <w:pStyle w:val="BodyText"/>
        <w:spacing w:before="47" w:line="285" w:lineRule="auto"/>
        <w:ind w:left="0" w:right="67"/>
        <w:rPr>
          <w:rFonts w:asciiTheme="minorHAnsi" w:hAnsiTheme="minorHAnsi" w:cstheme="minorHAnsi"/>
          <w:sz w:val="24"/>
          <w:szCs w:val="24"/>
        </w:rPr>
      </w:pPr>
      <w:hyperlink r:id="rId9">
        <w:r w:rsidRPr="0047560E">
          <w:rPr>
            <w:rFonts w:asciiTheme="minorHAnsi" w:hAnsiTheme="minorHAnsi" w:cstheme="minorHAnsi"/>
            <w:color w:val="1154CC"/>
            <w:sz w:val="24"/>
            <w:szCs w:val="24"/>
            <w:u w:val="single" w:color="1154CC"/>
          </w:rPr>
          <w:t>https://mm.icann.org/pipermail/comments-epdp-recs-04mar19/attachments/20190417/6f0a65b2/</w:t>
        </w:r>
      </w:hyperlink>
      <w:r w:rsidRPr="0047560E">
        <w:rPr>
          <w:rFonts w:asciiTheme="minorHAnsi" w:hAnsiTheme="minorHAnsi" w:cstheme="minorHAnsi"/>
          <w:color w:val="1154CC"/>
          <w:sz w:val="24"/>
          <w:szCs w:val="24"/>
        </w:rPr>
        <w:t xml:space="preserve"> </w:t>
      </w:r>
      <w:hyperlink r:id="rId10">
        <w:r w:rsidRPr="0047560E">
          <w:rPr>
            <w:rFonts w:asciiTheme="minorHAnsi" w:hAnsiTheme="minorHAnsi" w:cstheme="minorHAnsi"/>
            <w:color w:val="1154CC"/>
            <w:sz w:val="24"/>
            <w:szCs w:val="24"/>
            <w:u w:val="single" w:color="1154CC"/>
          </w:rPr>
          <w:t>CommentsontheTemporarySpecificationforgTLDRegistrationDataPolicyRecommendations-0001</w:t>
        </w:r>
      </w:hyperlink>
    </w:p>
    <w:p w14:paraId="0D15315B" w14:textId="77777777" w:rsidR="0047560E" w:rsidRPr="0047560E" w:rsidRDefault="0047560E" w:rsidP="0047560E">
      <w:pPr>
        <w:pStyle w:val="BodyText"/>
        <w:spacing w:line="251" w:lineRule="exact"/>
        <w:ind w:left="0"/>
        <w:rPr>
          <w:rFonts w:asciiTheme="minorHAnsi" w:hAnsiTheme="minorHAnsi" w:cstheme="minorHAnsi"/>
          <w:sz w:val="24"/>
          <w:szCs w:val="24"/>
        </w:rPr>
      </w:pPr>
      <w:hyperlink r:id="rId11">
        <w:r w:rsidRPr="0047560E">
          <w:rPr>
            <w:rFonts w:asciiTheme="minorHAnsi" w:hAnsiTheme="minorHAnsi" w:cstheme="minorHAnsi"/>
            <w:color w:val="1154CC"/>
            <w:sz w:val="24"/>
            <w:szCs w:val="24"/>
            <w:u w:val="single" w:color="1154CC"/>
          </w:rPr>
          <w:t>.pdf</w:t>
        </w:r>
      </w:hyperlink>
    </w:p>
    <w:p w14:paraId="011332AD" w14:textId="77777777" w:rsidR="0047560E" w:rsidRPr="0047560E" w:rsidRDefault="0047560E" w:rsidP="0047560E">
      <w:pPr>
        <w:pStyle w:val="BodyText"/>
        <w:spacing w:before="2"/>
        <w:ind w:left="0"/>
        <w:rPr>
          <w:rFonts w:asciiTheme="minorHAnsi" w:hAnsiTheme="minorHAnsi" w:cstheme="minorHAnsi"/>
          <w:sz w:val="24"/>
          <w:szCs w:val="24"/>
        </w:rPr>
      </w:pPr>
    </w:p>
    <w:p w14:paraId="588BB651" w14:textId="77777777" w:rsidR="0047560E" w:rsidRPr="0047560E" w:rsidRDefault="0047560E" w:rsidP="0047560E">
      <w:pPr>
        <w:pStyle w:val="BodyText"/>
        <w:spacing w:line="285" w:lineRule="auto"/>
        <w:ind w:left="0" w:right="617"/>
        <w:rPr>
          <w:rFonts w:asciiTheme="minorHAnsi" w:hAnsiTheme="minorHAnsi" w:cstheme="minorHAnsi"/>
          <w:sz w:val="24"/>
          <w:szCs w:val="24"/>
        </w:rPr>
      </w:pPr>
      <w:r w:rsidRPr="0047560E">
        <w:rPr>
          <w:rFonts w:asciiTheme="minorHAnsi" w:hAnsiTheme="minorHAnsi" w:cstheme="minorHAnsi"/>
          <w:sz w:val="24"/>
          <w:szCs w:val="24"/>
        </w:rPr>
        <w:t xml:space="preserve">Follow-up questions from Goran: </w:t>
      </w:r>
      <w:hyperlink r:id="rId12">
        <w:r w:rsidRPr="0047560E">
          <w:rPr>
            <w:rFonts w:asciiTheme="minorHAnsi" w:hAnsiTheme="minorHAnsi" w:cstheme="minorHAnsi"/>
            <w:color w:val="1154CC"/>
            <w:sz w:val="24"/>
            <w:szCs w:val="24"/>
            <w:u w:val="single" w:color="1154CC"/>
          </w:rPr>
          <w:t>https://www.icann.org/en/system/files/correspondence/marby-to-odonohue-26apr19-en.pdf</w:t>
        </w:r>
      </w:hyperlink>
    </w:p>
    <w:p w14:paraId="02DE265C" w14:textId="77777777" w:rsidR="0047560E" w:rsidRPr="0047560E" w:rsidRDefault="0047560E" w:rsidP="0047560E">
      <w:pPr>
        <w:pStyle w:val="BodyText"/>
        <w:spacing w:before="11"/>
        <w:ind w:left="0"/>
        <w:rPr>
          <w:rFonts w:asciiTheme="minorHAnsi" w:hAnsiTheme="minorHAnsi" w:cstheme="minorHAnsi"/>
          <w:sz w:val="24"/>
          <w:szCs w:val="24"/>
        </w:rPr>
      </w:pPr>
    </w:p>
    <w:p w14:paraId="1F7249B3" w14:textId="77777777" w:rsidR="0047560E" w:rsidRPr="0047560E" w:rsidRDefault="0047560E" w:rsidP="0047560E">
      <w:pPr>
        <w:pStyle w:val="BodyText"/>
        <w:spacing w:line="285" w:lineRule="auto"/>
        <w:ind w:left="0" w:right="519"/>
        <w:rPr>
          <w:rFonts w:asciiTheme="minorHAnsi" w:hAnsiTheme="minorHAnsi" w:cstheme="minorHAnsi"/>
          <w:sz w:val="24"/>
          <w:szCs w:val="24"/>
        </w:rPr>
      </w:pPr>
      <w:r w:rsidRPr="0047560E">
        <w:rPr>
          <w:rFonts w:asciiTheme="minorHAnsi" w:hAnsiTheme="minorHAnsi" w:cstheme="minorHAnsi"/>
          <w:sz w:val="24"/>
          <w:szCs w:val="24"/>
        </w:rPr>
        <w:lastRenderedPageBreak/>
        <w:t xml:space="preserve">Response to Goran from Pearse </w:t>
      </w:r>
      <w:proofErr w:type="spellStart"/>
      <w:r w:rsidRPr="0047560E">
        <w:rPr>
          <w:rFonts w:asciiTheme="minorHAnsi" w:hAnsiTheme="minorHAnsi" w:cstheme="minorHAnsi"/>
          <w:sz w:val="24"/>
          <w:szCs w:val="24"/>
        </w:rPr>
        <w:t>O’Donohue</w:t>
      </w:r>
      <w:proofErr w:type="spellEnd"/>
      <w:r w:rsidRPr="0047560E">
        <w:rPr>
          <w:rFonts w:asciiTheme="minorHAnsi" w:hAnsiTheme="minorHAnsi" w:cstheme="minorHAnsi"/>
          <w:sz w:val="24"/>
          <w:szCs w:val="24"/>
        </w:rPr>
        <w:t xml:space="preserve">: </w:t>
      </w:r>
      <w:hyperlink r:id="rId13">
        <w:r w:rsidRPr="0047560E">
          <w:rPr>
            <w:rFonts w:asciiTheme="minorHAnsi" w:hAnsiTheme="minorHAnsi" w:cstheme="minorHAnsi"/>
            <w:color w:val="1154CC"/>
            <w:sz w:val="24"/>
            <w:szCs w:val="24"/>
            <w:u w:val="single" w:color="1154CC"/>
          </w:rPr>
          <w:t>https://www.icann.org/en/system/files/correspondence/odonohue-to-marby-03may19-en.pdf</w:t>
        </w:r>
      </w:hyperlink>
    </w:p>
    <w:p w14:paraId="7E822D4B" w14:textId="77777777" w:rsidR="0047560E" w:rsidRPr="0047560E" w:rsidRDefault="0047560E" w:rsidP="0047560E">
      <w:pPr>
        <w:spacing w:line="285" w:lineRule="auto"/>
        <w:rPr>
          <w:rFonts w:cstheme="minorHAnsi"/>
        </w:rPr>
        <w:sectPr w:rsidR="0047560E" w:rsidRPr="0047560E">
          <w:pgSz w:w="12240" w:h="15840"/>
          <w:pgMar w:top="1380" w:right="1340" w:bottom="280" w:left="1340" w:header="720" w:footer="720" w:gutter="0"/>
          <w:cols w:space="720"/>
        </w:sectPr>
      </w:pPr>
    </w:p>
    <w:p w14:paraId="6310A236" w14:textId="77777777" w:rsidR="0047560E" w:rsidRPr="0047560E" w:rsidRDefault="0047560E" w:rsidP="0047560E">
      <w:pPr>
        <w:pStyle w:val="BodyText"/>
        <w:spacing w:before="63" w:line="285" w:lineRule="auto"/>
        <w:ind w:left="0"/>
        <w:rPr>
          <w:rFonts w:asciiTheme="minorHAnsi" w:hAnsiTheme="minorHAnsi" w:cstheme="minorHAnsi"/>
          <w:sz w:val="24"/>
          <w:szCs w:val="24"/>
        </w:rPr>
      </w:pPr>
      <w:r w:rsidRPr="0047560E">
        <w:rPr>
          <w:rFonts w:asciiTheme="minorHAnsi" w:hAnsiTheme="minorHAnsi" w:cstheme="minorHAnsi"/>
          <w:sz w:val="24"/>
          <w:szCs w:val="24"/>
        </w:rPr>
        <w:lastRenderedPageBreak/>
        <w:t xml:space="preserve">The </w:t>
      </w:r>
      <w:proofErr w:type="spellStart"/>
      <w:r w:rsidRPr="0047560E">
        <w:rPr>
          <w:rFonts w:asciiTheme="minorHAnsi" w:hAnsiTheme="minorHAnsi" w:cstheme="minorHAnsi"/>
          <w:sz w:val="24"/>
          <w:szCs w:val="24"/>
        </w:rPr>
        <w:t>RySG</w:t>
      </w:r>
      <w:proofErr w:type="spellEnd"/>
      <w:r w:rsidRPr="0047560E">
        <w:rPr>
          <w:rFonts w:asciiTheme="minorHAnsi" w:hAnsiTheme="minorHAnsi" w:cstheme="minorHAnsi"/>
          <w:sz w:val="24"/>
          <w:szCs w:val="24"/>
        </w:rPr>
        <w:t xml:space="preserve"> team would like to remind the working group of our feedback on purpose 2 the text of which was included in the phase 1 final report at page 166:</w:t>
      </w:r>
    </w:p>
    <w:p w14:paraId="102BD726" w14:textId="77777777" w:rsidR="0047560E" w:rsidRPr="0047560E" w:rsidRDefault="0047560E" w:rsidP="0047560E">
      <w:pPr>
        <w:pStyle w:val="BodyText"/>
        <w:spacing w:before="11"/>
        <w:ind w:left="0"/>
        <w:rPr>
          <w:rFonts w:asciiTheme="minorHAnsi" w:hAnsiTheme="minorHAnsi" w:cstheme="minorHAnsi"/>
          <w:sz w:val="24"/>
          <w:szCs w:val="24"/>
        </w:rPr>
      </w:pPr>
    </w:p>
    <w:p w14:paraId="7CE984FF" w14:textId="77777777" w:rsidR="0047560E" w:rsidRPr="0047560E" w:rsidRDefault="0047560E" w:rsidP="0047560E">
      <w:pPr>
        <w:pStyle w:val="Heading1"/>
        <w:numPr>
          <w:ilvl w:val="1"/>
          <w:numId w:val="7"/>
        </w:numPr>
        <w:tabs>
          <w:tab w:val="left" w:pos="1539"/>
          <w:tab w:val="left" w:pos="1540"/>
        </w:tabs>
        <w:ind w:left="0"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Purpose</w:t>
      </w:r>
      <w:r w:rsidRPr="0047560E">
        <w:rPr>
          <w:rFonts w:asciiTheme="minorHAnsi" w:hAnsiTheme="minorHAnsi" w:cstheme="minorHAnsi"/>
          <w:spacing w:val="-2"/>
          <w:sz w:val="24"/>
          <w:szCs w:val="24"/>
          <w:shd w:val="clear" w:color="auto" w:fill="FFFFFF"/>
        </w:rPr>
        <w:t xml:space="preserve"> </w:t>
      </w:r>
      <w:r w:rsidRPr="0047560E">
        <w:rPr>
          <w:rFonts w:asciiTheme="minorHAnsi" w:hAnsiTheme="minorHAnsi" w:cstheme="minorHAnsi"/>
          <w:sz w:val="24"/>
          <w:szCs w:val="24"/>
          <w:shd w:val="clear" w:color="auto" w:fill="D9D9D9"/>
        </w:rPr>
        <w:t>2</w:t>
      </w:r>
    </w:p>
    <w:p w14:paraId="25A033AF" w14:textId="77777777" w:rsidR="0047560E" w:rsidRPr="0047560E" w:rsidRDefault="0047560E" w:rsidP="0047560E">
      <w:pPr>
        <w:pStyle w:val="BodyText"/>
        <w:spacing w:before="47"/>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 xml:space="preserve">The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z w:val="24"/>
          <w:szCs w:val="24"/>
          <w:shd w:val="clear" w:color="auto" w:fill="D9D9D9"/>
        </w:rPr>
        <w:t xml:space="preserve"> supports the inclusion of Purpose 2 in the Final Report.</w:t>
      </w:r>
    </w:p>
    <w:p w14:paraId="0DEB7C98" w14:textId="77777777" w:rsidR="0047560E" w:rsidRPr="0047560E" w:rsidRDefault="0047560E" w:rsidP="0047560E">
      <w:pPr>
        <w:pStyle w:val="BodyText"/>
        <w:spacing w:before="47" w:line="288" w:lineRule="auto"/>
        <w:ind w:left="0" w:right="97"/>
        <w:rPr>
          <w:rFonts w:asciiTheme="minorHAnsi" w:hAnsiTheme="minorHAnsi" w:cstheme="minorHAnsi"/>
          <w:sz w:val="24"/>
          <w:szCs w:val="24"/>
        </w:rPr>
      </w:pPr>
      <w:r w:rsidRPr="0047560E">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03B7FFB6" wp14:editId="44D9AAFB">
                <wp:simplePos x="0" y="0"/>
                <wp:positionH relativeFrom="page">
                  <wp:posOffset>1371600</wp:posOffset>
                </wp:positionH>
                <wp:positionV relativeFrom="paragraph">
                  <wp:posOffset>598805</wp:posOffset>
                </wp:positionV>
                <wp:extent cx="5476875" cy="2762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875" cy="276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2493C" id="Rectangle 3" o:spid="_x0000_s1026" style="position:absolute;margin-left:108pt;margin-top:47.15pt;width:431.25pt;height:2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" fillcolor="#d9d9d9" stroked="f">
                <v:path arrowok="t"/>
                <w10:wrap anchorx="page"/>
              </v:rect>
            </w:pict>
          </mc:Fallback>
        </mc:AlternateContent>
      </w:r>
      <w:r w:rsidRPr="0047560E">
        <w:rPr>
          <w:rFonts w:asciiTheme="minorHAnsi" w:hAnsiTheme="minorHAnsi" w:cstheme="minorHAnsi"/>
          <w:sz w:val="24"/>
          <w:szCs w:val="24"/>
          <w:shd w:val="clear" w:color="auto" w:fill="D9D9D9"/>
        </w:rPr>
        <w:t xml:space="preserve">However, the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z w:val="24"/>
          <w:szCs w:val="24"/>
          <w:shd w:val="clear" w:color="auto" w:fill="D9D9D9"/>
        </w:rPr>
        <w:t xml:space="preserve"> notes that it expresses such support with the understanding, 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continued reminder to the EPDP Team, that Purpose 2 does not qualify as a legal</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 as defined in the GDPR. We also remind the EPDP Team of the advice of the</w:t>
      </w:r>
      <w:r w:rsidRPr="0047560E">
        <w:rPr>
          <w:rFonts w:asciiTheme="minorHAnsi" w:hAnsiTheme="minorHAnsi" w:cstheme="minorHAnsi"/>
          <w:sz w:val="24"/>
          <w:szCs w:val="24"/>
          <w:shd w:val="clear" w:color="auto" w:fill="FFFFFF"/>
        </w:rPr>
        <w:t xml:space="preserve"> European Data Protection </w:t>
      </w:r>
      <w:proofErr w:type="gramStart"/>
      <w:r w:rsidRPr="0047560E">
        <w:rPr>
          <w:rFonts w:asciiTheme="minorHAnsi" w:hAnsiTheme="minorHAnsi" w:cstheme="minorHAnsi"/>
          <w:sz w:val="24"/>
          <w:szCs w:val="24"/>
          <w:shd w:val="clear" w:color="auto" w:fill="FFFFFF"/>
        </w:rPr>
        <w:t>Board</w:t>
      </w:r>
      <w:r w:rsidRPr="0047560E">
        <w:rPr>
          <w:rFonts w:asciiTheme="minorHAnsi" w:hAnsiTheme="minorHAnsi" w:cstheme="minorHAnsi"/>
          <w:position w:val="13"/>
          <w:sz w:val="24"/>
          <w:szCs w:val="24"/>
          <w:shd w:val="clear" w:color="auto" w:fill="FFFFFF"/>
        </w:rPr>
        <w:t>[</w:t>
      </w:r>
      <w:proofErr w:type="gramEnd"/>
      <w:r w:rsidRPr="0047560E">
        <w:rPr>
          <w:rFonts w:asciiTheme="minorHAnsi" w:hAnsiTheme="minorHAnsi" w:cstheme="minorHAnsi"/>
          <w:position w:val="13"/>
          <w:sz w:val="24"/>
          <w:szCs w:val="24"/>
          <w:shd w:val="clear" w:color="auto" w:fill="FFFFFF"/>
        </w:rPr>
        <w:t>1]</w:t>
      </w:r>
      <w:r w:rsidRPr="0047560E">
        <w:rPr>
          <w:rFonts w:asciiTheme="minorHAnsi" w:hAnsiTheme="minorHAnsi" w:cstheme="minorHAnsi"/>
          <w:sz w:val="24"/>
          <w:szCs w:val="24"/>
          <w:shd w:val="clear" w:color="auto" w:fill="FFFFFF"/>
        </w:rPr>
        <w:t>, which cautions against conflating ICANN’s purposes</w:t>
      </w:r>
    </w:p>
    <w:p w14:paraId="1E1799A7" w14:textId="77777777" w:rsidR="0047560E" w:rsidRPr="0047560E" w:rsidRDefault="0047560E" w:rsidP="0047560E">
      <w:pPr>
        <w:pStyle w:val="BodyText"/>
        <w:spacing w:before="60" w:line="285" w:lineRule="auto"/>
        <w:ind w:left="0" w:right="136"/>
        <w:rPr>
          <w:rFonts w:asciiTheme="minorHAnsi" w:hAnsiTheme="minorHAnsi" w:cstheme="minorHAnsi"/>
          <w:sz w:val="24"/>
          <w:szCs w:val="24"/>
        </w:rPr>
      </w:pPr>
      <w:r w:rsidRPr="0047560E">
        <w:rPr>
          <w:rFonts w:asciiTheme="minorHAnsi" w:hAnsiTheme="minorHAnsi" w:cstheme="minorHAnsi"/>
          <w:sz w:val="24"/>
          <w:szCs w:val="24"/>
          <w:shd w:val="clear" w:color="auto" w:fill="D9D9D9"/>
        </w:rPr>
        <w:t xml:space="preserve">with those of third parties. The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z w:val="24"/>
          <w:szCs w:val="24"/>
          <w:shd w:val="clear" w:color="auto" w:fill="D9D9D9"/>
        </w:rPr>
        <w:t xml:space="preserve"> believes this conflation continues to be at the root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 the confusion regarding Purpose 2.</w:t>
      </w:r>
    </w:p>
    <w:p w14:paraId="0A6E6B9F" w14:textId="77777777" w:rsidR="0047560E" w:rsidRPr="0047560E" w:rsidRDefault="0047560E" w:rsidP="0047560E">
      <w:pPr>
        <w:pStyle w:val="BodyText"/>
        <w:spacing w:line="251" w:lineRule="exact"/>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Along with the above statement, we make the following observations:</w:t>
      </w:r>
    </w:p>
    <w:p w14:paraId="49235EF8" w14:textId="77777777" w:rsidR="0047560E" w:rsidRPr="0047560E" w:rsidRDefault="0047560E" w:rsidP="0047560E">
      <w:pPr>
        <w:pStyle w:val="ListParagraph"/>
        <w:numPr>
          <w:ilvl w:val="2"/>
          <w:numId w:val="7"/>
        </w:numPr>
        <w:tabs>
          <w:tab w:val="left" w:pos="2883"/>
          <w:tab w:val="left" w:pos="2884"/>
        </w:tabs>
        <w:spacing w:before="47" w:line="285" w:lineRule="auto"/>
        <w:ind w:left="0" w:right="763"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The</w:t>
      </w:r>
      <w:r w:rsidRPr="0047560E">
        <w:rPr>
          <w:rFonts w:asciiTheme="minorHAnsi" w:hAnsiTheme="minorHAnsi" w:cstheme="minorHAnsi"/>
          <w:sz w:val="24"/>
          <w:szCs w:val="24"/>
          <w:shd w:val="clear" w:color="auto" w:fill="FFFFFF"/>
        </w:rPr>
        <w:t xml:space="preserv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accepts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current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2</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is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placeholder statement</w:t>
      </w:r>
      <w:r w:rsidRPr="0047560E">
        <w:rPr>
          <w:rFonts w:asciiTheme="minorHAnsi" w:hAnsiTheme="minorHAnsi" w:cstheme="minorHAnsi"/>
          <w:spacing w:val="-7"/>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may</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impacted</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by</w:t>
      </w:r>
      <w:r w:rsidRPr="0047560E">
        <w:rPr>
          <w:rFonts w:asciiTheme="minorHAnsi" w:hAnsiTheme="minorHAnsi" w:cstheme="minorHAnsi"/>
          <w:spacing w:val="-7"/>
          <w:sz w:val="24"/>
          <w:szCs w:val="24"/>
          <w:shd w:val="clear" w:color="auto" w:fill="FFFFFF"/>
        </w:rPr>
        <w:t xml:space="preserve"> </w:t>
      </w:r>
      <w:r w:rsidRPr="0047560E">
        <w:rPr>
          <w:rFonts w:asciiTheme="minorHAnsi" w:hAnsiTheme="minorHAnsi" w:cstheme="minorHAnsi"/>
          <w:sz w:val="24"/>
          <w:szCs w:val="24"/>
          <w:shd w:val="clear" w:color="auto" w:fill="D9D9D9"/>
        </w:rPr>
        <w:t>additional</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analysis</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conducted during</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Phase</w:t>
      </w:r>
      <w:r w:rsidRPr="0047560E">
        <w:rPr>
          <w:rFonts w:asciiTheme="minorHAnsi" w:hAnsiTheme="minorHAnsi" w:cstheme="minorHAnsi"/>
          <w:spacing w:val="-3"/>
          <w:sz w:val="24"/>
          <w:szCs w:val="24"/>
          <w:shd w:val="clear" w:color="auto" w:fill="FFFFFF"/>
        </w:rPr>
        <w:t xml:space="preserve"> </w:t>
      </w:r>
      <w:r w:rsidRPr="0047560E">
        <w:rPr>
          <w:rFonts w:asciiTheme="minorHAnsi" w:hAnsiTheme="minorHAnsi" w:cstheme="minorHAnsi"/>
          <w:sz w:val="24"/>
          <w:szCs w:val="24"/>
          <w:shd w:val="clear" w:color="auto" w:fill="D9D9D9"/>
        </w:rPr>
        <w:t>2.</w:t>
      </w:r>
    </w:p>
    <w:p w14:paraId="6CFF3060" w14:textId="77777777" w:rsidR="0047560E" w:rsidRPr="0047560E" w:rsidRDefault="0047560E" w:rsidP="0047560E">
      <w:pPr>
        <w:pStyle w:val="ListParagraph"/>
        <w:numPr>
          <w:ilvl w:val="2"/>
          <w:numId w:val="7"/>
        </w:numPr>
        <w:tabs>
          <w:tab w:val="left" w:pos="2883"/>
          <w:tab w:val="left" w:pos="2884"/>
        </w:tabs>
        <w:spacing w:line="285" w:lineRule="auto"/>
        <w:ind w:left="0" w:right="222"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The</w:t>
      </w:r>
      <w:r w:rsidRPr="0047560E">
        <w:rPr>
          <w:rFonts w:asciiTheme="minorHAnsi" w:hAnsiTheme="minorHAnsi" w:cstheme="minorHAnsi"/>
          <w:spacing w:val="-6"/>
          <w:sz w:val="24"/>
          <w:szCs w:val="24"/>
          <w:shd w:val="clear" w:color="auto" w:fill="FFFFFF"/>
        </w:rPr>
        <w:t xml:space="preserv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concurrently</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accepts</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regardless</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inclusion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of 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2,</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for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legally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made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all contracted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parties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under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terms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GDPR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(Art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6(1)).</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restate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 such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not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require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for</w:t>
      </w:r>
      <w:r w:rsidRPr="0047560E">
        <w:rPr>
          <w:rFonts w:asciiTheme="minorHAnsi" w:hAnsiTheme="minorHAnsi" w:cstheme="minorHAnsi"/>
          <w:spacing w:val="-34"/>
          <w:sz w:val="24"/>
          <w:szCs w:val="24"/>
          <w:shd w:val="clear" w:color="auto" w:fill="FFFFFF"/>
        </w:rPr>
        <w:t xml:space="preserve"> </w:t>
      </w:r>
      <w:r w:rsidRPr="0047560E">
        <w:rPr>
          <w:rFonts w:asciiTheme="minorHAnsi" w:hAnsiTheme="minorHAnsi" w:cstheme="minorHAnsi"/>
          <w:sz w:val="24"/>
          <w:szCs w:val="24"/>
          <w:shd w:val="clear" w:color="auto" w:fill="D9D9D9"/>
        </w:rPr>
        <w:t>disclosure.</w:t>
      </w:r>
      <w:bookmarkStart w:id="1" w:name="_GoBack"/>
      <w:bookmarkEnd w:id="1"/>
    </w:p>
    <w:p w14:paraId="14EFBC61" w14:textId="77777777" w:rsidR="0047560E" w:rsidRPr="0047560E" w:rsidRDefault="0047560E" w:rsidP="0047560E">
      <w:pPr>
        <w:pStyle w:val="ListParagraph"/>
        <w:numPr>
          <w:ilvl w:val="2"/>
          <w:numId w:val="7"/>
        </w:numPr>
        <w:tabs>
          <w:tab w:val="left" w:pos="2883"/>
          <w:tab w:val="left" w:pos="2884"/>
        </w:tabs>
        <w:spacing w:line="285" w:lineRule="auto"/>
        <w:ind w:left="0" w:right="202"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We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also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accept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in</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line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with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GDPR,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data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may only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granted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where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requester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establishes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valid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legal</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basis, demonstrates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sufficient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necessity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where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applicable,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 balance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data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subject’s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rights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has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been</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duly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considered.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Such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 decision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to</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disclose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MUST</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lie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solely</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with</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Contracted</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Party</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whom 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has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been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made.</w:t>
      </w:r>
    </w:p>
    <w:p w14:paraId="4C1A7F1F" w14:textId="77777777" w:rsidR="0047560E" w:rsidRPr="0047560E" w:rsidRDefault="0047560E" w:rsidP="0047560E">
      <w:pPr>
        <w:pStyle w:val="BodyText"/>
        <w:spacing w:before="10"/>
        <w:ind w:left="0"/>
        <w:rPr>
          <w:rFonts w:asciiTheme="minorHAnsi" w:hAnsiTheme="minorHAnsi" w:cstheme="minorHAnsi"/>
          <w:sz w:val="24"/>
          <w:szCs w:val="24"/>
        </w:rPr>
      </w:pPr>
    </w:p>
    <w:p w14:paraId="2F8BB6B5"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 xml:space="preserve">Therefore, noting the above, the spirit of Purpose 2 remains agreeable to the </w:t>
      </w:r>
      <w:proofErr w:type="spellStart"/>
      <w:r w:rsidRPr="0047560E">
        <w:rPr>
          <w:rFonts w:asciiTheme="minorHAnsi" w:hAnsiTheme="minorHAnsi" w:cstheme="minorHAnsi"/>
          <w:sz w:val="24"/>
          <w:szCs w:val="24"/>
          <w:shd w:val="clear" w:color="auto" w:fill="D9D9D9"/>
        </w:rPr>
        <w:t>RySG</w:t>
      </w:r>
      <w:proofErr w:type="spellEnd"/>
      <w:r w:rsidRPr="0047560E">
        <w:rPr>
          <w:rFonts w:asciiTheme="minorHAnsi" w:hAnsiTheme="minorHAnsi" w:cstheme="minorHAnsi"/>
          <w:sz w:val="24"/>
          <w:szCs w:val="24"/>
          <w:shd w:val="clear" w:color="auto" w:fill="D9D9D9"/>
        </w:rPr>
        <w:t>, 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as such, we shall not seek to object to its publication in the final report.</w:t>
      </w:r>
    </w:p>
    <w:p w14:paraId="1DED0D8E" w14:textId="77777777" w:rsidR="0047560E" w:rsidRPr="0047560E" w:rsidRDefault="0047560E" w:rsidP="0047560E">
      <w:pPr>
        <w:pStyle w:val="BodyText"/>
        <w:spacing w:before="6"/>
        <w:ind w:left="0"/>
        <w:rPr>
          <w:rFonts w:asciiTheme="minorHAnsi" w:hAnsiTheme="minorHAnsi" w:cstheme="minorHAnsi"/>
          <w:sz w:val="24"/>
          <w:szCs w:val="24"/>
        </w:rPr>
      </w:pPr>
      <w:r w:rsidRPr="0047560E">
        <w:rPr>
          <w:rFonts w:asciiTheme="minorHAnsi" w:hAnsiTheme="minorHAnsi" w:cstheme="minorHAnsi"/>
          <w:noProof/>
          <w:sz w:val="24"/>
          <w:szCs w:val="24"/>
        </w:rPr>
        <mc:AlternateContent>
          <mc:Choice Requires="wps">
            <w:drawing>
              <wp:anchor distT="0" distB="0" distL="0" distR="0" simplePos="0" relativeHeight="251660288" behindDoc="1" locked="0" layoutInCell="1" allowOverlap="1" wp14:anchorId="6D812C0F" wp14:editId="0F84233A">
                <wp:simplePos x="0" y="0"/>
                <wp:positionH relativeFrom="page">
                  <wp:posOffset>1371600</wp:posOffset>
                </wp:positionH>
                <wp:positionV relativeFrom="paragraph">
                  <wp:posOffset>187325</wp:posOffset>
                </wp:positionV>
                <wp:extent cx="2667000" cy="27622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276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AD77" w14:textId="77777777" w:rsidR="0047560E" w:rsidRDefault="0047560E" w:rsidP="0047560E">
                            <w:pPr>
                              <w:spacing w:before="18"/>
                              <w:ind w:left="-1"/>
                              <w:rPr>
                                <w:sz w:val="20"/>
                              </w:rPr>
                            </w:pPr>
                            <w:r>
                              <w:rPr>
                                <w:position w:val="13"/>
                                <w:sz w:val="21"/>
                              </w:rPr>
                              <w:t xml:space="preserve">[1] </w:t>
                            </w:r>
                            <w:r>
                              <w:rPr>
                                <w:sz w:val="20"/>
                              </w:rPr>
                              <w:t xml:space="preserve">Letter from </w:t>
                            </w:r>
                            <w:proofErr w:type="spellStart"/>
                            <w:r>
                              <w:rPr>
                                <w:sz w:val="20"/>
                              </w:rPr>
                              <w:t>jelinek</w:t>
                            </w:r>
                            <w:proofErr w:type="spellEnd"/>
                            <w:r>
                              <w:rPr>
                                <w:sz w:val="20"/>
                              </w:rPr>
                              <w:t xml:space="preserve"> to </w:t>
                            </w:r>
                            <w:proofErr w:type="spellStart"/>
                            <w:r>
                              <w:rPr>
                                <w:sz w:val="20"/>
                              </w:rPr>
                              <w:t>marby</w:t>
                            </w:r>
                            <w:proofErr w:type="spellEnd"/>
                            <w:r>
                              <w:rPr>
                                <w:sz w:val="20"/>
                              </w:rPr>
                              <w:t xml:space="preserve">, 5th </w:t>
                            </w:r>
                            <w:proofErr w:type="gramStart"/>
                            <w:r>
                              <w:rPr>
                                <w:sz w:val="20"/>
                              </w:rPr>
                              <w:t>July,</w:t>
                            </w:r>
                            <w:proofErr w:type="gramEnd"/>
                            <w:r>
                              <w:rPr>
                                <w:sz w:val="20"/>
                              </w:rPr>
                              <w:t xml:space="preserve">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12C0F" id="_x0000_t202" coordsize="21600,21600" o:spt="202" path="m,l,21600r21600,l21600,xe">
                <v:stroke joinstyle="miter"/>
                <v:path gradientshapeok="t" o:connecttype="rect"/>
              </v:shapetype>
              <v:shape id="Text Box 2" o:spid="_x0000_s1026" type="#_x0000_t202" style="position:absolute;margin-left:108pt;margin-top:14.75pt;width:210pt;height:21.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" fillcolor="#d9d9d9" stroked="f">
                <v:path arrowok="t"/>
                <v:textbox inset="0,0,0,0">
                  <w:txbxContent>
                    <w:p w14:paraId="3A1BAD77" w14:textId="77777777" w:rsidR="0047560E" w:rsidRDefault="0047560E" w:rsidP="0047560E">
                      <w:pPr>
                        <w:spacing w:before="18"/>
                        <w:ind w:left="-1"/>
                        <w:rPr>
                          <w:sz w:val="20"/>
                        </w:rPr>
                      </w:pPr>
                      <w:r>
                        <w:rPr>
                          <w:position w:val="13"/>
                          <w:sz w:val="21"/>
                        </w:rPr>
                        <w:t xml:space="preserve">[1] </w:t>
                      </w:r>
                      <w:r>
                        <w:rPr>
                          <w:sz w:val="20"/>
                        </w:rPr>
                        <w:t xml:space="preserve">Letter from </w:t>
                      </w:r>
                      <w:proofErr w:type="spellStart"/>
                      <w:r>
                        <w:rPr>
                          <w:sz w:val="20"/>
                        </w:rPr>
                        <w:t>jelinek</w:t>
                      </w:r>
                      <w:proofErr w:type="spellEnd"/>
                      <w:r>
                        <w:rPr>
                          <w:sz w:val="20"/>
                        </w:rPr>
                        <w:t xml:space="preserve"> to </w:t>
                      </w:r>
                      <w:proofErr w:type="spellStart"/>
                      <w:r>
                        <w:rPr>
                          <w:sz w:val="20"/>
                        </w:rPr>
                        <w:t>marby</w:t>
                      </w:r>
                      <w:proofErr w:type="spellEnd"/>
                      <w:r>
                        <w:rPr>
                          <w:sz w:val="20"/>
                        </w:rPr>
                        <w:t xml:space="preserve">, 5th </w:t>
                      </w:r>
                      <w:proofErr w:type="gramStart"/>
                      <w:r>
                        <w:rPr>
                          <w:sz w:val="20"/>
                        </w:rPr>
                        <w:t>July,</w:t>
                      </w:r>
                      <w:proofErr w:type="gramEnd"/>
                      <w:r>
                        <w:rPr>
                          <w:sz w:val="20"/>
                        </w:rPr>
                        <w:t xml:space="preserve"> 2018 -</w:t>
                      </w:r>
                    </w:p>
                  </w:txbxContent>
                </v:textbox>
                <w10:wrap type="topAndBottom" anchorx="page"/>
              </v:shape>
            </w:pict>
          </mc:Fallback>
        </mc:AlternateContent>
      </w:r>
    </w:p>
    <w:p w14:paraId="2A2DC539" w14:textId="77777777" w:rsidR="0047560E" w:rsidRPr="0047560E" w:rsidRDefault="0047560E" w:rsidP="0047560E">
      <w:pPr>
        <w:spacing w:before="52"/>
        <w:rPr>
          <w:rFonts w:cstheme="minorHAnsi"/>
        </w:rPr>
      </w:pPr>
      <w:hyperlink r:id="rId14">
        <w:r w:rsidRPr="0047560E">
          <w:rPr>
            <w:rFonts w:cstheme="minorHAnsi"/>
            <w:color w:val="1154CC"/>
            <w:u w:val="single" w:color="1154CC"/>
            <w:shd w:val="clear" w:color="auto" w:fill="D9D9D9"/>
          </w:rPr>
          <w:t>https://www.icann.org/en/system/files/correspondence/jelinek-to-marby-05jul18-en.pdf</w:t>
        </w:r>
      </w:hyperlink>
    </w:p>
    <w:p w14:paraId="38F3DDDF" w14:textId="77777777" w:rsidR="0047560E" w:rsidRPr="0047560E" w:rsidRDefault="0047560E" w:rsidP="0047560E">
      <w:pPr>
        <w:pStyle w:val="BodyText"/>
        <w:spacing w:before="3"/>
        <w:ind w:left="0"/>
        <w:rPr>
          <w:rFonts w:asciiTheme="minorHAnsi" w:hAnsiTheme="minorHAnsi" w:cstheme="minorHAnsi"/>
          <w:sz w:val="24"/>
          <w:szCs w:val="24"/>
        </w:rPr>
      </w:pPr>
    </w:p>
    <w:p w14:paraId="7E93766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 xml:space="preserve">It’s also important to note that the Board did adopt recommendation #3 in which the </w:t>
      </w:r>
      <w:proofErr w:type="spellStart"/>
      <w:r w:rsidRPr="0047560E">
        <w:rPr>
          <w:rFonts w:asciiTheme="minorHAnsi" w:hAnsiTheme="minorHAnsi" w:cstheme="minorHAnsi"/>
          <w:sz w:val="24"/>
          <w:szCs w:val="24"/>
        </w:rPr>
        <w:t>ePDP</w:t>
      </w:r>
      <w:proofErr w:type="spellEnd"/>
      <w:r w:rsidRPr="0047560E">
        <w:rPr>
          <w:rFonts w:asciiTheme="minorHAnsi" w:hAnsiTheme="minorHAnsi" w:cstheme="minorHAnsi"/>
          <w:sz w:val="24"/>
          <w:szCs w:val="24"/>
        </w:rPr>
        <w:t xml:space="preserve"> team agrees to make a recommendation on standardized/lawful disclosure of non-public registration data (in line with purpose #2). Also adopted was recommendation #18 which recommends a new policy “Reasonable Requests for Lawful Disclosure of Non-Public Registration Data” which may be revised or superseded by the work in phase 2.</w:t>
      </w:r>
    </w:p>
    <w:p w14:paraId="7A31FE58" w14:textId="77777777" w:rsidR="0047560E" w:rsidRPr="0047560E" w:rsidRDefault="0047560E" w:rsidP="0047560E">
      <w:pPr>
        <w:pStyle w:val="BodyText"/>
        <w:spacing w:before="7"/>
        <w:ind w:left="0"/>
        <w:rPr>
          <w:rFonts w:asciiTheme="minorHAnsi" w:hAnsiTheme="minorHAnsi" w:cstheme="minorHAnsi"/>
          <w:sz w:val="24"/>
          <w:szCs w:val="24"/>
        </w:rPr>
      </w:pPr>
    </w:p>
    <w:p w14:paraId="6AF7675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 xml:space="preserve">Given the above data points, the </w:t>
      </w:r>
      <w:proofErr w:type="spellStart"/>
      <w:r w:rsidRPr="0047560E">
        <w:rPr>
          <w:rFonts w:asciiTheme="minorHAnsi" w:hAnsiTheme="minorHAnsi" w:cstheme="minorHAnsi"/>
          <w:sz w:val="24"/>
          <w:szCs w:val="24"/>
        </w:rPr>
        <w:t>RySG</w:t>
      </w:r>
      <w:proofErr w:type="spellEnd"/>
      <w:r w:rsidRPr="0047560E">
        <w:rPr>
          <w:rFonts w:asciiTheme="minorHAnsi" w:hAnsiTheme="minorHAnsi" w:cstheme="minorHAnsi"/>
          <w:sz w:val="24"/>
          <w:szCs w:val="24"/>
        </w:rPr>
        <w:t xml:space="preserve"> team suggests that the GNSO Council accept the ICANN Board’s treatment of recommendation #1. It does not seem to materially impact the implementation of the phase 1 recommendations.</w:t>
      </w:r>
    </w:p>
    <w:p w14:paraId="30442157" w14:textId="77777777" w:rsidR="0047560E" w:rsidRPr="0047560E" w:rsidRDefault="0047560E" w:rsidP="0047560E">
      <w:pPr>
        <w:spacing w:line="285" w:lineRule="auto"/>
        <w:rPr>
          <w:rFonts w:cstheme="minorHAnsi"/>
        </w:rPr>
        <w:sectPr w:rsidR="0047560E" w:rsidRPr="0047560E" w:rsidSect="0047560E">
          <w:pgSz w:w="12240" w:h="20160"/>
          <w:pgMar w:top="1380" w:right="1340" w:bottom="280" w:left="1340" w:header="720" w:footer="720" w:gutter="0"/>
          <w:cols w:space="720"/>
          <w:docGrid w:linePitch="326"/>
        </w:sectPr>
      </w:pPr>
    </w:p>
    <w:p w14:paraId="40BFCB04" w14:textId="77777777" w:rsidR="0047560E" w:rsidRPr="0047560E" w:rsidRDefault="0047560E" w:rsidP="0047560E">
      <w:pPr>
        <w:pStyle w:val="BodyText"/>
        <w:ind w:left="0"/>
        <w:rPr>
          <w:rFonts w:asciiTheme="minorHAnsi" w:hAnsiTheme="minorHAnsi" w:cstheme="minorHAnsi"/>
          <w:sz w:val="24"/>
          <w:szCs w:val="24"/>
        </w:rPr>
      </w:pPr>
    </w:p>
    <w:p w14:paraId="18DC2C13" w14:textId="77777777" w:rsidR="0047560E" w:rsidRPr="0047560E" w:rsidRDefault="0047560E" w:rsidP="0047560E">
      <w:pPr>
        <w:pStyle w:val="BodyText"/>
        <w:spacing w:before="2"/>
        <w:ind w:left="0"/>
        <w:rPr>
          <w:rFonts w:asciiTheme="minorHAnsi" w:hAnsiTheme="minorHAnsi" w:cstheme="minorHAnsi"/>
          <w:sz w:val="24"/>
          <w:szCs w:val="24"/>
        </w:rPr>
      </w:pPr>
    </w:p>
    <w:p w14:paraId="5193A3A7" w14:textId="77777777" w:rsidR="0047560E" w:rsidRPr="0047560E" w:rsidRDefault="0047560E" w:rsidP="0047560E">
      <w:pPr>
        <w:pStyle w:val="BodyText"/>
        <w:spacing w:before="93"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 xml:space="preserve">The </w:t>
      </w:r>
      <w:proofErr w:type="spellStart"/>
      <w:r w:rsidRPr="0047560E">
        <w:rPr>
          <w:rFonts w:asciiTheme="minorHAnsi" w:hAnsiTheme="minorHAnsi" w:cstheme="minorHAnsi"/>
          <w:sz w:val="24"/>
          <w:szCs w:val="24"/>
        </w:rPr>
        <w:t>RySG</w:t>
      </w:r>
      <w:proofErr w:type="spellEnd"/>
      <w:r w:rsidRPr="0047560E">
        <w:rPr>
          <w:rFonts w:asciiTheme="minorHAnsi" w:hAnsiTheme="minorHAnsi" w:cstheme="minorHAnsi"/>
          <w:sz w:val="24"/>
          <w:szCs w:val="24"/>
        </w:rPr>
        <w:t xml:space="preserve"> team does not support any effort to modify the text of Purpose 2 to gain adoption by the ICANN board. Such an effort would distract from the work phase 2 which should be our focus.</w:t>
      </w:r>
    </w:p>
    <w:p w14:paraId="27FA13D6" w14:textId="77777777" w:rsidR="0047560E" w:rsidRPr="0047560E" w:rsidRDefault="0047560E" w:rsidP="0047560E">
      <w:pPr>
        <w:pStyle w:val="BodyText"/>
        <w:spacing w:before="9"/>
        <w:ind w:left="0"/>
        <w:rPr>
          <w:rFonts w:asciiTheme="minorHAnsi" w:hAnsiTheme="minorHAnsi" w:cstheme="minorHAnsi"/>
          <w:sz w:val="24"/>
          <w:szCs w:val="24"/>
        </w:rPr>
      </w:pPr>
    </w:p>
    <w:p w14:paraId="3FD7CE3C"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#12</w:t>
      </w:r>
    </w:p>
    <w:p w14:paraId="550FB74D" w14:textId="77777777" w:rsidR="0047560E" w:rsidRPr="0047560E" w:rsidRDefault="0047560E" w:rsidP="0047560E">
      <w:pPr>
        <w:pStyle w:val="BodyText"/>
        <w:spacing w:before="47" w:line="285" w:lineRule="auto"/>
        <w:ind w:left="0"/>
        <w:rPr>
          <w:rFonts w:asciiTheme="minorHAnsi" w:hAnsiTheme="minorHAnsi" w:cstheme="minorHAnsi"/>
          <w:sz w:val="24"/>
          <w:szCs w:val="24"/>
        </w:rPr>
      </w:pPr>
      <w:r w:rsidRPr="0047560E">
        <w:rPr>
          <w:rFonts w:asciiTheme="minorHAnsi" w:hAnsiTheme="minorHAnsi" w:cstheme="minorHAnsi"/>
          <w:sz w:val="24"/>
          <w:szCs w:val="24"/>
        </w:rPr>
        <w:t xml:space="preserve">The </w:t>
      </w:r>
      <w:proofErr w:type="spellStart"/>
      <w:r w:rsidRPr="0047560E">
        <w:rPr>
          <w:rFonts w:asciiTheme="minorHAnsi" w:hAnsiTheme="minorHAnsi" w:cstheme="minorHAnsi"/>
          <w:sz w:val="24"/>
          <w:szCs w:val="24"/>
        </w:rPr>
        <w:t>RySG</w:t>
      </w:r>
      <w:proofErr w:type="spellEnd"/>
      <w:r w:rsidRPr="0047560E">
        <w:rPr>
          <w:rFonts w:asciiTheme="minorHAnsi" w:hAnsiTheme="minorHAnsi" w:cstheme="minorHAnsi"/>
          <w:sz w:val="24"/>
          <w:szCs w:val="24"/>
        </w:rPr>
        <w:t xml:space="preserve"> team has concerns about the way the ICANN board has modified recommendation #12. We are opposed to the GNSO council accepting the ICANN board treatment as is.</w:t>
      </w:r>
    </w:p>
    <w:p w14:paraId="56F7E734" w14:textId="77777777" w:rsidR="0047560E" w:rsidRPr="0047560E" w:rsidRDefault="0047560E" w:rsidP="0047560E">
      <w:pPr>
        <w:pStyle w:val="BodyText"/>
        <w:spacing w:before="11"/>
        <w:ind w:left="0"/>
        <w:rPr>
          <w:rFonts w:asciiTheme="minorHAnsi" w:hAnsiTheme="minorHAnsi" w:cstheme="minorHAnsi"/>
          <w:sz w:val="24"/>
          <w:szCs w:val="24"/>
        </w:rPr>
      </w:pPr>
    </w:p>
    <w:p w14:paraId="7F6D94BF"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rPr>
        <w:t xml:space="preserve">We are supportive of providing the ICANN board with additional information/rationale for why we drafted the recommendation the way we did and asking the board to reconsider. We note the feedback provided by the </w:t>
      </w:r>
      <w:proofErr w:type="spellStart"/>
      <w:r w:rsidRPr="0047560E">
        <w:rPr>
          <w:rFonts w:asciiTheme="minorHAnsi" w:hAnsiTheme="minorHAnsi" w:cstheme="minorHAnsi"/>
          <w:sz w:val="24"/>
          <w:szCs w:val="24"/>
        </w:rPr>
        <w:t>RrSG</w:t>
      </w:r>
      <w:proofErr w:type="spellEnd"/>
      <w:r w:rsidRPr="0047560E">
        <w:rPr>
          <w:rFonts w:asciiTheme="minorHAnsi" w:hAnsiTheme="minorHAnsi" w:cstheme="minorHAnsi"/>
          <w:sz w:val="24"/>
          <w:szCs w:val="24"/>
        </w:rPr>
        <w:t xml:space="preserve"> and are supportive of their comments and the additional background they have provided.</w:t>
      </w:r>
    </w:p>
    <w:p w14:paraId="29F061F1" w14:textId="77777777" w:rsidR="0047560E" w:rsidRPr="0047560E" w:rsidRDefault="0047560E" w:rsidP="0047560E">
      <w:pPr>
        <w:pStyle w:val="BodyText"/>
        <w:spacing w:before="8"/>
        <w:ind w:left="0"/>
        <w:rPr>
          <w:rFonts w:asciiTheme="minorHAnsi" w:hAnsiTheme="minorHAnsi" w:cstheme="minorHAnsi"/>
          <w:sz w:val="24"/>
          <w:szCs w:val="24"/>
        </w:rPr>
      </w:pPr>
    </w:p>
    <w:p w14:paraId="05EA2C74" w14:textId="77777777" w:rsidR="0047560E" w:rsidRPr="0047560E" w:rsidRDefault="0047560E" w:rsidP="0047560E">
      <w:pPr>
        <w:pStyle w:val="BodyText"/>
        <w:spacing w:line="285" w:lineRule="auto"/>
        <w:ind w:left="0" w:right="157"/>
        <w:rPr>
          <w:rFonts w:asciiTheme="minorHAnsi" w:hAnsiTheme="minorHAnsi" w:cstheme="minorHAnsi"/>
          <w:sz w:val="24"/>
          <w:szCs w:val="24"/>
        </w:rPr>
      </w:pPr>
      <w:r w:rsidRPr="0047560E">
        <w:rPr>
          <w:rFonts w:asciiTheme="minorHAnsi" w:hAnsiTheme="minorHAnsi" w:cstheme="minorHAnsi"/>
          <w:sz w:val="24"/>
          <w:szCs w:val="24"/>
        </w:rPr>
        <w:t>We note that in the scorecard provided by the board (</w:t>
      </w:r>
      <w:hyperlink r:id="rId15">
        <w:r w:rsidRPr="0047560E">
          <w:rPr>
            <w:rFonts w:asciiTheme="minorHAnsi" w:hAnsiTheme="minorHAnsi" w:cstheme="minorHAnsi"/>
            <w:color w:val="1154CC"/>
            <w:sz w:val="24"/>
            <w:szCs w:val="24"/>
            <w:u w:val="single" w:color="1154CC"/>
          </w:rPr>
          <w:t>https://www.icann.org/en/system/files/files/epdp-scorecard-15may19-en.pdf</w:t>
        </w:r>
      </w:hyperlink>
      <w:r w:rsidRPr="0047560E">
        <w:rPr>
          <w:rFonts w:asciiTheme="minorHAnsi" w:hAnsiTheme="minorHAnsi" w:cstheme="minorHAnsi"/>
          <w:sz w:val="24"/>
          <w:szCs w:val="24"/>
        </w:rPr>
        <w:t xml:space="preserve">) they request the </w:t>
      </w:r>
      <w:proofErr w:type="spellStart"/>
      <w:r w:rsidRPr="0047560E">
        <w:rPr>
          <w:rFonts w:asciiTheme="minorHAnsi" w:hAnsiTheme="minorHAnsi" w:cstheme="minorHAnsi"/>
          <w:sz w:val="24"/>
          <w:szCs w:val="24"/>
        </w:rPr>
        <w:t>ePDP</w:t>
      </w:r>
      <w:proofErr w:type="spellEnd"/>
      <w:r w:rsidRPr="0047560E">
        <w:rPr>
          <w:rFonts w:asciiTheme="minorHAnsi" w:hAnsiTheme="minorHAnsi" w:cstheme="minorHAnsi"/>
          <w:sz w:val="24"/>
          <w:szCs w:val="24"/>
        </w:rPr>
        <w:t xml:space="preserve"> further consider deletion. Given the intended phased implementation of recommendation #12 we are concerned about implementing the board modified recommendation #12 and then reconsidering it in phase 2 in parallel to or after implementation. This may result in re-work or create unintended consequences.</w:t>
      </w:r>
    </w:p>
    <w:p w14:paraId="4DBFA80E" w14:textId="77777777" w:rsidR="00943AC2" w:rsidRPr="009B37F1" w:rsidRDefault="00943AC2" w:rsidP="00943AC2">
      <w:pPr>
        <w:autoSpaceDE w:val="0"/>
        <w:autoSpaceDN w:val="0"/>
        <w:adjustRightInd w:val="0"/>
        <w:rPr>
          <w:rFonts w:ascii="Calibri" w:hAnsi="Calibri" w:cs="Calibri"/>
          <w:color w:val="000000"/>
        </w:rPr>
      </w:pPr>
    </w:p>
    <w:p w14:paraId="52AD4F61" w14:textId="77777777" w:rsidR="00551947" w:rsidRPr="009B37F1" w:rsidRDefault="00551947">
      <w:pPr>
        <w:rPr>
          <w:rFonts w:ascii="Calibri" w:eastAsia="Arial" w:hAnsi="Calibri" w:cs="Calibri"/>
          <w:b/>
          <w:bCs/>
        </w:rPr>
      </w:pPr>
      <w:r w:rsidRPr="009B37F1">
        <w:rPr>
          <w:rFonts w:ascii="Calibri" w:hAnsi="Calibri" w:cs="Calibri"/>
        </w:rPr>
        <w:br w:type="page"/>
      </w:r>
    </w:p>
    <w:p w14:paraId="6CEA08B8" w14:textId="631C6075"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lastRenderedPageBreak/>
        <w:t xml:space="preserve">Input from </w:t>
      </w:r>
      <w:r w:rsidRPr="009B37F1">
        <w:rPr>
          <w:rFonts w:ascii="Calibri" w:hAnsi="Calibri" w:cs="Calibri"/>
          <w:sz w:val="24"/>
          <w:szCs w:val="24"/>
        </w:rPr>
        <w:t xml:space="preserve">the Business Stakeholder </w:t>
      </w:r>
      <w:r w:rsidRPr="009B37F1">
        <w:rPr>
          <w:rFonts w:ascii="Calibri" w:hAnsi="Calibri" w:cs="Calibri"/>
          <w:sz w:val="24"/>
          <w:szCs w:val="24"/>
        </w:rPr>
        <w:t>Group</w:t>
      </w:r>
    </w:p>
    <w:p w14:paraId="5B41609E" w14:textId="77777777" w:rsidR="00943AC2" w:rsidRPr="009B37F1" w:rsidRDefault="00943AC2" w:rsidP="00943AC2">
      <w:pPr>
        <w:autoSpaceDE w:val="0"/>
        <w:autoSpaceDN w:val="0"/>
        <w:adjustRightInd w:val="0"/>
        <w:rPr>
          <w:rFonts w:ascii="Calibri" w:hAnsi="Calibri" w:cs="Calibri"/>
          <w:color w:val="000000"/>
        </w:rPr>
      </w:pPr>
    </w:p>
    <w:p w14:paraId="3A2114FC" w14:textId="5DCB2523" w:rsidR="00943AC2" w:rsidRPr="009B37F1" w:rsidRDefault="00943AC2" w:rsidP="00943AC2">
      <w:pPr>
        <w:autoSpaceDE w:val="0"/>
        <w:autoSpaceDN w:val="0"/>
        <w:adjustRightInd w:val="0"/>
        <w:rPr>
          <w:rFonts w:ascii="Calibri" w:hAnsi="Calibri" w:cs="Calibri"/>
          <w:color w:val="000000"/>
        </w:rPr>
      </w:pPr>
      <w:r w:rsidRPr="009B37F1">
        <w:rPr>
          <w:rFonts w:ascii="Calibri" w:hAnsi="Calibri" w:cs="Calibri"/>
          <w:color w:val="000000"/>
        </w:rPr>
        <w:t>With regard the recent Board action on the Phase 1 Report – here are a few observations from the BC:</w:t>
      </w:r>
    </w:p>
    <w:p w14:paraId="555C94F1" w14:textId="77777777" w:rsidR="00551947" w:rsidRPr="009B37F1" w:rsidRDefault="00551947" w:rsidP="00943AC2">
      <w:pPr>
        <w:autoSpaceDE w:val="0"/>
        <w:autoSpaceDN w:val="0"/>
        <w:adjustRightInd w:val="0"/>
        <w:rPr>
          <w:rFonts w:ascii="Calibri" w:hAnsi="Calibri" w:cs="Calibri"/>
          <w:color w:val="000000"/>
        </w:rPr>
      </w:pPr>
    </w:p>
    <w:p w14:paraId="02CA25F6" w14:textId="5084A233" w:rsidR="00551947" w:rsidRPr="009B37F1" w:rsidRDefault="00943AC2" w:rsidP="00943AC2">
      <w:pPr>
        <w:pStyle w:val="ListParagraph"/>
        <w:numPr>
          <w:ilvl w:val="0"/>
          <w:numId w:val="5"/>
        </w:numPr>
        <w:adjustRightInd w:val="0"/>
        <w:rPr>
          <w:rFonts w:ascii="Calibri" w:hAnsi="Calibri" w:cs="Calibri"/>
          <w:color w:val="000000"/>
          <w:sz w:val="24"/>
          <w:szCs w:val="24"/>
        </w:rPr>
      </w:pPr>
      <w:r w:rsidRPr="009B37F1">
        <w:rPr>
          <w:rFonts w:ascii="Calibri" w:hAnsi="Calibri" w:cs="Calibri"/>
          <w:color w:val="000000"/>
          <w:sz w:val="24"/>
          <w:szCs w:val="24"/>
        </w:rPr>
        <w:t>Rec 1:</w:t>
      </w:r>
      <w:r w:rsidR="00B958F1" w:rsidRPr="009B37F1">
        <w:rPr>
          <w:rFonts w:ascii="Calibri" w:hAnsi="Calibri" w:cs="Calibri"/>
          <w:color w:val="000000"/>
          <w:sz w:val="24"/>
          <w:szCs w:val="24"/>
        </w:rPr>
        <w:t xml:space="preserve"> </w:t>
      </w:r>
      <w:r w:rsidRPr="009B37F1">
        <w:rPr>
          <w:rFonts w:ascii="Calibri" w:hAnsi="Calibri" w:cs="Calibri"/>
          <w:color w:val="000000"/>
          <w:sz w:val="24"/>
          <w:szCs w:val="24"/>
        </w:rPr>
        <w:t>Purpose 2: The BC agrees that Purpose 2 should be reworked in light of the recent EU</w:t>
      </w:r>
      <w:r w:rsidRPr="009B37F1">
        <w:rPr>
          <w:rFonts w:ascii="Calibri" w:hAnsi="Calibri" w:cs="Calibri"/>
          <w:color w:val="000000"/>
          <w:sz w:val="24"/>
          <w:szCs w:val="24"/>
        </w:rPr>
        <w:t xml:space="preserve"> </w:t>
      </w:r>
      <w:r w:rsidRPr="009B37F1">
        <w:rPr>
          <w:rFonts w:ascii="Calibri" w:hAnsi="Calibri" w:cs="Calibri"/>
          <w:color w:val="000000"/>
          <w:sz w:val="24"/>
          <w:szCs w:val="24"/>
        </w:rPr>
        <w:t>Correspondence. As such, the consultation with the GNSO should determine how to</w:t>
      </w:r>
      <w:r w:rsidRPr="009B37F1">
        <w:rPr>
          <w:rFonts w:ascii="Calibri" w:hAnsi="Calibri" w:cs="Calibri"/>
          <w:color w:val="000000"/>
          <w:sz w:val="24"/>
          <w:szCs w:val="24"/>
        </w:rPr>
        <w:t xml:space="preserve"> </w:t>
      </w:r>
      <w:r w:rsidRPr="009B37F1">
        <w:rPr>
          <w:rFonts w:ascii="Calibri" w:hAnsi="Calibri" w:cs="Calibri"/>
          <w:color w:val="000000"/>
          <w:sz w:val="24"/>
          <w:szCs w:val="24"/>
        </w:rPr>
        <w:t>accomplish this change. Under the current circumstances, it seems the EPDP is in the best</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position to suggest a change. We propose to split Purpose 2 into two separate purposes:</w:t>
      </w:r>
    </w:p>
    <w:p w14:paraId="37921E4B" w14:textId="77777777" w:rsidR="00551947" w:rsidRPr="009B37F1" w:rsidRDefault="00943AC2" w:rsidP="00943AC2">
      <w:pPr>
        <w:pStyle w:val="ListParagraph"/>
        <w:numPr>
          <w:ilvl w:val="1"/>
          <w:numId w:val="5"/>
        </w:numPr>
        <w:adjustRightInd w:val="0"/>
        <w:rPr>
          <w:rFonts w:ascii="Calibri" w:hAnsi="Calibri" w:cs="Calibri"/>
          <w:color w:val="000000"/>
          <w:sz w:val="24"/>
          <w:szCs w:val="24"/>
        </w:rPr>
      </w:pPr>
      <w:r w:rsidRPr="009B37F1">
        <w:rPr>
          <w:rFonts w:ascii="Calibri" w:hAnsi="Calibri" w:cs="Calibri"/>
          <w:color w:val="000000"/>
          <w:sz w:val="24"/>
          <w:szCs w:val="24"/>
        </w:rPr>
        <w:t>Enabling ICANN to maintain the security, stability, and resiliency of the Domain Name</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System in accordance with ICANN’s mission and Bylaws through the controlling and</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processing of gTLD registration data</w:t>
      </w:r>
    </w:p>
    <w:p w14:paraId="21E5440A" w14:textId="264E199E" w:rsidR="00943AC2" w:rsidRPr="009B37F1" w:rsidRDefault="00943AC2" w:rsidP="00943AC2">
      <w:pPr>
        <w:pStyle w:val="ListParagraph"/>
        <w:numPr>
          <w:ilvl w:val="1"/>
          <w:numId w:val="5"/>
        </w:numPr>
        <w:adjustRightInd w:val="0"/>
        <w:rPr>
          <w:rFonts w:ascii="Calibri" w:hAnsi="Calibri" w:cs="Calibri"/>
          <w:color w:val="000000"/>
          <w:sz w:val="24"/>
          <w:szCs w:val="24"/>
        </w:rPr>
      </w:pPr>
      <w:r w:rsidRPr="009B37F1">
        <w:rPr>
          <w:rFonts w:ascii="Calibri" w:hAnsi="Calibri" w:cs="Calibri"/>
          <w:color w:val="000000"/>
          <w:sz w:val="24"/>
          <w:szCs w:val="24"/>
        </w:rPr>
        <w:t>Enabling third parties to address consumer protection, cybersecurity, intellectual</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property, cybercrime and DNS abuse involving the use or registration of domain names</w:t>
      </w:r>
    </w:p>
    <w:p w14:paraId="6C6205C3" w14:textId="35659B90" w:rsidR="000B7A30" w:rsidRPr="00551947" w:rsidRDefault="00943AC2" w:rsidP="00551947">
      <w:pPr>
        <w:pStyle w:val="ListParagraph"/>
        <w:numPr>
          <w:ilvl w:val="0"/>
          <w:numId w:val="5"/>
        </w:numPr>
        <w:adjustRightInd w:val="0"/>
        <w:rPr>
          <w:rFonts w:asciiTheme="minorHAnsi" w:hAnsiTheme="minorHAnsi" w:cstheme="minorHAnsi"/>
          <w:color w:val="000000"/>
        </w:rPr>
      </w:pPr>
      <w:r w:rsidRPr="009B37F1">
        <w:rPr>
          <w:rFonts w:ascii="Calibri" w:hAnsi="Calibri" w:cs="Calibri"/>
          <w:color w:val="000000"/>
          <w:sz w:val="24"/>
          <w:szCs w:val="24"/>
        </w:rPr>
        <w:t xml:space="preserve">Recommendation 12: The BC agrees with the Board’s concerns regarding the ORG </w:t>
      </w:r>
      <w:proofErr w:type="gramStart"/>
      <w:r w:rsidRPr="009B37F1">
        <w:rPr>
          <w:rFonts w:ascii="Calibri" w:hAnsi="Calibri" w:cs="Calibri"/>
          <w:color w:val="000000"/>
          <w:sz w:val="24"/>
          <w:szCs w:val="24"/>
        </w:rPr>
        <w:t>Field, and</w:t>
      </w:r>
      <w:proofErr w:type="gramEnd"/>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suggests that the EPDP update its Phase 1 recommendations to remove the deletion</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option. Instead, the recommendation could be modified to allow the contracted parties to</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update any inaccuracies in the ORG field, as appropriate.</w:t>
      </w:r>
    </w:p>
    <w:sectPr w:rsidR="000B7A30" w:rsidRPr="00551947"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9D1"/>
    <w:multiLevelType w:val="hybridMultilevel"/>
    <w:tmpl w:val="12E4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E4C69"/>
    <w:multiLevelType w:val="hybridMultilevel"/>
    <w:tmpl w:val="4C18A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6E49"/>
    <w:multiLevelType w:val="hybridMultilevel"/>
    <w:tmpl w:val="8698139C"/>
    <w:lvl w:ilvl="0" w:tplc="BAC6BB4E">
      <w:start w:val="1"/>
      <w:numFmt w:val="decimal"/>
      <w:lvlText w:val="%1)"/>
      <w:lvlJc w:val="left"/>
      <w:pPr>
        <w:ind w:left="821" w:hanging="361"/>
        <w:jc w:val="left"/>
      </w:pPr>
      <w:rPr>
        <w:rFonts w:ascii="Arial" w:eastAsia="Arial" w:hAnsi="Arial" w:cs="Arial" w:hint="default"/>
        <w:spacing w:val="-19"/>
        <w:w w:val="100"/>
        <w:sz w:val="22"/>
        <w:szCs w:val="22"/>
      </w:rPr>
    </w:lvl>
    <w:lvl w:ilvl="1" w:tplc="26FE2950">
      <w:start w:val="2"/>
      <w:numFmt w:val="decimal"/>
      <w:lvlText w:val="%2)"/>
      <w:lvlJc w:val="left"/>
      <w:pPr>
        <w:ind w:left="1540" w:hanging="720"/>
        <w:jc w:val="left"/>
      </w:pPr>
      <w:rPr>
        <w:rFonts w:hint="default"/>
        <w:spacing w:val="-1"/>
        <w:highlight w:val="lightGray"/>
      </w:rPr>
    </w:lvl>
    <w:lvl w:ilvl="2" w:tplc="59800472">
      <w:numFmt w:val="bullet"/>
      <w:lvlText w:val="●"/>
      <w:lvlJc w:val="left"/>
      <w:pPr>
        <w:ind w:left="2440" w:hanging="444"/>
      </w:pPr>
      <w:rPr>
        <w:rFonts w:hint="default"/>
        <w:spacing w:val="-1"/>
        <w:highlight w:val="lightGray"/>
      </w:rPr>
    </w:lvl>
    <w:lvl w:ilvl="3" w:tplc="EA1CF9B0">
      <w:numFmt w:val="bullet"/>
      <w:lvlText w:val="•"/>
      <w:lvlJc w:val="left"/>
      <w:pPr>
        <w:ind w:left="3290" w:hanging="444"/>
      </w:pPr>
      <w:rPr>
        <w:rFonts w:hint="default"/>
      </w:rPr>
    </w:lvl>
    <w:lvl w:ilvl="4" w:tplc="6220CD68">
      <w:numFmt w:val="bullet"/>
      <w:lvlText w:val="•"/>
      <w:lvlJc w:val="left"/>
      <w:pPr>
        <w:ind w:left="4140" w:hanging="444"/>
      </w:pPr>
      <w:rPr>
        <w:rFonts w:hint="default"/>
      </w:rPr>
    </w:lvl>
    <w:lvl w:ilvl="5" w:tplc="9768EC16">
      <w:numFmt w:val="bullet"/>
      <w:lvlText w:val="•"/>
      <w:lvlJc w:val="left"/>
      <w:pPr>
        <w:ind w:left="4990" w:hanging="444"/>
      </w:pPr>
      <w:rPr>
        <w:rFonts w:hint="default"/>
      </w:rPr>
    </w:lvl>
    <w:lvl w:ilvl="6" w:tplc="C3C4CB60">
      <w:numFmt w:val="bullet"/>
      <w:lvlText w:val="•"/>
      <w:lvlJc w:val="left"/>
      <w:pPr>
        <w:ind w:left="5840" w:hanging="444"/>
      </w:pPr>
      <w:rPr>
        <w:rFonts w:hint="default"/>
      </w:rPr>
    </w:lvl>
    <w:lvl w:ilvl="7" w:tplc="96DE7080">
      <w:numFmt w:val="bullet"/>
      <w:lvlText w:val="•"/>
      <w:lvlJc w:val="left"/>
      <w:pPr>
        <w:ind w:left="6690" w:hanging="444"/>
      </w:pPr>
      <w:rPr>
        <w:rFonts w:hint="default"/>
      </w:rPr>
    </w:lvl>
    <w:lvl w:ilvl="8" w:tplc="76ECC5D2">
      <w:numFmt w:val="bullet"/>
      <w:lvlText w:val="•"/>
      <w:lvlJc w:val="left"/>
      <w:pPr>
        <w:ind w:left="7540" w:hanging="444"/>
      </w:pPr>
      <w:rPr>
        <w:rFonts w:hint="default"/>
      </w:rPr>
    </w:lvl>
  </w:abstractNum>
  <w:abstractNum w:abstractNumId="3" w15:restartNumberingAfterBreak="0">
    <w:nsid w:val="21FF75B7"/>
    <w:multiLevelType w:val="hybridMultilevel"/>
    <w:tmpl w:val="D9369D70"/>
    <w:lvl w:ilvl="0" w:tplc="04090019">
      <w:start w:val="1"/>
      <w:numFmt w:val="lowerLetter"/>
      <w:lvlText w:val="%1."/>
      <w:lvlJc w:val="left"/>
      <w:pPr>
        <w:ind w:left="745" w:hanging="360"/>
      </w:pPr>
      <w:rPr>
        <w:rFonts w:hint="default"/>
        <w:spacing w:val="-1"/>
        <w:w w:val="100"/>
        <w:sz w:val="22"/>
        <w:szCs w:val="22"/>
      </w:rPr>
    </w:lvl>
    <w:lvl w:ilvl="1" w:tplc="BBFEB95C">
      <w:numFmt w:val="bullet"/>
      <w:lvlText w:val="•"/>
      <w:lvlJc w:val="left"/>
      <w:pPr>
        <w:ind w:left="1644" w:hanging="421"/>
      </w:pPr>
      <w:rPr>
        <w:rFonts w:hint="default"/>
      </w:rPr>
    </w:lvl>
    <w:lvl w:ilvl="2" w:tplc="8154F034">
      <w:numFmt w:val="bullet"/>
      <w:lvlText w:val="•"/>
      <w:lvlJc w:val="left"/>
      <w:pPr>
        <w:ind w:left="2488" w:hanging="421"/>
      </w:pPr>
      <w:rPr>
        <w:rFonts w:hint="default"/>
      </w:rPr>
    </w:lvl>
    <w:lvl w:ilvl="3" w:tplc="9B9EACFA">
      <w:numFmt w:val="bullet"/>
      <w:lvlText w:val="•"/>
      <w:lvlJc w:val="left"/>
      <w:pPr>
        <w:ind w:left="3332" w:hanging="421"/>
      </w:pPr>
      <w:rPr>
        <w:rFonts w:hint="default"/>
      </w:rPr>
    </w:lvl>
    <w:lvl w:ilvl="4" w:tplc="6A04AF22">
      <w:numFmt w:val="bullet"/>
      <w:lvlText w:val="•"/>
      <w:lvlJc w:val="left"/>
      <w:pPr>
        <w:ind w:left="4176" w:hanging="421"/>
      </w:pPr>
      <w:rPr>
        <w:rFonts w:hint="default"/>
      </w:rPr>
    </w:lvl>
    <w:lvl w:ilvl="5" w:tplc="5F3E550A">
      <w:numFmt w:val="bullet"/>
      <w:lvlText w:val="•"/>
      <w:lvlJc w:val="left"/>
      <w:pPr>
        <w:ind w:left="5020" w:hanging="421"/>
      </w:pPr>
      <w:rPr>
        <w:rFonts w:hint="default"/>
      </w:rPr>
    </w:lvl>
    <w:lvl w:ilvl="6" w:tplc="B5DC53F0">
      <w:numFmt w:val="bullet"/>
      <w:lvlText w:val="•"/>
      <w:lvlJc w:val="left"/>
      <w:pPr>
        <w:ind w:left="5864" w:hanging="421"/>
      </w:pPr>
      <w:rPr>
        <w:rFonts w:hint="default"/>
      </w:rPr>
    </w:lvl>
    <w:lvl w:ilvl="7" w:tplc="8280CFD4">
      <w:numFmt w:val="bullet"/>
      <w:lvlText w:val="•"/>
      <w:lvlJc w:val="left"/>
      <w:pPr>
        <w:ind w:left="6708" w:hanging="421"/>
      </w:pPr>
      <w:rPr>
        <w:rFonts w:hint="default"/>
      </w:rPr>
    </w:lvl>
    <w:lvl w:ilvl="8" w:tplc="AA40CE8E">
      <w:numFmt w:val="bullet"/>
      <w:lvlText w:val="•"/>
      <w:lvlJc w:val="left"/>
      <w:pPr>
        <w:ind w:left="7552" w:hanging="421"/>
      </w:pPr>
      <w:rPr>
        <w:rFonts w:hint="default"/>
      </w:rPr>
    </w:lvl>
  </w:abstractNum>
  <w:abstractNum w:abstractNumId="4" w15:restartNumberingAfterBreak="0">
    <w:nsid w:val="3E0D42FF"/>
    <w:multiLevelType w:val="hybridMultilevel"/>
    <w:tmpl w:val="E8F4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A331E"/>
    <w:multiLevelType w:val="hybridMultilevel"/>
    <w:tmpl w:val="A392B526"/>
    <w:lvl w:ilvl="0" w:tplc="04090011">
      <w:start w:val="1"/>
      <w:numFmt w:val="decimal"/>
      <w:lvlText w:val="%1)"/>
      <w:lvlJc w:val="left"/>
      <w:pPr>
        <w:ind w:left="820" w:hanging="360"/>
      </w:pPr>
      <w:rPr>
        <w:rFonts w:hint="default"/>
        <w:spacing w:val="-19"/>
        <w:w w:val="100"/>
        <w:sz w:val="22"/>
        <w:szCs w:val="22"/>
      </w:rPr>
    </w:lvl>
    <w:lvl w:ilvl="1" w:tplc="33B61CFC">
      <w:numFmt w:val="bullet"/>
      <w:lvlText w:val="•"/>
      <w:lvlJc w:val="left"/>
      <w:pPr>
        <w:ind w:left="1656" w:hanging="361"/>
      </w:pPr>
      <w:rPr>
        <w:rFonts w:hint="default"/>
      </w:rPr>
    </w:lvl>
    <w:lvl w:ilvl="2" w:tplc="5D6093F8">
      <w:numFmt w:val="bullet"/>
      <w:lvlText w:val="•"/>
      <w:lvlJc w:val="left"/>
      <w:pPr>
        <w:ind w:left="2492" w:hanging="361"/>
      </w:pPr>
      <w:rPr>
        <w:rFonts w:hint="default"/>
      </w:rPr>
    </w:lvl>
    <w:lvl w:ilvl="3" w:tplc="FDF06B9E">
      <w:numFmt w:val="bullet"/>
      <w:lvlText w:val="•"/>
      <w:lvlJc w:val="left"/>
      <w:pPr>
        <w:ind w:left="3328" w:hanging="361"/>
      </w:pPr>
      <w:rPr>
        <w:rFonts w:hint="default"/>
      </w:rPr>
    </w:lvl>
    <w:lvl w:ilvl="4" w:tplc="1A464786">
      <w:numFmt w:val="bullet"/>
      <w:lvlText w:val="•"/>
      <w:lvlJc w:val="left"/>
      <w:pPr>
        <w:ind w:left="4164" w:hanging="361"/>
      </w:pPr>
      <w:rPr>
        <w:rFonts w:hint="default"/>
      </w:rPr>
    </w:lvl>
    <w:lvl w:ilvl="5" w:tplc="2C16C578">
      <w:numFmt w:val="bullet"/>
      <w:lvlText w:val="•"/>
      <w:lvlJc w:val="left"/>
      <w:pPr>
        <w:ind w:left="5000" w:hanging="361"/>
      </w:pPr>
      <w:rPr>
        <w:rFonts w:hint="default"/>
      </w:rPr>
    </w:lvl>
    <w:lvl w:ilvl="6" w:tplc="1286FB0C">
      <w:numFmt w:val="bullet"/>
      <w:lvlText w:val="•"/>
      <w:lvlJc w:val="left"/>
      <w:pPr>
        <w:ind w:left="5836" w:hanging="361"/>
      </w:pPr>
      <w:rPr>
        <w:rFonts w:hint="default"/>
      </w:rPr>
    </w:lvl>
    <w:lvl w:ilvl="7" w:tplc="809EB2AC">
      <w:numFmt w:val="bullet"/>
      <w:lvlText w:val="•"/>
      <w:lvlJc w:val="left"/>
      <w:pPr>
        <w:ind w:left="6672" w:hanging="361"/>
      </w:pPr>
      <w:rPr>
        <w:rFonts w:hint="default"/>
      </w:rPr>
    </w:lvl>
    <w:lvl w:ilvl="8" w:tplc="0A20E7C6">
      <w:numFmt w:val="bullet"/>
      <w:lvlText w:val="•"/>
      <w:lvlJc w:val="left"/>
      <w:pPr>
        <w:ind w:left="7508" w:hanging="361"/>
      </w:pPr>
      <w:rPr>
        <w:rFonts w:hint="default"/>
      </w:rPr>
    </w:lvl>
  </w:abstractNum>
  <w:abstractNum w:abstractNumId="6" w15:restartNumberingAfterBreak="0">
    <w:nsid w:val="44C1510C"/>
    <w:multiLevelType w:val="hybridMultilevel"/>
    <w:tmpl w:val="FE9C2BF6"/>
    <w:lvl w:ilvl="0" w:tplc="04090001">
      <w:start w:val="1"/>
      <w:numFmt w:val="bullet"/>
      <w:lvlText w:val=""/>
      <w:lvlJc w:val="left"/>
      <w:pPr>
        <w:ind w:left="3648" w:hanging="360"/>
      </w:pPr>
      <w:rPr>
        <w:rFonts w:ascii="Symbol" w:hAnsi="Symbol" w:hint="default"/>
      </w:rPr>
    </w:lvl>
    <w:lvl w:ilvl="1" w:tplc="04090003" w:tentative="1">
      <w:start w:val="1"/>
      <w:numFmt w:val="bullet"/>
      <w:lvlText w:val="o"/>
      <w:lvlJc w:val="left"/>
      <w:pPr>
        <w:ind w:left="4368" w:hanging="360"/>
      </w:pPr>
      <w:rPr>
        <w:rFonts w:ascii="Courier New" w:hAnsi="Courier New" w:cs="Courier New" w:hint="default"/>
      </w:rPr>
    </w:lvl>
    <w:lvl w:ilvl="2" w:tplc="04090005" w:tentative="1">
      <w:start w:val="1"/>
      <w:numFmt w:val="bullet"/>
      <w:lvlText w:val=""/>
      <w:lvlJc w:val="left"/>
      <w:pPr>
        <w:ind w:left="5088" w:hanging="360"/>
      </w:pPr>
      <w:rPr>
        <w:rFonts w:ascii="Wingdings" w:hAnsi="Wingdings" w:hint="default"/>
      </w:rPr>
    </w:lvl>
    <w:lvl w:ilvl="3" w:tplc="04090001" w:tentative="1">
      <w:start w:val="1"/>
      <w:numFmt w:val="bullet"/>
      <w:lvlText w:val=""/>
      <w:lvlJc w:val="left"/>
      <w:pPr>
        <w:ind w:left="5808" w:hanging="360"/>
      </w:pPr>
      <w:rPr>
        <w:rFonts w:ascii="Symbol" w:hAnsi="Symbol" w:hint="default"/>
      </w:rPr>
    </w:lvl>
    <w:lvl w:ilvl="4" w:tplc="04090003" w:tentative="1">
      <w:start w:val="1"/>
      <w:numFmt w:val="bullet"/>
      <w:lvlText w:val="o"/>
      <w:lvlJc w:val="left"/>
      <w:pPr>
        <w:ind w:left="6528" w:hanging="360"/>
      </w:pPr>
      <w:rPr>
        <w:rFonts w:ascii="Courier New" w:hAnsi="Courier New" w:cs="Courier New" w:hint="default"/>
      </w:rPr>
    </w:lvl>
    <w:lvl w:ilvl="5" w:tplc="04090005" w:tentative="1">
      <w:start w:val="1"/>
      <w:numFmt w:val="bullet"/>
      <w:lvlText w:val=""/>
      <w:lvlJc w:val="left"/>
      <w:pPr>
        <w:ind w:left="7248" w:hanging="360"/>
      </w:pPr>
      <w:rPr>
        <w:rFonts w:ascii="Wingdings" w:hAnsi="Wingdings" w:hint="default"/>
      </w:rPr>
    </w:lvl>
    <w:lvl w:ilvl="6" w:tplc="04090001" w:tentative="1">
      <w:start w:val="1"/>
      <w:numFmt w:val="bullet"/>
      <w:lvlText w:val=""/>
      <w:lvlJc w:val="left"/>
      <w:pPr>
        <w:ind w:left="7968" w:hanging="360"/>
      </w:pPr>
      <w:rPr>
        <w:rFonts w:ascii="Symbol" w:hAnsi="Symbol" w:hint="default"/>
      </w:rPr>
    </w:lvl>
    <w:lvl w:ilvl="7" w:tplc="04090003" w:tentative="1">
      <w:start w:val="1"/>
      <w:numFmt w:val="bullet"/>
      <w:lvlText w:val="o"/>
      <w:lvlJc w:val="left"/>
      <w:pPr>
        <w:ind w:left="8688" w:hanging="360"/>
      </w:pPr>
      <w:rPr>
        <w:rFonts w:ascii="Courier New" w:hAnsi="Courier New" w:cs="Courier New" w:hint="default"/>
      </w:rPr>
    </w:lvl>
    <w:lvl w:ilvl="8" w:tplc="04090005" w:tentative="1">
      <w:start w:val="1"/>
      <w:numFmt w:val="bullet"/>
      <w:lvlText w:val=""/>
      <w:lvlJc w:val="left"/>
      <w:pPr>
        <w:ind w:left="9408" w:hanging="360"/>
      </w:pPr>
      <w:rPr>
        <w:rFonts w:ascii="Wingdings" w:hAnsi="Wingdings" w:hint="default"/>
      </w:rPr>
    </w:lvl>
  </w:abstractNum>
  <w:abstractNum w:abstractNumId="7" w15:restartNumberingAfterBreak="0">
    <w:nsid w:val="573720BA"/>
    <w:multiLevelType w:val="hybridMultilevel"/>
    <w:tmpl w:val="8DE29C3E"/>
    <w:lvl w:ilvl="0" w:tplc="A4D4DCEA">
      <w:start w:val="1"/>
      <w:numFmt w:val="lowerLetter"/>
      <w:lvlText w:val="%1."/>
      <w:lvlJc w:val="left"/>
      <w:pPr>
        <w:ind w:left="806" w:hanging="421"/>
        <w:jc w:val="left"/>
      </w:pPr>
      <w:rPr>
        <w:rFonts w:ascii="Arial" w:eastAsia="Arial" w:hAnsi="Arial" w:cs="Arial" w:hint="default"/>
        <w:spacing w:val="-1"/>
        <w:w w:val="100"/>
        <w:sz w:val="22"/>
        <w:szCs w:val="22"/>
      </w:rPr>
    </w:lvl>
    <w:lvl w:ilvl="1" w:tplc="98AA1730">
      <w:numFmt w:val="bullet"/>
      <w:lvlText w:val="•"/>
      <w:lvlJc w:val="left"/>
      <w:pPr>
        <w:ind w:left="1644" w:hanging="421"/>
      </w:pPr>
      <w:rPr>
        <w:rFonts w:hint="default"/>
      </w:rPr>
    </w:lvl>
    <w:lvl w:ilvl="2" w:tplc="F90035CE">
      <w:numFmt w:val="bullet"/>
      <w:lvlText w:val="•"/>
      <w:lvlJc w:val="left"/>
      <w:pPr>
        <w:ind w:left="2488" w:hanging="421"/>
      </w:pPr>
      <w:rPr>
        <w:rFonts w:hint="default"/>
      </w:rPr>
    </w:lvl>
    <w:lvl w:ilvl="3" w:tplc="8BF6F842">
      <w:numFmt w:val="bullet"/>
      <w:lvlText w:val="•"/>
      <w:lvlJc w:val="left"/>
      <w:pPr>
        <w:ind w:left="3332" w:hanging="421"/>
      </w:pPr>
      <w:rPr>
        <w:rFonts w:hint="default"/>
      </w:rPr>
    </w:lvl>
    <w:lvl w:ilvl="4" w:tplc="BD585132">
      <w:numFmt w:val="bullet"/>
      <w:lvlText w:val="•"/>
      <w:lvlJc w:val="left"/>
      <w:pPr>
        <w:ind w:left="4176" w:hanging="421"/>
      </w:pPr>
      <w:rPr>
        <w:rFonts w:hint="default"/>
      </w:rPr>
    </w:lvl>
    <w:lvl w:ilvl="5" w:tplc="7084FB34">
      <w:numFmt w:val="bullet"/>
      <w:lvlText w:val="•"/>
      <w:lvlJc w:val="left"/>
      <w:pPr>
        <w:ind w:left="5020" w:hanging="421"/>
      </w:pPr>
      <w:rPr>
        <w:rFonts w:hint="default"/>
      </w:rPr>
    </w:lvl>
    <w:lvl w:ilvl="6" w:tplc="7D26BE18">
      <w:numFmt w:val="bullet"/>
      <w:lvlText w:val="•"/>
      <w:lvlJc w:val="left"/>
      <w:pPr>
        <w:ind w:left="5864" w:hanging="421"/>
      </w:pPr>
      <w:rPr>
        <w:rFonts w:hint="default"/>
      </w:rPr>
    </w:lvl>
    <w:lvl w:ilvl="7" w:tplc="4FB422C6">
      <w:numFmt w:val="bullet"/>
      <w:lvlText w:val="•"/>
      <w:lvlJc w:val="left"/>
      <w:pPr>
        <w:ind w:left="6708" w:hanging="421"/>
      </w:pPr>
      <w:rPr>
        <w:rFonts w:hint="default"/>
      </w:rPr>
    </w:lvl>
    <w:lvl w:ilvl="8" w:tplc="914A69A2">
      <w:numFmt w:val="bullet"/>
      <w:lvlText w:val="•"/>
      <w:lvlJc w:val="left"/>
      <w:pPr>
        <w:ind w:left="7552" w:hanging="421"/>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C2"/>
    <w:rsid w:val="000B7A30"/>
    <w:rsid w:val="00246C3B"/>
    <w:rsid w:val="00385D74"/>
    <w:rsid w:val="004664B7"/>
    <w:rsid w:val="0047560E"/>
    <w:rsid w:val="00551947"/>
    <w:rsid w:val="005E720C"/>
    <w:rsid w:val="005F102F"/>
    <w:rsid w:val="006D2693"/>
    <w:rsid w:val="007D5801"/>
    <w:rsid w:val="007F1FED"/>
    <w:rsid w:val="008363A6"/>
    <w:rsid w:val="00943AC2"/>
    <w:rsid w:val="009B37F1"/>
    <w:rsid w:val="00B34569"/>
    <w:rsid w:val="00B958F1"/>
    <w:rsid w:val="00BE5129"/>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D877"/>
  <w15:chartTrackingRefBased/>
  <w15:docId w15:val="{5B719E93-7CF5-1149-BAC9-5B39FEDF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3AC2"/>
    <w:pPr>
      <w:widowControl w:val="0"/>
      <w:autoSpaceDE w:val="0"/>
      <w:autoSpaceDN w:val="0"/>
      <w:ind w:left="101"/>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AC2"/>
    <w:rPr>
      <w:rFonts w:ascii="Arial" w:eastAsia="Arial" w:hAnsi="Arial" w:cs="Arial"/>
      <w:b/>
      <w:bCs/>
      <w:sz w:val="22"/>
      <w:szCs w:val="22"/>
    </w:rPr>
  </w:style>
  <w:style w:type="paragraph" w:styleId="BodyText">
    <w:name w:val="Body Text"/>
    <w:basedOn w:val="Normal"/>
    <w:link w:val="BodyTextChar"/>
    <w:uiPriority w:val="1"/>
    <w:qFormat/>
    <w:rsid w:val="00943AC2"/>
    <w:pPr>
      <w:widowControl w:val="0"/>
      <w:autoSpaceDE w:val="0"/>
      <w:autoSpaceDN w:val="0"/>
      <w:ind w:left="806"/>
    </w:pPr>
    <w:rPr>
      <w:rFonts w:ascii="Arial" w:eastAsia="Arial" w:hAnsi="Arial" w:cs="Arial"/>
      <w:sz w:val="22"/>
      <w:szCs w:val="22"/>
    </w:rPr>
  </w:style>
  <w:style w:type="character" w:customStyle="1" w:styleId="BodyTextChar">
    <w:name w:val="Body Text Char"/>
    <w:basedOn w:val="DefaultParagraphFont"/>
    <w:link w:val="BodyText"/>
    <w:uiPriority w:val="1"/>
    <w:rsid w:val="00943AC2"/>
    <w:rPr>
      <w:rFonts w:ascii="Arial" w:eastAsia="Arial" w:hAnsi="Arial" w:cs="Arial"/>
      <w:sz w:val="22"/>
      <w:szCs w:val="22"/>
    </w:rPr>
  </w:style>
  <w:style w:type="paragraph" w:styleId="ListParagraph">
    <w:name w:val="List Paragraph"/>
    <w:basedOn w:val="Normal"/>
    <w:uiPriority w:val="1"/>
    <w:qFormat/>
    <w:rsid w:val="00943AC2"/>
    <w:pPr>
      <w:widowControl w:val="0"/>
      <w:autoSpaceDE w:val="0"/>
      <w:autoSpaceDN w:val="0"/>
      <w:ind w:left="806" w:right="322" w:hanging="420"/>
    </w:pPr>
    <w:rPr>
      <w:rFonts w:ascii="Arial" w:eastAsia="Arial" w:hAnsi="Arial" w:cs="Arial"/>
      <w:sz w:val="22"/>
      <w:szCs w:val="22"/>
    </w:rPr>
  </w:style>
  <w:style w:type="character" w:styleId="Hyperlink">
    <w:name w:val="Hyperlink"/>
    <w:basedOn w:val="DefaultParagraphFont"/>
    <w:uiPriority w:val="99"/>
    <w:unhideWhenUsed/>
    <w:rsid w:val="00943AC2"/>
    <w:rPr>
      <w:color w:val="0563C1" w:themeColor="hyperlink"/>
      <w:u w:val="single"/>
    </w:rPr>
  </w:style>
  <w:style w:type="character" w:styleId="UnresolvedMention">
    <w:name w:val="Unresolved Mention"/>
    <w:basedOn w:val="DefaultParagraphFont"/>
    <w:uiPriority w:val="99"/>
    <w:semiHidden/>
    <w:unhideWhenUsed/>
    <w:rsid w:val="0094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board-material/resolutions-2019-05-15-en" TargetMode="External"/><Relationship Id="rId13" Type="http://schemas.openxmlformats.org/officeDocument/2006/relationships/hyperlink" Target="https://www.icann.org/en/system/files/correspondence/odonohue-to-marby-03may19-en.pdf" TargetMode="External"/><Relationship Id="rId3" Type="http://schemas.openxmlformats.org/officeDocument/2006/relationships/settings" Target="settings.xml"/><Relationship Id="rId7" Type="http://schemas.openxmlformats.org/officeDocument/2006/relationships/hyperlink" Target="https://www.icann.org/en/system/files/files/epdp-scorecard-15may19-en.pdf" TargetMode="External"/><Relationship Id="rId12" Type="http://schemas.openxmlformats.org/officeDocument/2006/relationships/hyperlink" Target="https://www.icann.org/en/system/files/correspondence/marby-to-odonohue-26apr19-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cann.org/resources/board-material/prelim-report-2019-05-15-en" TargetMode="External"/><Relationship Id="rId11" Type="http://schemas.openxmlformats.org/officeDocument/2006/relationships/hyperlink" Target="https://mm.icann.org/pipermail/comments-epdp-recs-04mar19/attachments/20190417/6f0a65b2/CommentsontheTemporarySpecificationforgTLDRegistrationDataPolicyRecommendations-0001.pdf" TargetMode="External"/><Relationship Id="rId5" Type="http://schemas.openxmlformats.org/officeDocument/2006/relationships/hyperlink" Target="https://www.icann.org/en/system/files/correspondence/chalaby-to-drazek-15may19-en.pdf" TargetMode="External"/><Relationship Id="rId15" Type="http://schemas.openxmlformats.org/officeDocument/2006/relationships/hyperlink" Target="https://www.icann.org/en/system/files/files/epdp-scorecard-15may19-en.pdf" TargetMode="External"/><Relationship Id="rId10" Type="http://schemas.openxmlformats.org/officeDocument/2006/relationships/hyperlink" Target="https://mm.icann.org/pipermail/comments-epdp-recs-04mar19/attachments/20190417/6f0a65b2/CommentsontheTemporarySpecificationforgTLDRegistrationDataPolicyRecommendations-0001.pdf" TargetMode="External"/><Relationship Id="rId4" Type="http://schemas.openxmlformats.org/officeDocument/2006/relationships/webSettings" Target="webSettings.xml"/><Relationship Id="rId9" Type="http://schemas.openxmlformats.org/officeDocument/2006/relationships/hyperlink" Target="https://mm.icann.org/pipermail/comments-epdp-recs-04mar19/attachments/20190417/6f0a65b2/CommentsontheTemporarySpecificationforgTLDRegistrationDataPolicyRecommendations-0001.pdf" TargetMode="External"/><Relationship Id="rId14" Type="http://schemas.openxmlformats.org/officeDocument/2006/relationships/hyperlink" Target="https://www.icann.org/en/system/files/correspondence/jelinek-to-marby-05jul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2019-06-06T15:20:00Z</dcterms:created>
  <dcterms:modified xsi:type="dcterms:W3CDTF">2019-06-06T16:26:00Z</dcterms:modified>
</cp:coreProperties>
</file>