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669F3" w14:textId="77777777" w:rsidR="007C6CCE" w:rsidRPr="00845AE8" w:rsidRDefault="007C6C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a"/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7C6CCE" w:rsidRPr="00E54DF0" w14:paraId="6269E691" w14:textId="77777777" w:rsidTr="007C6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2C9B71CF" w14:textId="03F765AE" w:rsidR="007C6CCE" w:rsidRPr="00E54DF0" w:rsidRDefault="00225D7E">
            <w:pPr>
              <w:spacing w:before="40" w:after="4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E54DF0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Overarching Purpose: </w:t>
            </w:r>
            <w:r w:rsidR="000B1FC3">
              <w:rPr>
                <w:rFonts w:asciiTheme="majorHAnsi" w:eastAsia="Arial" w:hAnsiTheme="majorHAnsi" w:cstheme="majorHAnsi"/>
                <w:b w:val="0"/>
                <w:color w:val="000000"/>
                <w:sz w:val="22"/>
                <w:szCs w:val="22"/>
              </w:rPr>
              <w:t>Processing personal data</w:t>
            </w:r>
            <w:r w:rsidRPr="00E54DF0">
              <w:rPr>
                <w:rFonts w:asciiTheme="majorHAnsi" w:eastAsia="Arial" w:hAnsiTheme="majorHAnsi" w:cstheme="majorHAnsi"/>
                <w:b w:val="0"/>
                <w:color w:val="000000"/>
                <w:sz w:val="22"/>
                <w:szCs w:val="22"/>
              </w:rPr>
              <w:t xml:space="preserve"> to facilitate the UDRP and URS</w:t>
            </w:r>
          </w:p>
        </w:tc>
      </w:tr>
    </w:tbl>
    <w:p w14:paraId="13BF36C0" w14:textId="77777777" w:rsidR="007C6CCE" w:rsidRPr="00E54DF0" w:rsidRDefault="007C6CCE">
      <w:pPr>
        <w:spacing w:before="40" w:after="40"/>
        <w:rPr>
          <w:rFonts w:asciiTheme="majorHAnsi" w:hAnsiTheme="majorHAnsi" w:cstheme="majorHAnsi"/>
          <w:b/>
          <w:color w:val="FFFFFF"/>
          <w:sz w:val="22"/>
          <w:szCs w:val="22"/>
        </w:rPr>
        <w:sectPr w:rsidR="007C6CCE" w:rsidRPr="00E54DF0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29A410B5" w14:textId="77777777" w:rsidR="007C6CCE" w:rsidRPr="000B1FC3" w:rsidRDefault="007C6C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color w:val="FFFFFF"/>
          <w:sz w:val="22"/>
          <w:szCs w:val="22"/>
        </w:rPr>
      </w:pPr>
    </w:p>
    <w:tbl>
      <w:tblPr>
        <w:tblStyle w:val="a0"/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6120"/>
      </w:tblGrid>
      <w:tr w:rsidR="007C6CCE" w:rsidRPr="000B1FC3" w14:paraId="29289EED" w14:textId="77777777" w:rsidTr="007C6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</w:tcPr>
          <w:p w14:paraId="1621C8FF" w14:textId="7518B0CA" w:rsidR="007C6CCE" w:rsidRPr="000B1FC3" w:rsidRDefault="00225D7E">
            <w:pPr>
              <w:spacing w:before="40" w:after="4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0B1FC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Use Case: </w:t>
            </w:r>
            <w:r w:rsidR="00D14F41" w:rsidRPr="000B1FC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0B1FC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Processing personal data in the context of UDRP and URS</w:t>
            </w:r>
          </w:p>
        </w:tc>
      </w:tr>
      <w:tr w:rsidR="007C6CCE" w:rsidRPr="00845AE8" w14:paraId="04CD1F7A" w14:textId="77777777" w:rsidTr="007C6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1665BE18" w14:textId="77777777" w:rsidR="007C6CCE" w:rsidRPr="00845AE8" w:rsidRDefault="00225D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b w:val="0"/>
                <w:color w:val="000000"/>
                <w:sz w:val="22"/>
                <w:szCs w:val="22"/>
              </w:rPr>
              <w:t xml:space="preserve">User Groups (Requestors) / User characteristics </w:t>
            </w:r>
          </w:p>
        </w:tc>
        <w:tc>
          <w:tcPr>
            <w:tcW w:w="6120" w:type="dxa"/>
          </w:tcPr>
          <w:p w14:paraId="53FF50D7" w14:textId="71A085CF" w:rsidR="007C6CCE" w:rsidRPr="00A41597" w:rsidRDefault="00125184" w:rsidP="005E623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Intellectual property</w:t>
            </w:r>
            <w:r w:rsidR="005E6237" w:rsidRPr="00845AE8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owners, their attorneys or agents</w:t>
            </w:r>
            <w:r w:rsidR="005E6237" w:rsidRPr="00845AE8">
              <w:rPr>
                <w:rStyle w:val="FootnoteReference"/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footnoteReference w:id="1"/>
            </w:r>
            <w:r w:rsidR="005E6237" w:rsidRPr="00845AE8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, and all participants in the UDRP or URS process, including complainants and respondents, panelists, and </w:t>
            </w:r>
            <w:r w:rsidR="003738A1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dispute resolution</w:t>
            </w:r>
            <w:r w:rsidR="005E6237" w:rsidRPr="00845AE8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service providers.</w:t>
            </w: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C6CCE" w:rsidRPr="00845AE8" w14:paraId="16539EA3" w14:textId="77777777" w:rsidTr="007C6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4C3D36DA" w14:textId="77777777" w:rsidR="007C6CCE" w:rsidRPr="00845AE8" w:rsidRDefault="00225D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b w:val="0"/>
                <w:color w:val="000000"/>
                <w:sz w:val="22"/>
                <w:szCs w:val="22"/>
              </w:rPr>
              <w:t>Why is non-public registration data necessary?</w:t>
            </w:r>
          </w:p>
        </w:tc>
        <w:tc>
          <w:tcPr>
            <w:tcW w:w="6120" w:type="dxa"/>
          </w:tcPr>
          <w:p w14:paraId="636E377D" w14:textId="3F49C0B9" w:rsidR="007C6CCE" w:rsidRPr="00845AE8" w:rsidRDefault="005E6237" w:rsidP="00301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Non-public registratio</w:t>
            </w:r>
            <w:r w:rsidRPr="003738A1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n data is </w:t>
            </w:r>
            <w:r w:rsidR="003738A1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processed</w:t>
            </w:r>
            <w:r w:rsidR="003738A1" w:rsidRPr="003738A1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3738A1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to determine </w:t>
            </w:r>
            <w:r w:rsidR="00627FD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(1) </w:t>
            </w:r>
            <w:r w:rsidRPr="005215BE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against whom</w:t>
            </w:r>
            <w:r w:rsidR="0012518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,</w:t>
            </w:r>
            <w:r w:rsidRPr="005215BE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and </w:t>
            </w:r>
            <w:r w:rsidR="0012518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whether to consolidate,</w:t>
            </w:r>
            <w:r w:rsidRPr="005215BE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a UDRP or URS complaint; (</w:t>
            </w:r>
            <w:r w:rsidR="00627FD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2</w:t>
            </w:r>
            <w:r w:rsidRPr="005215BE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) </w:t>
            </w:r>
            <w:r w:rsidR="00727EEB" w:rsidRPr="005215BE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whether an allegedly infringing </w:t>
            </w:r>
            <w:r w:rsidR="00727EEB" w:rsidRPr="00125184">
              <w:rPr>
                <w:rFonts w:asciiTheme="majorHAnsi" w:eastAsia="Calibri" w:hAnsiTheme="majorHAnsi" w:cstheme="majorHAnsi"/>
                <w:sz w:val="22"/>
                <w:szCs w:val="22"/>
              </w:rPr>
              <w:t>domain name registrant</w:t>
            </w:r>
            <w:r w:rsidR="00CF7FBC" w:rsidRPr="001251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CF7FBC" w:rsidRPr="00125184">
              <w:rPr>
                <w:rFonts w:asciiTheme="majorHAnsi" w:hAnsiTheme="majorHAnsi" w:cstheme="majorHAnsi"/>
                <w:sz w:val="22"/>
                <w:szCs w:val="22"/>
              </w:rPr>
              <w:t>has acted in bad faith, including, for example, whether the alleged infringer (a) had actual knowledge of the trademark at issue; (b) uses a business name containing the trademark at issue in the WHOIS record; (c) is a competitor of the complainant; (d)</w:t>
            </w:r>
            <w:r w:rsidR="00304611" w:rsidRPr="0012518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27EEB" w:rsidRPr="00125184">
              <w:rPr>
                <w:rFonts w:asciiTheme="majorHAnsi" w:eastAsia="Calibri" w:hAnsiTheme="majorHAnsi" w:cstheme="majorHAnsi"/>
                <w:sz w:val="22"/>
                <w:szCs w:val="22"/>
              </w:rPr>
              <w:t>is a repeat infringer</w:t>
            </w:r>
            <w:r w:rsidR="00B17A86">
              <w:rPr>
                <w:rFonts w:asciiTheme="majorHAnsi" w:eastAsia="Calibri" w:hAnsiTheme="majorHAnsi" w:cstheme="majorHAnsi"/>
                <w:sz w:val="22"/>
                <w:szCs w:val="22"/>
              </w:rPr>
              <w:t>;</w:t>
            </w:r>
            <w:r w:rsidR="00EA4AFE" w:rsidRPr="001251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(e) maintains other registrations </w:t>
            </w:r>
            <w:r w:rsidR="00EA4AFE" w:rsidRPr="005215BE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that could form part of a consolidated complaint</w:t>
            </w:r>
            <w:r w:rsidR="00727EEB" w:rsidRPr="005215BE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;</w:t>
            </w:r>
            <w:r w:rsidR="00B17A86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727EEB" w:rsidRPr="005215BE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(</w:t>
            </w:r>
            <w:r w:rsidR="00705398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3</w:t>
            </w:r>
            <w:r w:rsidR="00727EEB" w:rsidRPr="005215BE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) </w:t>
            </w:r>
            <w:r w:rsidRPr="005215BE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whether a potential UDRP or URS dispute may be addressed without the need to file a complaint</w:t>
            </w:r>
            <w:r w:rsidR="00B17A86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; and/or (4) </w:t>
            </w:r>
            <w:r w:rsidR="00B17A86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whether the registrant might have a legitimate interest in the domain</w:t>
            </w:r>
            <w:r w:rsidR="00B17A86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. </w:t>
            </w:r>
          </w:p>
        </w:tc>
      </w:tr>
      <w:tr w:rsidR="007C6CCE" w:rsidRPr="00845AE8" w14:paraId="2902293D" w14:textId="77777777" w:rsidTr="007C6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20F9A018" w14:textId="77777777" w:rsidR="007C6CCE" w:rsidRPr="00845AE8" w:rsidRDefault="00225D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b w:val="0"/>
                <w:color w:val="000000"/>
                <w:sz w:val="22"/>
                <w:szCs w:val="22"/>
              </w:rPr>
              <w:t>Data elements that may typically be disclosed</w:t>
            </w:r>
            <w:r w:rsidRPr="00845AE8">
              <w:rPr>
                <w:rFonts w:asciiTheme="majorHAnsi" w:eastAsia="Calibri" w:hAnsiTheme="majorHAnsi" w:cstheme="majorHAnsi"/>
                <w:b w:val="0"/>
                <w:color w:val="000000"/>
                <w:sz w:val="22"/>
                <w:szCs w:val="22"/>
                <w:vertAlign w:val="superscript"/>
              </w:rPr>
              <w:footnoteReference w:id="2"/>
            </w:r>
            <w:r w:rsidRPr="00845AE8">
              <w:rPr>
                <w:rFonts w:asciiTheme="majorHAnsi" w:eastAsia="Calibr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</w:p>
          <w:p w14:paraId="237F7A22" w14:textId="77777777" w:rsidR="007C6CCE" w:rsidRPr="00845AE8" w:rsidRDefault="007C6CCE">
            <w:pPr>
              <w:spacing w:before="40" w:after="4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120" w:type="dxa"/>
          </w:tcPr>
          <w:p w14:paraId="3B01E2F9" w14:textId="77777777" w:rsidR="00EE2FA4" w:rsidRPr="003A4663" w:rsidRDefault="005E6237" w:rsidP="005E623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4663">
              <w:rPr>
                <w:rFonts w:asciiTheme="majorHAnsi" w:hAnsiTheme="majorHAnsi" w:cstheme="majorHAnsi"/>
                <w:sz w:val="22"/>
                <w:szCs w:val="22"/>
              </w:rPr>
              <w:t xml:space="preserve">Registrant </w:t>
            </w:r>
          </w:p>
          <w:p w14:paraId="6C7D33C7" w14:textId="020EE122" w:rsidR="005E6237" w:rsidRPr="003A4663" w:rsidRDefault="00EE2FA4" w:rsidP="003A4663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4663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5E6237" w:rsidRPr="003A4663">
              <w:rPr>
                <w:rFonts w:asciiTheme="majorHAnsi" w:hAnsiTheme="majorHAnsi" w:cstheme="majorHAnsi"/>
                <w:sz w:val="22"/>
                <w:szCs w:val="22"/>
              </w:rPr>
              <w:t>ame</w:t>
            </w:r>
          </w:p>
          <w:p w14:paraId="1A3859CC" w14:textId="77777777" w:rsidR="005E6237" w:rsidRPr="003A4663" w:rsidRDefault="005E6237" w:rsidP="003A4663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4663">
              <w:rPr>
                <w:rFonts w:asciiTheme="majorHAnsi" w:hAnsiTheme="majorHAnsi" w:cstheme="majorHAnsi"/>
                <w:sz w:val="22"/>
                <w:szCs w:val="22"/>
              </w:rPr>
              <w:t>Organization (if not published)</w:t>
            </w:r>
          </w:p>
          <w:p w14:paraId="7ED9AE5D" w14:textId="77777777" w:rsidR="005E6237" w:rsidRPr="003A4663" w:rsidRDefault="005E6237" w:rsidP="003A4663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4663">
              <w:rPr>
                <w:rFonts w:asciiTheme="majorHAnsi" w:hAnsiTheme="majorHAnsi" w:cstheme="majorHAnsi"/>
                <w:sz w:val="22"/>
                <w:szCs w:val="22"/>
              </w:rPr>
              <w:t xml:space="preserve">Street </w:t>
            </w:r>
          </w:p>
          <w:p w14:paraId="00031C07" w14:textId="77777777" w:rsidR="005E6237" w:rsidRPr="003A4663" w:rsidRDefault="005E6237" w:rsidP="003A4663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4663">
              <w:rPr>
                <w:rFonts w:asciiTheme="majorHAnsi" w:hAnsiTheme="majorHAnsi" w:cstheme="majorHAnsi"/>
                <w:sz w:val="22"/>
                <w:szCs w:val="22"/>
              </w:rPr>
              <w:t>City</w:t>
            </w:r>
          </w:p>
          <w:p w14:paraId="1256DDEF" w14:textId="77777777" w:rsidR="005E6237" w:rsidRPr="003A4663" w:rsidRDefault="005E6237" w:rsidP="003A4663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4663">
              <w:rPr>
                <w:rFonts w:asciiTheme="majorHAnsi" w:hAnsiTheme="majorHAnsi" w:cstheme="majorHAnsi"/>
                <w:sz w:val="22"/>
                <w:szCs w:val="22"/>
              </w:rPr>
              <w:t>Postal code</w:t>
            </w:r>
          </w:p>
          <w:p w14:paraId="298CE5CE" w14:textId="77777777" w:rsidR="005E6237" w:rsidRPr="003A4663" w:rsidRDefault="005E6237" w:rsidP="003A4663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4663">
              <w:rPr>
                <w:rFonts w:asciiTheme="majorHAnsi" w:hAnsiTheme="majorHAnsi" w:cstheme="majorHAnsi"/>
                <w:sz w:val="22"/>
                <w:szCs w:val="22"/>
              </w:rPr>
              <w:t>Phone number</w:t>
            </w:r>
          </w:p>
          <w:p w14:paraId="1D58D82F" w14:textId="77777777" w:rsidR="005E6237" w:rsidRPr="003A4663" w:rsidRDefault="005E6237" w:rsidP="003A4663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4663">
              <w:rPr>
                <w:rFonts w:asciiTheme="majorHAnsi" w:hAnsiTheme="majorHAnsi" w:cstheme="majorHAnsi"/>
                <w:sz w:val="22"/>
                <w:szCs w:val="22"/>
              </w:rPr>
              <w:t>Fax number</w:t>
            </w:r>
          </w:p>
          <w:p w14:paraId="0407E0F2" w14:textId="77777777" w:rsidR="007C6CCE" w:rsidRPr="003A4663" w:rsidRDefault="005E6237" w:rsidP="00EE2FA4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A4663">
              <w:rPr>
                <w:rFonts w:asciiTheme="majorHAnsi" w:hAnsiTheme="majorHAnsi" w:cstheme="majorHAnsi"/>
                <w:sz w:val="22"/>
                <w:szCs w:val="22"/>
              </w:rPr>
              <w:t>Email address</w:t>
            </w:r>
          </w:p>
          <w:p w14:paraId="6F884632" w14:textId="77777777" w:rsidR="00EE2FA4" w:rsidRPr="003A4663" w:rsidRDefault="00EE2FA4" w:rsidP="00EE2FA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A4663">
              <w:rPr>
                <w:rFonts w:asciiTheme="majorHAnsi" w:hAnsiTheme="majorHAnsi" w:cstheme="majorHAnsi"/>
                <w:sz w:val="22"/>
                <w:szCs w:val="22"/>
              </w:rPr>
              <w:t xml:space="preserve">Tech </w:t>
            </w:r>
          </w:p>
          <w:p w14:paraId="68021F55" w14:textId="56BDEDEE" w:rsidR="00EE2FA4" w:rsidRPr="003A4663" w:rsidRDefault="00EE2FA4" w:rsidP="00EE2FA4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A4663">
              <w:rPr>
                <w:rFonts w:asciiTheme="majorHAnsi" w:hAnsiTheme="majorHAnsi" w:cstheme="majorHAnsi"/>
                <w:sz w:val="22"/>
                <w:szCs w:val="22"/>
              </w:rPr>
              <w:t>Name</w:t>
            </w:r>
          </w:p>
          <w:p w14:paraId="4F5DB8A6" w14:textId="410264A8" w:rsidR="00EE2FA4" w:rsidRPr="003A4663" w:rsidRDefault="00EE2FA4" w:rsidP="00EE2FA4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A4663">
              <w:rPr>
                <w:rFonts w:asciiTheme="majorHAnsi" w:hAnsiTheme="majorHAnsi" w:cstheme="majorHAnsi"/>
                <w:sz w:val="22"/>
                <w:szCs w:val="22"/>
              </w:rPr>
              <w:t>Phone</w:t>
            </w:r>
          </w:p>
          <w:p w14:paraId="746A31B7" w14:textId="243BEF34" w:rsidR="00EE2FA4" w:rsidRPr="00B17A86" w:rsidRDefault="00EE2FA4" w:rsidP="00B17A86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A4663">
              <w:rPr>
                <w:rFonts w:asciiTheme="majorHAnsi" w:hAnsiTheme="majorHAnsi" w:cstheme="majorHAnsi"/>
                <w:sz w:val="22"/>
                <w:szCs w:val="22"/>
              </w:rPr>
              <w:t>Email Address</w:t>
            </w:r>
          </w:p>
        </w:tc>
      </w:tr>
      <w:tr w:rsidR="007C6CCE" w:rsidRPr="00845AE8" w14:paraId="08784E2E" w14:textId="77777777" w:rsidTr="007C6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52F4CCAB" w14:textId="77777777" w:rsidR="007C6CCE" w:rsidRPr="00845AE8" w:rsidRDefault="00225D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b w:val="0"/>
                <w:color w:val="000000"/>
                <w:sz w:val="22"/>
                <w:szCs w:val="22"/>
              </w:rPr>
              <w:t>Lawful basis of entity disclosing non-public registration data to the requestor</w:t>
            </w:r>
          </w:p>
        </w:tc>
        <w:tc>
          <w:tcPr>
            <w:tcW w:w="6120" w:type="dxa"/>
          </w:tcPr>
          <w:p w14:paraId="42BA8475" w14:textId="2346730C" w:rsidR="007C6CCE" w:rsidRPr="00845AE8" w:rsidRDefault="003B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Art. </w:t>
            </w:r>
            <w:r w:rsidR="00DE31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6(1)(a), </w:t>
            </w:r>
            <w:r w:rsidR="005E6237" w:rsidRPr="00E821AE">
              <w:rPr>
                <w:rFonts w:asciiTheme="majorHAnsi" w:eastAsia="Calibri" w:hAnsiTheme="majorHAnsi" w:cstheme="majorHAnsi"/>
                <w:sz w:val="22"/>
                <w:szCs w:val="22"/>
              </w:rPr>
              <w:t>Art.</w:t>
            </w:r>
            <w:r w:rsidR="0006558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5E6237" w:rsidRPr="00E821AE">
              <w:rPr>
                <w:rFonts w:asciiTheme="majorHAnsi" w:eastAsia="Calibri" w:hAnsiTheme="majorHAnsi" w:cstheme="majorHAnsi"/>
                <w:sz w:val="22"/>
                <w:szCs w:val="22"/>
              </w:rPr>
              <w:t>6(1</w:t>
            </w:r>
            <w:r w:rsidR="005E6237" w:rsidRPr="00B026AC">
              <w:rPr>
                <w:rFonts w:asciiTheme="majorHAnsi" w:eastAsia="Calibri" w:hAnsiTheme="majorHAnsi" w:cstheme="majorHAnsi"/>
                <w:sz w:val="22"/>
                <w:szCs w:val="22"/>
              </w:rPr>
              <w:t>)(</w:t>
            </w:r>
            <w:r w:rsidR="00B026AC">
              <w:rPr>
                <w:rFonts w:asciiTheme="majorHAnsi" w:eastAsia="Calibri" w:hAnsiTheme="majorHAnsi" w:cstheme="majorHAnsi"/>
                <w:sz w:val="22"/>
                <w:szCs w:val="22"/>
              </w:rPr>
              <w:t>b)</w:t>
            </w:r>
            <w:r w:rsidR="00E821A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06558B">
              <w:rPr>
                <w:rFonts w:asciiTheme="majorHAnsi" w:eastAsia="Calibri" w:hAnsiTheme="majorHAnsi" w:cstheme="majorHAnsi"/>
                <w:sz w:val="22"/>
                <w:szCs w:val="22"/>
              </w:rPr>
              <w:t>Art. 6(1)(c)</w:t>
            </w:r>
            <w:r w:rsidR="00BB493F">
              <w:rPr>
                <w:rFonts w:asciiTheme="majorHAnsi" w:eastAsia="Calibri" w:hAnsiTheme="majorHAnsi" w:cstheme="majorHAnsi"/>
                <w:sz w:val="22"/>
                <w:szCs w:val="22"/>
              </w:rPr>
              <w:t>,</w:t>
            </w:r>
            <w:r w:rsidR="0006558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7C6CCE" w:rsidRPr="00845AE8" w14:paraId="67058537" w14:textId="77777777" w:rsidTr="007C6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0A5BEDBE" w14:textId="77777777" w:rsidR="007C6CCE" w:rsidRPr="00845AE8" w:rsidRDefault="00225D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b w:val="0"/>
                <w:color w:val="000000"/>
                <w:sz w:val="22"/>
                <w:szCs w:val="22"/>
              </w:rPr>
              <w:t>Supporting info to determine lawful basis for the requestor</w:t>
            </w:r>
          </w:p>
        </w:tc>
        <w:tc>
          <w:tcPr>
            <w:tcW w:w="6120" w:type="dxa"/>
          </w:tcPr>
          <w:p w14:paraId="64820BD2" w14:textId="3ECB9015" w:rsidR="00DE31CD" w:rsidRDefault="00DE31CD" w:rsidP="005E6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Art. 6(1)(a): </w:t>
            </w:r>
            <w:r w:rsidR="007D7278">
              <w:rPr>
                <w:rFonts w:asciiTheme="majorHAnsi" w:eastAsia="Calibri" w:hAnsiTheme="majorHAnsi" w:cstheme="majorHAnsi"/>
                <w:sz w:val="22"/>
                <w:szCs w:val="22"/>
              </w:rPr>
              <w:t>registrant provides informed consent at time of registration and/or renewal</w:t>
            </w:r>
            <w:r w:rsidR="00BB493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. This may need to be more detailed than 2013 RAA requires. </w:t>
            </w:r>
            <w:r w:rsidR="00F81230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Legal advice would be helpful here. </w:t>
            </w:r>
          </w:p>
          <w:p w14:paraId="338AC2E1" w14:textId="77777777" w:rsidR="00DE31CD" w:rsidRDefault="00DE31CD" w:rsidP="005E6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810C7E4" w14:textId="73B977DB" w:rsidR="00826CC2" w:rsidRDefault="00E821AE" w:rsidP="005E6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 xml:space="preserve">Art. 6(1)(b): </w:t>
            </w:r>
            <w:r w:rsidR="00826CC2">
              <w:rPr>
                <w:rFonts w:asciiTheme="majorHAnsi" w:eastAsia="Calibri" w:hAnsiTheme="majorHAnsi" w:cstheme="majorHAnsi"/>
                <w:sz w:val="22"/>
                <w:szCs w:val="22"/>
              </w:rPr>
              <w:t>contract flows through to registrants</w:t>
            </w:r>
            <w:r w:rsidR="002D0CA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in the registration agreement</w:t>
            </w:r>
            <w:r w:rsidR="00826CC2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  <w:r w:rsidR="00CE34A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08D92220" w14:textId="0CFED4AF" w:rsidR="0006558B" w:rsidRDefault="0006558B" w:rsidP="005E6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3BC39E4" w14:textId="7BA919BA" w:rsidR="00D14F41" w:rsidRPr="008C24A9" w:rsidRDefault="0006558B" w:rsidP="005E6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Art. 6(1)(c): </w:t>
            </w:r>
            <w:r w:rsidR="004E27C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registries and registrars </w:t>
            </w:r>
            <w:r w:rsidR="00250D66">
              <w:rPr>
                <w:rFonts w:asciiTheme="majorHAnsi" w:eastAsia="Calibri" w:hAnsiTheme="majorHAnsi" w:cstheme="majorHAnsi"/>
                <w:sz w:val="22"/>
                <w:szCs w:val="22"/>
              </w:rPr>
              <w:t>could be</w:t>
            </w:r>
            <w:r w:rsidR="004E27C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4E27C3" w:rsidRPr="004E27C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under a legal obligation to </w:t>
            </w:r>
            <w:r w:rsidR="00CD26B0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disclose personal data to </w:t>
            </w:r>
            <w:r w:rsidR="004E27C3" w:rsidRPr="004E27C3">
              <w:rPr>
                <w:rFonts w:asciiTheme="majorHAnsi" w:eastAsia="Calibri" w:hAnsiTheme="majorHAnsi" w:cstheme="majorHAnsi"/>
                <w:sz w:val="22"/>
                <w:szCs w:val="22"/>
              </w:rPr>
              <w:t>comply with UDRP/URS decisions</w:t>
            </w:r>
            <w:r w:rsidR="00FA4F19">
              <w:rPr>
                <w:rFonts w:asciiTheme="majorHAnsi" w:eastAsia="Calibri" w:hAnsiTheme="majorHAnsi" w:cstheme="majorHAnsi"/>
                <w:sz w:val="22"/>
                <w:szCs w:val="22"/>
              </w:rPr>
              <w:t>,</w:t>
            </w:r>
            <w:r w:rsidR="004E27C3" w:rsidRPr="004E27C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and </w:t>
            </w:r>
            <w:r w:rsidR="00E5115C">
              <w:rPr>
                <w:rFonts w:asciiTheme="majorHAnsi" w:eastAsia="Calibri" w:hAnsiTheme="majorHAnsi" w:cstheme="majorHAnsi"/>
                <w:sz w:val="22"/>
                <w:szCs w:val="22"/>
              </w:rPr>
              <w:t>depending on jurisdiction,</w:t>
            </w:r>
            <w:r w:rsidR="002221E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registries </w:t>
            </w:r>
            <w:r w:rsidR="000F4306">
              <w:rPr>
                <w:rFonts w:asciiTheme="majorHAnsi" w:eastAsia="Calibri" w:hAnsiTheme="majorHAnsi" w:cstheme="majorHAnsi"/>
                <w:sz w:val="22"/>
                <w:szCs w:val="22"/>
              </w:rPr>
              <w:t>or registrars could be under a legal obligation to disclose personal data to comply with another legal obligation</w:t>
            </w:r>
            <w:r w:rsidR="00F37B0C">
              <w:rPr>
                <w:rFonts w:asciiTheme="majorHAnsi" w:eastAsia="Calibri" w:hAnsiTheme="majorHAnsi" w:cstheme="majorHAnsi"/>
                <w:sz w:val="22"/>
                <w:szCs w:val="22"/>
              </w:rPr>
              <w:t>. Such other legal obligation could arise, for example, in a lawsuit appealing the outcome of a UDRP/URS</w:t>
            </w:r>
            <w:r w:rsidR="005D2AA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decision. </w:t>
            </w:r>
          </w:p>
        </w:tc>
      </w:tr>
      <w:tr w:rsidR="007C6CCE" w:rsidRPr="00845AE8" w14:paraId="5F6E5E75" w14:textId="77777777" w:rsidTr="007C6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59D48152" w14:textId="77777777" w:rsidR="007C6CCE" w:rsidRPr="00845AE8" w:rsidRDefault="00225D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b w:val="0"/>
                <w:color w:val="000000"/>
                <w:sz w:val="22"/>
                <w:szCs w:val="22"/>
              </w:rPr>
              <w:lastRenderedPageBreak/>
              <w:t>Safeguards (requirements) Applicable to the Requestor</w:t>
            </w:r>
          </w:p>
        </w:tc>
        <w:tc>
          <w:tcPr>
            <w:tcW w:w="6120" w:type="dxa"/>
          </w:tcPr>
          <w:p w14:paraId="487207AC" w14:textId="77777777" w:rsidR="005E6237" w:rsidRPr="00845AE8" w:rsidRDefault="005E6237" w:rsidP="005E6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The requestor: </w:t>
            </w:r>
          </w:p>
          <w:p w14:paraId="599D2601" w14:textId="77777777" w:rsidR="005E6237" w:rsidRPr="00845AE8" w:rsidRDefault="005E6237" w:rsidP="005E623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bookmarkStart w:id="0" w:name="_heading=h.m8jqc3fm77y2" w:colFirst="0" w:colLast="0"/>
            <w:bookmarkEnd w:id="0"/>
            <w:r w:rsidRPr="00845A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Must process data in compliance with data protection laws such as GDPR, including secure transmission;</w:t>
            </w:r>
          </w:p>
          <w:p w14:paraId="7CC7CA01" w14:textId="0E3668FC" w:rsidR="005E6237" w:rsidRPr="00A152AB" w:rsidRDefault="005E6237" w:rsidP="005E623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845A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Must provide representations about use of requested data </w:t>
            </w:r>
            <w:r w:rsidRPr="006F69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which </w:t>
            </w:r>
            <w:r w:rsidRPr="00A152A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will be subject to auditing</w:t>
            </w:r>
            <w:r w:rsidR="00FC499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 Such representations include agreement to:</w:t>
            </w:r>
          </w:p>
          <w:p w14:paraId="6F6381D6" w14:textId="48EFFECE" w:rsidR="002D4DAA" w:rsidRDefault="00E91D27" w:rsidP="005B50C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</w:t>
            </w:r>
            <w:r w:rsidR="005E6237" w:rsidRPr="00CF40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se the data </w:t>
            </w:r>
            <w:r w:rsidR="0089361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only </w:t>
            </w:r>
            <w:r w:rsidR="005E6237" w:rsidRPr="00CF40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for the legitimate and lawful purpose described above;</w:t>
            </w:r>
          </w:p>
          <w:p w14:paraId="3DBD10DC" w14:textId="4472DA65" w:rsidR="00E91D27" w:rsidRDefault="00E91D27" w:rsidP="00E91D2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</w:t>
            </w:r>
            <w:r w:rsidR="005E6237" w:rsidRPr="002D4DA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nly issue disclosure requests with respect to the trademark(s) where ownership is evidenced</w:t>
            </w:r>
            <w:r w:rsidR="00194B31" w:rsidRPr="002D4DA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and/or with respect to the domain(s) at issue in the dispute</w:t>
            </w:r>
            <w:r w:rsidR="005E6237" w:rsidRPr="002D4DA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;</w:t>
            </w:r>
          </w:p>
          <w:p w14:paraId="67B86BA3" w14:textId="77777777" w:rsidR="00E91D27" w:rsidRDefault="005E6237" w:rsidP="00E91D2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E91D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the terms of service, in which the lawful use of data </w:t>
            </w:r>
            <w:r w:rsidR="003D4C12" w:rsidRPr="00E91D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is </w:t>
            </w:r>
            <w:r w:rsidRPr="00E91D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described;</w:t>
            </w:r>
          </w:p>
          <w:p w14:paraId="11FE2F6F" w14:textId="0217D0BC" w:rsidR="007C6CCE" w:rsidRPr="008C24A9" w:rsidRDefault="0081069D" w:rsidP="005E623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</w:t>
            </w:r>
            <w:r w:rsidR="005E6237" w:rsidRPr="00E91D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 subject to de-</w:t>
            </w:r>
            <w:r w:rsidR="005E6237" w:rsidRPr="00845A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accreditation if they are found to abuse use of data;</w:t>
            </w:r>
          </w:p>
        </w:tc>
      </w:tr>
      <w:tr w:rsidR="007C6CCE" w:rsidRPr="00845AE8" w14:paraId="3B18C540" w14:textId="77777777" w:rsidTr="007C6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282AA3FE" w14:textId="77777777" w:rsidR="007C6CCE" w:rsidRPr="00845AE8" w:rsidRDefault="00225D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b w:val="0"/>
                <w:color w:val="000000"/>
                <w:sz w:val="22"/>
                <w:szCs w:val="22"/>
              </w:rPr>
              <w:t xml:space="preserve">Safeguards (requirements) applicable to the Entity </w:t>
            </w:r>
            <w:r w:rsidRPr="00845AE8">
              <w:rPr>
                <w:rFonts w:asciiTheme="majorHAnsi" w:eastAsia="Calibri" w:hAnsiTheme="majorHAnsi" w:cstheme="majorHAnsi"/>
                <w:b w:val="0"/>
                <w:color w:val="000000"/>
                <w:sz w:val="22"/>
                <w:szCs w:val="22"/>
              </w:rPr>
              <w:lastRenderedPageBreak/>
              <w:t>Disclosing the Nonpublic Registration Data</w:t>
            </w:r>
          </w:p>
        </w:tc>
        <w:tc>
          <w:tcPr>
            <w:tcW w:w="6120" w:type="dxa"/>
          </w:tcPr>
          <w:p w14:paraId="06E219EC" w14:textId="77777777" w:rsidR="003D4C12" w:rsidRPr="00845AE8" w:rsidRDefault="003D4C12" w:rsidP="003D4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lastRenderedPageBreak/>
              <w:t>The entity disclosing the data</w:t>
            </w:r>
            <w:r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</w:p>
          <w:p w14:paraId="2B0933A0" w14:textId="77777777" w:rsidR="003D4C12" w:rsidRPr="00845AE8" w:rsidRDefault="003D4C12" w:rsidP="00727EEB">
            <w:pPr>
              <w:numPr>
                <w:ilvl w:val="0"/>
                <w:numId w:val="6"/>
              </w:numPr>
              <w:ind w:left="335" w:hanging="3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kope54e9vz9o" w:colFirst="0" w:colLast="0"/>
            <w:bookmarkEnd w:id="1"/>
            <w:r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Must only supply the data requested by the requestor;</w:t>
            </w:r>
            <w:bookmarkStart w:id="2" w:name="_heading=h.ug4ivrfpji59" w:colFirst="0" w:colLast="0"/>
            <w:bookmarkStart w:id="3" w:name="_heading=h.7e7c4gg4831f" w:colFirst="0" w:colLast="0"/>
            <w:bookmarkEnd w:id="2"/>
            <w:bookmarkEnd w:id="3"/>
          </w:p>
          <w:p w14:paraId="1B0E4024" w14:textId="251B9DE7" w:rsidR="007C6CCE" w:rsidRPr="00845AE8" w:rsidRDefault="0081069D" w:rsidP="00727EEB">
            <w:pPr>
              <w:numPr>
                <w:ilvl w:val="0"/>
                <w:numId w:val="6"/>
              </w:numPr>
              <w:ind w:left="335" w:hanging="3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May</w:t>
            </w:r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take appropriate action, such as revoking or limiting access to the data if </w:t>
            </w:r>
            <w:proofErr w:type="gramStart"/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necessary</w:t>
            </w:r>
            <w:proofErr w:type="gramEnd"/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to protect against abuse or </w:t>
            </w:r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misuse of the system, such as unjustified, high-volume automated queries;</w:t>
            </w:r>
          </w:p>
          <w:p w14:paraId="0CBF75B4" w14:textId="77777777" w:rsidR="003D4C12" w:rsidRPr="00845AE8" w:rsidRDefault="00727EEB" w:rsidP="00727EEB">
            <w:pPr>
              <w:numPr>
                <w:ilvl w:val="0"/>
                <w:numId w:val="6"/>
              </w:numPr>
              <w:ind w:left="335" w:hanging="3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Must </w:t>
            </w:r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provide, on request</w:t>
            </w:r>
            <w:r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from the registrant</w:t>
            </w:r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, confirmation of the processing of personal data relating to them and the communication in an intelligible form of the data processed;</w:t>
            </w:r>
          </w:p>
          <w:p w14:paraId="28133EF4" w14:textId="77777777" w:rsidR="003D4C12" w:rsidRPr="00845AE8" w:rsidRDefault="00727EEB" w:rsidP="00727EEB">
            <w:pPr>
              <w:numPr>
                <w:ilvl w:val="0"/>
                <w:numId w:val="6"/>
              </w:numPr>
              <w:ind w:left="335" w:hanging="3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Must</w:t>
            </w:r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, on request</w:t>
            </w:r>
            <w:r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from the registrant</w:t>
            </w:r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rectify or erase</w:t>
            </w:r>
            <w:proofErr w:type="gramStart"/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, as the case may be, inaccurate</w:t>
            </w:r>
            <w:proofErr w:type="gramEnd"/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data or data that is being, or has been, processed contrary to the provisions of this Protocol;</w:t>
            </w:r>
          </w:p>
          <w:p w14:paraId="0562D1D6" w14:textId="77777777" w:rsidR="003D4C12" w:rsidRPr="00845AE8" w:rsidRDefault="00727EEB" w:rsidP="00727EEB">
            <w:pPr>
              <w:numPr>
                <w:ilvl w:val="0"/>
                <w:numId w:val="6"/>
              </w:numPr>
              <w:ind w:left="335" w:hanging="3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Must have a system in place to review and timely act on complaints from registrants that</w:t>
            </w:r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assert</w:t>
            </w:r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their data protection rights have been violated</w:t>
            </w:r>
            <w:r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</w:tr>
      <w:tr w:rsidR="007C6CCE" w:rsidRPr="00845AE8" w14:paraId="661C46DF" w14:textId="77777777" w:rsidTr="007C6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4053FF2B" w14:textId="77777777" w:rsidR="007C6CCE" w:rsidRPr="00845AE8" w:rsidRDefault="00225D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b w:val="0"/>
                <w:color w:val="000000"/>
                <w:sz w:val="22"/>
                <w:szCs w:val="22"/>
              </w:rPr>
              <w:lastRenderedPageBreak/>
              <w:t>Safeguards (requirements) applicable to the data subject</w:t>
            </w:r>
          </w:p>
        </w:tc>
        <w:tc>
          <w:tcPr>
            <w:tcW w:w="6120" w:type="dxa"/>
          </w:tcPr>
          <w:p w14:paraId="7170E311" w14:textId="77777777" w:rsidR="003D4C12" w:rsidRPr="00845AE8" w:rsidRDefault="003D4C12" w:rsidP="003D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The Registered Name Holder</w:t>
            </w:r>
            <w:r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(data subject): </w:t>
            </w:r>
          </w:p>
          <w:p w14:paraId="12C40A33" w14:textId="77777777" w:rsidR="003D4C12" w:rsidRPr="00845AE8" w:rsidRDefault="003D4C12" w:rsidP="003D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5C8064C" w14:textId="77777777" w:rsidR="003D4C12" w:rsidRPr="00845AE8" w:rsidRDefault="00727EEB" w:rsidP="00727EEB">
            <w:pPr>
              <w:numPr>
                <w:ilvl w:val="0"/>
                <w:numId w:val="7"/>
              </w:numPr>
              <w:ind w:left="335" w:hanging="3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May </w:t>
            </w:r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obtain, on request, confirmation of the processing of personal data relating to them and the communication in an intelligible form of the data processed;</w:t>
            </w:r>
          </w:p>
          <w:p w14:paraId="65A634D3" w14:textId="7FF59497" w:rsidR="003D4C12" w:rsidRPr="00845AE8" w:rsidRDefault="00727EEB" w:rsidP="00727EEB">
            <w:pPr>
              <w:numPr>
                <w:ilvl w:val="0"/>
                <w:numId w:val="7"/>
              </w:numPr>
              <w:ind w:left="335" w:hanging="3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May </w:t>
            </w:r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obtain, on request, rectification or erasure</w:t>
            </w:r>
            <w:proofErr w:type="gramStart"/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, as the case may be, of</w:t>
            </w:r>
            <w:proofErr w:type="gramEnd"/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inaccurate data or data that is being, or has been, processed contrary to the provisions of this </w:t>
            </w:r>
            <w:r w:rsidR="00000ABE">
              <w:rPr>
                <w:rFonts w:asciiTheme="majorHAnsi" w:eastAsia="Calibri" w:hAnsiTheme="majorHAnsi" w:cstheme="majorHAnsi"/>
                <w:sz w:val="22"/>
                <w:szCs w:val="22"/>
              </w:rPr>
              <w:t>p</w:t>
            </w:r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rotocol;</w:t>
            </w:r>
          </w:p>
          <w:p w14:paraId="34456ABB" w14:textId="77777777" w:rsidR="007C6CCE" w:rsidRPr="00845AE8" w:rsidRDefault="00727EEB" w:rsidP="00727EEB">
            <w:pPr>
              <w:numPr>
                <w:ilvl w:val="0"/>
                <w:numId w:val="7"/>
              </w:numPr>
              <w:ind w:left="335" w:hanging="3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May </w:t>
            </w:r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lodge a complaint with the </w:t>
            </w:r>
            <w:r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entity disclosing the data</w:t>
            </w:r>
            <w:r w:rsidR="003D4C12"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, when they consider that their data protection rights have been violated</w:t>
            </w:r>
            <w:r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</w:tr>
      <w:tr w:rsidR="007C6CCE" w:rsidRPr="00845AE8" w14:paraId="4908C5E0" w14:textId="77777777" w:rsidTr="007C6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65D7C907" w14:textId="77777777" w:rsidR="007C6CCE" w:rsidRPr="00845AE8" w:rsidRDefault="00225D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b w:val="0"/>
                <w:color w:val="000000"/>
                <w:sz w:val="22"/>
                <w:szCs w:val="22"/>
              </w:rPr>
              <w:t>Safeguards (requirements) applicable to the access/disclosure system</w:t>
            </w:r>
          </w:p>
        </w:tc>
        <w:tc>
          <w:tcPr>
            <w:tcW w:w="6120" w:type="dxa"/>
          </w:tcPr>
          <w:p w14:paraId="3F4B5BAD" w14:textId="77777777" w:rsidR="007C6CCE" w:rsidRPr="00845AE8" w:rsidRDefault="007836A4" w:rsidP="00A17B5E">
            <w:pPr>
              <w:pStyle w:val="NormalWeb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845A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The entity disclosing the data m</w:t>
            </w:r>
            <w:r w:rsidR="00727EEB" w:rsidRPr="00845A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ust receive a specific request for every individual domain name (no bulk access</w:t>
            </w:r>
            <w:r w:rsidR="00727EEB" w:rsidRPr="00845AE8">
              <w:rPr>
                <w:rStyle w:val="FootnoteReference"/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footnoteReference w:id="3"/>
            </w:r>
            <w:r w:rsidR="00727EEB" w:rsidRPr="00845A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);</w:t>
            </w:r>
          </w:p>
        </w:tc>
      </w:tr>
      <w:tr w:rsidR="007C6CCE" w:rsidRPr="00845AE8" w14:paraId="2B65FD93" w14:textId="77777777" w:rsidTr="007C6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709C0DE5" w14:textId="77777777" w:rsidR="007C6CCE" w:rsidRPr="00845AE8" w:rsidRDefault="00225D7E" w:rsidP="007836A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b w:val="0"/>
                <w:color w:val="000000"/>
                <w:sz w:val="22"/>
                <w:szCs w:val="22"/>
              </w:rPr>
              <w:t>Accreditation of user group(s) required (Y/N) – if Y, define policy principles</w:t>
            </w:r>
          </w:p>
        </w:tc>
        <w:tc>
          <w:tcPr>
            <w:tcW w:w="6120" w:type="dxa"/>
          </w:tcPr>
          <w:p w14:paraId="2C878457" w14:textId="77777777" w:rsidR="009D13C9" w:rsidRDefault="009D13C9" w:rsidP="007836A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If helpful?</w:t>
            </w:r>
          </w:p>
          <w:p w14:paraId="49572A7E" w14:textId="77777777" w:rsidR="009D13C9" w:rsidRDefault="009D13C9" w:rsidP="007836A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7243DF0" w14:textId="77777777" w:rsidR="003A54DF" w:rsidRDefault="009D13C9" w:rsidP="007836A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To be productive</w:t>
            </w:r>
            <w:r w:rsidR="003A54D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in this form, proposed criteria follow. </w:t>
            </w:r>
          </w:p>
          <w:p w14:paraId="6E23C3FC" w14:textId="77777777" w:rsidR="003A54DF" w:rsidRDefault="003A54DF" w:rsidP="007836A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65F8D044" w14:textId="246913A7" w:rsidR="007836A4" w:rsidRPr="00845AE8" w:rsidRDefault="002A6325" w:rsidP="007836A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</w:t>
            </w:r>
            <w:r w:rsidR="007836A4" w:rsidRPr="00845A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ndividuals or entities seeking accreditation as a member of this user group must provide:</w:t>
            </w:r>
          </w:p>
          <w:p w14:paraId="155AB778" w14:textId="77777777" w:rsidR="007836A4" w:rsidRPr="00845AE8" w:rsidRDefault="007836A4" w:rsidP="00783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43D263F" w14:textId="77777777" w:rsidR="007836A4" w:rsidRPr="00845AE8" w:rsidRDefault="007836A4" w:rsidP="007836A4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45A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Evidence of ownership of intellectual property rights (e.g. trademark registration or demonstrated use); or, </w:t>
            </w:r>
          </w:p>
          <w:p w14:paraId="48F12CCE" w14:textId="77777777" w:rsidR="007C6CCE" w:rsidRPr="00845AE8" w:rsidRDefault="007836A4" w:rsidP="007836A4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45A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 letter of authorization from a trademark rights holder to act on their behalf (in case of attorneys, agents</w:t>
            </w:r>
            <w:r w:rsidRPr="00845AE8">
              <w:rPr>
                <w:rStyle w:val="FootnoteReference"/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footnoteReference w:id="4"/>
            </w:r>
            <w:r w:rsidRPr="00845A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); or,</w:t>
            </w:r>
          </w:p>
          <w:p w14:paraId="6750C695" w14:textId="77777777" w:rsidR="007836A4" w:rsidRPr="00845AE8" w:rsidRDefault="007836A4" w:rsidP="007836A4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45A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Evidence that a domain dispute complaint has been filed against the individual or entity seeking accreditation; or,</w:t>
            </w:r>
          </w:p>
          <w:p w14:paraId="20DF239D" w14:textId="136261F4" w:rsidR="007836A4" w:rsidRPr="00845AE8" w:rsidRDefault="007836A4" w:rsidP="007836A4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45A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Evidence that the individual or entity seeking accreditation is, or is affiliated with, </w:t>
            </w:r>
            <w:r w:rsidR="006B010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 dispute resolution </w:t>
            </w:r>
            <w:r w:rsidRPr="00845AE8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service provider.</w:t>
            </w:r>
          </w:p>
        </w:tc>
      </w:tr>
      <w:tr w:rsidR="007C6CCE" w:rsidRPr="00845AE8" w14:paraId="19D0BBCF" w14:textId="77777777" w:rsidTr="007C6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02BDCB72" w14:textId="77777777" w:rsidR="007C6CCE" w:rsidRPr="00845AE8" w:rsidRDefault="00225D7E" w:rsidP="007836A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b w:val="0"/>
                <w:color w:val="000000"/>
                <w:sz w:val="22"/>
                <w:szCs w:val="22"/>
              </w:rPr>
              <w:t>Authentication – policy principles</w:t>
            </w:r>
          </w:p>
        </w:tc>
        <w:tc>
          <w:tcPr>
            <w:tcW w:w="6120" w:type="dxa"/>
          </w:tcPr>
          <w:p w14:paraId="46327C20" w14:textId="51E940A3" w:rsidR="007C6CCE" w:rsidRPr="00845AE8" w:rsidRDefault="009D1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If helpful? </w:t>
            </w:r>
          </w:p>
        </w:tc>
      </w:tr>
      <w:tr w:rsidR="007C6CCE" w:rsidRPr="00845AE8" w14:paraId="408EE37D" w14:textId="77777777" w:rsidTr="007C6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77C1B90E" w14:textId="77777777" w:rsidR="007C6CCE" w:rsidRPr="00845AE8" w:rsidRDefault="00225D7E" w:rsidP="007836A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b w:val="0"/>
                <w:color w:val="000000"/>
                <w:sz w:val="22"/>
                <w:szCs w:val="22"/>
              </w:rPr>
              <w:t>What information is required to be provided for a request under this lawful basis?</w:t>
            </w:r>
          </w:p>
        </w:tc>
        <w:tc>
          <w:tcPr>
            <w:tcW w:w="6120" w:type="dxa"/>
          </w:tcPr>
          <w:p w14:paraId="5DE54B84" w14:textId="28975DD5" w:rsidR="00B55120" w:rsidRPr="00845AE8" w:rsidRDefault="00D56284" w:rsidP="00B5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Required </w:t>
            </w:r>
            <w:r w:rsidR="00DD7CD0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detail in the </w:t>
            </w: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request</w:t>
            </w:r>
            <w:r w:rsidR="00DD7CD0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,</w:t>
            </w:r>
            <w:r w:rsidR="00BF60C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46458C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and </w:t>
            </w:r>
            <w:r w:rsidR="00BF60C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assent to the </w:t>
            </w: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data processing agreement</w:t>
            </w:r>
            <w:r w:rsidR="00BF60C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as listed above. </w:t>
            </w:r>
          </w:p>
        </w:tc>
      </w:tr>
      <w:tr w:rsidR="007C6CCE" w:rsidRPr="00845AE8" w14:paraId="7AA27EDC" w14:textId="77777777" w:rsidTr="007C6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44BA18C3" w14:textId="2B650ABA" w:rsidR="007C6CCE" w:rsidRPr="00BF60C4" w:rsidRDefault="00225D7E" w:rsidP="00BF60C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F60C4">
              <w:rPr>
                <w:rFonts w:asciiTheme="majorHAnsi" w:eastAsia="Calibri" w:hAnsiTheme="majorHAnsi" w:cstheme="majorHAnsi"/>
                <w:b w:val="0"/>
                <w:color w:val="000000"/>
                <w:sz w:val="22"/>
                <w:szCs w:val="22"/>
              </w:rPr>
              <w:t>Exected</w:t>
            </w:r>
            <w:proofErr w:type="spellEnd"/>
            <w:r w:rsidRPr="00BF60C4">
              <w:rPr>
                <w:rFonts w:asciiTheme="majorHAnsi" w:eastAsia="Calibri" w:hAnsiTheme="majorHAnsi" w:cstheme="majorHAnsi"/>
                <w:b w:val="0"/>
                <w:color w:val="000000"/>
                <w:sz w:val="22"/>
                <w:szCs w:val="22"/>
              </w:rPr>
              <w:t xml:space="preserve"> timing of substantive response</w:t>
            </w:r>
          </w:p>
        </w:tc>
        <w:tc>
          <w:tcPr>
            <w:tcW w:w="6120" w:type="dxa"/>
          </w:tcPr>
          <w:p w14:paraId="3254CF53" w14:textId="77777777" w:rsidR="007C6CCE" w:rsidRPr="00BF60C4" w:rsidRDefault="005B0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BF60C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Immediate, or as close to immediate as technically and commercially feasible</w:t>
            </w:r>
          </w:p>
        </w:tc>
      </w:tr>
      <w:tr w:rsidR="007C6CCE" w:rsidRPr="00845AE8" w14:paraId="6CD0D180" w14:textId="77777777" w:rsidTr="007C6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46E9CAB6" w14:textId="2E150061" w:rsidR="007C6CCE" w:rsidRPr="001A79EE" w:rsidRDefault="00225D7E" w:rsidP="001A79EE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bookmarkStart w:id="4" w:name="_gjdgxs" w:colFirst="0" w:colLast="0"/>
            <w:bookmarkEnd w:id="4"/>
            <w:r w:rsidRPr="001A79EE">
              <w:rPr>
                <w:rFonts w:asciiTheme="majorHAnsi" w:eastAsia="Calibri" w:hAnsiTheme="majorHAnsi" w:cstheme="majorHAnsi"/>
                <w:b w:val="0"/>
                <w:bCs/>
                <w:color w:val="000000"/>
                <w:sz w:val="22"/>
                <w:szCs w:val="22"/>
              </w:rPr>
              <w:t>Is automation of substantive response possible / desirable?</w:t>
            </w:r>
          </w:p>
        </w:tc>
        <w:tc>
          <w:tcPr>
            <w:tcW w:w="6120" w:type="dxa"/>
          </w:tcPr>
          <w:p w14:paraId="12128DA6" w14:textId="0ACD5C73" w:rsidR="007C6CCE" w:rsidRPr="00845AE8" w:rsidRDefault="00B5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>Automation should be encouraged and implemented wherever technically</w:t>
            </w:r>
            <w:r w:rsidR="00BF60C4">
              <w:rPr>
                <w:rFonts w:asciiTheme="majorHAnsi" w:eastAsia="Calibri" w:hAnsiTheme="majorHAnsi" w:cstheme="majorHAnsi"/>
                <w:sz w:val="22"/>
                <w:szCs w:val="22"/>
              </w:rPr>
              <w:t>, legally,</w:t>
            </w:r>
            <w:r w:rsidRPr="00845AE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and commercially feasible</w:t>
            </w:r>
          </w:p>
        </w:tc>
      </w:tr>
      <w:tr w:rsidR="007C6CCE" w:rsidRPr="00845AE8" w14:paraId="073DA8E1" w14:textId="77777777" w:rsidTr="007C6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460B601E" w14:textId="77777777" w:rsidR="007C6CCE" w:rsidRPr="001A79EE" w:rsidRDefault="00225D7E" w:rsidP="00845AE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1A79EE">
              <w:rPr>
                <w:rFonts w:asciiTheme="majorHAnsi" w:eastAsia="Calibri" w:hAnsiTheme="majorHAnsi" w:cstheme="majorHAnsi"/>
                <w:b w:val="0"/>
                <w:bCs/>
                <w:color w:val="000000"/>
                <w:sz w:val="22"/>
                <w:szCs w:val="22"/>
              </w:rPr>
              <w:t>How long can the requestor retain the data disclosed and what are the requirements for destruction following the end of the retention period?</w:t>
            </w:r>
          </w:p>
        </w:tc>
        <w:tc>
          <w:tcPr>
            <w:tcW w:w="6120" w:type="dxa"/>
          </w:tcPr>
          <w:p w14:paraId="3D733178" w14:textId="77777777" w:rsidR="007C6CCE" w:rsidRPr="00845AE8" w:rsidRDefault="005B0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The requestor must comply with their obligations under the GDPR and all other relevant privacy regulations.</w:t>
            </w:r>
          </w:p>
        </w:tc>
      </w:tr>
      <w:tr w:rsidR="007C6CCE" w:rsidRPr="00845AE8" w14:paraId="52681135" w14:textId="77777777" w:rsidTr="007C6C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638482DF" w14:textId="77777777" w:rsidR="007C6CCE" w:rsidRPr="00845AE8" w:rsidRDefault="00225D7E" w:rsidP="00845AE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845AE8">
              <w:rPr>
                <w:rFonts w:asciiTheme="majorHAnsi" w:eastAsia="Calibri" w:hAnsiTheme="majorHAnsi" w:cstheme="majorHAnsi"/>
                <w:b w:val="0"/>
                <w:color w:val="000000"/>
                <w:sz w:val="22"/>
                <w:szCs w:val="22"/>
              </w:rPr>
              <w:t>Other?</w:t>
            </w:r>
          </w:p>
        </w:tc>
        <w:tc>
          <w:tcPr>
            <w:tcW w:w="6120" w:type="dxa"/>
          </w:tcPr>
          <w:p w14:paraId="6D9D9B9F" w14:textId="77777777" w:rsidR="007C6CCE" w:rsidRPr="00845AE8" w:rsidRDefault="007C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7D68EE33" w14:textId="77777777" w:rsidR="007C6CCE" w:rsidRPr="00845AE8" w:rsidRDefault="007C6CCE">
      <w:pPr>
        <w:rPr>
          <w:rFonts w:asciiTheme="majorHAnsi" w:hAnsiTheme="majorHAnsi" w:cstheme="majorHAnsi"/>
          <w:sz w:val="22"/>
          <w:szCs w:val="22"/>
        </w:rPr>
      </w:pPr>
    </w:p>
    <w:p w14:paraId="0202764E" w14:textId="77777777" w:rsidR="008A1E1D" w:rsidRPr="00845AE8" w:rsidRDefault="008A1E1D">
      <w:pPr>
        <w:rPr>
          <w:rFonts w:asciiTheme="majorHAnsi" w:hAnsiTheme="majorHAnsi" w:cstheme="majorHAnsi"/>
          <w:sz w:val="22"/>
          <w:szCs w:val="22"/>
        </w:rPr>
      </w:pPr>
      <w:bookmarkStart w:id="5" w:name="_GoBack"/>
      <w:bookmarkEnd w:id="5"/>
    </w:p>
    <w:sectPr w:rsidR="008A1E1D" w:rsidRPr="00845AE8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8D07F" w14:textId="77777777" w:rsidR="00A06E9A" w:rsidRDefault="00A06E9A">
      <w:r>
        <w:separator/>
      </w:r>
    </w:p>
  </w:endnote>
  <w:endnote w:type="continuationSeparator" w:id="0">
    <w:p w14:paraId="7F6308D3" w14:textId="77777777" w:rsidR="00A06E9A" w:rsidRDefault="00A0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4180A" w14:textId="77777777" w:rsidR="00A06E9A" w:rsidRDefault="00A06E9A">
      <w:r>
        <w:separator/>
      </w:r>
    </w:p>
  </w:footnote>
  <w:footnote w:type="continuationSeparator" w:id="0">
    <w:p w14:paraId="06E0FE7E" w14:textId="77777777" w:rsidR="00A06E9A" w:rsidRDefault="00A06E9A">
      <w:r>
        <w:continuationSeparator/>
      </w:r>
    </w:p>
  </w:footnote>
  <w:footnote w:id="1">
    <w:p w14:paraId="0E7FBCA4" w14:textId="77777777" w:rsidR="005E6237" w:rsidRPr="005B0C0F" w:rsidRDefault="005E6237" w:rsidP="005E6237">
      <w:pPr>
        <w:pStyle w:val="FootnoteText"/>
        <w:rPr>
          <w:rFonts w:asciiTheme="majorHAnsi" w:hAnsiTheme="majorHAnsi" w:cstheme="majorHAnsi"/>
          <w:sz w:val="18"/>
          <w:szCs w:val="18"/>
          <w:lang w:val="en-US"/>
        </w:rPr>
      </w:pPr>
      <w:r w:rsidRPr="005B0C0F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5B0C0F">
        <w:rPr>
          <w:rFonts w:asciiTheme="majorHAnsi" w:hAnsiTheme="majorHAnsi" w:cstheme="majorHAnsi"/>
          <w:sz w:val="18"/>
          <w:szCs w:val="18"/>
        </w:rPr>
        <w:t xml:space="preserve"> </w:t>
      </w:r>
      <w:r w:rsidRPr="005B0C0F">
        <w:rPr>
          <w:rFonts w:asciiTheme="majorHAnsi" w:hAnsiTheme="majorHAnsi" w:cstheme="majorHAnsi"/>
          <w:sz w:val="18"/>
          <w:szCs w:val="18"/>
          <w:lang w:val="en-US"/>
        </w:rPr>
        <w:t>Including brand protection service providers</w:t>
      </w:r>
    </w:p>
  </w:footnote>
  <w:footnote w:id="2">
    <w:p w14:paraId="5574A317" w14:textId="77777777" w:rsidR="007C6CCE" w:rsidRPr="005B0C0F" w:rsidRDefault="00225D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18"/>
          <w:szCs w:val="18"/>
        </w:rPr>
      </w:pPr>
      <w:r w:rsidRPr="005B0C0F">
        <w:rPr>
          <w:rFonts w:asciiTheme="majorHAnsi" w:hAnsiTheme="majorHAnsi" w:cstheme="majorHAnsi"/>
          <w:sz w:val="18"/>
          <w:szCs w:val="18"/>
          <w:vertAlign w:val="superscript"/>
        </w:rPr>
        <w:footnoteRef/>
      </w:r>
      <w:r w:rsidRPr="005B0C0F"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 For each request, the requestor will need to confirm which data elements are necessary. </w:t>
      </w:r>
    </w:p>
  </w:footnote>
  <w:footnote w:id="3">
    <w:p w14:paraId="711D12D9" w14:textId="77777777" w:rsidR="00727EEB" w:rsidRPr="005B0C0F" w:rsidRDefault="00727EEB" w:rsidP="00727EEB">
      <w:pPr>
        <w:pStyle w:val="FootnoteText"/>
        <w:rPr>
          <w:rFonts w:asciiTheme="majorHAnsi" w:hAnsiTheme="majorHAnsi" w:cstheme="majorHAnsi"/>
          <w:sz w:val="18"/>
          <w:szCs w:val="18"/>
          <w:lang w:val="en-US"/>
        </w:rPr>
      </w:pPr>
      <w:r w:rsidRPr="005B0C0F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5B0C0F">
        <w:rPr>
          <w:rFonts w:asciiTheme="majorHAnsi" w:hAnsiTheme="majorHAnsi" w:cstheme="majorHAnsi"/>
          <w:sz w:val="18"/>
          <w:szCs w:val="18"/>
        </w:rPr>
        <w:t xml:space="preserve"> </w:t>
      </w:r>
      <w:r w:rsidRPr="005B0C0F">
        <w:rPr>
          <w:rFonts w:asciiTheme="majorHAnsi" w:hAnsiTheme="majorHAnsi" w:cstheme="majorHAnsi"/>
          <w:sz w:val="18"/>
          <w:szCs w:val="18"/>
          <w:lang w:val="en-US"/>
        </w:rPr>
        <w:t xml:space="preserve">As defined in section 3.3.6 of the Registrar Accreditation Agreement. </w:t>
      </w:r>
    </w:p>
  </w:footnote>
  <w:footnote w:id="4">
    <w:p w14:paraId="0368F616" w14:textId="77777777" w:rsidR="007836A4" w:rsidRPr="005B0C0F" w:rsidRDefault="007836A4" w:rsidP="007836A4">
      <w:pPr>
        <w:pStyle w:val="FootnoteText"/>
        <w:rPr>
          <w:rFonts w:asciiTheme="majorHAnsi" w:hAnsiTheme="majorHAnsi" w:cstheme="majorHAnsi"/>
          <w:sz w:val="18"/>
          <w:szCs w:val="18"/>
          <w:lang w:val="en-US"/>
        </w:rPr>
      </w:pPr>
      <w:r w:rsidRPr="005B0C0F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5B0C0F">
        <w:rPr>
          <w:rFonts w:asciiTheme="majorHAnsi" w:hAnsiTheme="majorHAnsi" w:cstheme="majorHAnsi"/>
          <w:sz w:val="18"/>
          <w:szCs w:val="18"/>
        </w:rPr>
        <w:t xml:space="preserve"> </w:t>
      </w:r>
      <w:r w:rsidRPr="005B0C0F">
        <w:rPr>
          <w:rFonts w:asciiTheme="majorHAnsi" w:hAnsiTheme="majorHAnsi" w:cstheme="majorHAnsi"/>
          <w:sz w:val="18"/>
          <w:szCs w:val="18"/>
          <w:lang w:val="en-US"/>
        </w:rPr>
        <w:t>Including brand protection service providers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523FF"/>
    <w:multiLevelType w:val="hybridMultilevel"/>
    <w:tmpl w:val="5016C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60FCD"/>
    <w:multiLevelType w:val="multilevel"/>
    <w:tmpl w:val="148C9992"/>
    <w:lvl w:ilvl="0">
      <w:start w:val="10"/>
      <w:numFmt w:val="lowerLetter"/>
      <w:lvlText w:val="%1)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E573283"/>
    <w:multiLevelType w:val="multilevel"/>
    <w:tmpl w:val="3DF69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12243F0"/>
    <w:multiLevelType w:val="multilevel"/>
    <w:tmpl w:val="107E2F24"/>
    <w:lvl w:ilvl="0">
      <w:start w:val="1"/>
      <w:numFmt w:val="lowerLetter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728A9"/>
    <w:multiLevelType w:val="multilevel"/>
    <w:tmpl w:val="B32C4BC6"/>
    <w:lvl w:ilvl="0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994E16"/>
    <w:multiLevelType w:val="hybridMultilevel"/>
    <w:tmpl w:val="E968E6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6D0BE8"/>
    <w:multiLevelType w:val="multilevel"/>
    <w:tmpl w:val="4F5C090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F182C6B"/>
    <w:multiLevelType w:val="multilevel"/>
    <w:tmpl w:val="0B564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2E263B"/>
    <w:multiLevelType w:val="multilevel"/>
    <w:tmpl w:val="BFF4A8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A90163"/>
    <w:multiLevelType w:val="multilevel"/>
    <w:tmpl w:val="BAC6D472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91608E1"/>
    <w:multiLevelType w:val="multilevel"/>
    <w:tmpl w:val="91AA8C28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E345B86"/>
    <w:multiLevelType w:val="multilevel"/>
    <w:tmpl w:val="148C9992"/>
    <w:lvl w:ilvl="0">
      <w:start w:val="10"/>
      <w:numFmt w:val="lowerLetter"/>
      <w:lvlText w:val="%1)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CE"/>
    <w:rsid w:val="00000ABE"/>
    <w:rsid w:val="0006558B"/>
    <w:rsid w:val="00095A59"/>
    <w:rsid w:val="000A7EC5"/>
    <w:rsid w:val="000B1FC3"/>
    <w:rsid w:val="000F4306"/>
    <w:rsid w:val="00125184"/>
    <w:rsid w:val="00167B14"/>
    <w:rsid w:val="00194B31"/>
    <w:rsid w:val="001A79EE"/>
    <w:rsid w:val="001E7296"/>
    <w:rsid w:val="00212C06"/>
    <w:rsid w:val="00215EBB"/>
    <w:rsid w:val="002221E4"/>
    <w:rsid w:val="00225D7E"/>
    <w:rsid w:val="00231B45"/>
    <w:rsid w:val="00250D66"/>
    <w:rsid w:val="002A6325"/>
    <w:rsid w:val="002D0CA2"/>
    <w:rsid w:val="002D4DAA"/>
    <w:rsid w:val="00301212"/>
    <w:rsid w:val="00304611"/>
    <w:rsid w:val="00330ACF"/>
    <w:rsid w:val="003538C3"/>
    <w:rsid w:val="003738A1"/>
    <w:rsid w:val="00376238"/>
    <w:rsid w:val="003A4663"/>
    <w:rsid w:val="003A54DF"/>
    <w:rsid w:val="003B66FC"/>
    <w:rsid w:val="003D4C12"/>
    <w:rsid w:val="00417BA0"/>
    <w:rsid w:val="0042490B"/>
    <w:rsid w:val="0046458C"/>
    <w:rsid w:val="004E27C3"/>
    <w:rsid w:val="005215BE"/>
    <w:rsid w:val="005A7668"/>
    <w:rsid w:val="005B0C0F"/>
    <w:rsid w:val="005B50CF"/>
    <w:rsid w:val="005D2AA5"/>
    <w:rsid w:val="005E6237"/>
    <w:rsid w:val="00627FD5"/>
    <w:rsid w:val="00654DA3"/>
    <w:rsid w:val="006B0102"/>
    <w:rsid w:val="006F3A46"/>
    <w:rsid w:val="006F6933"/>
    <w:rsid w:val="00705398"/>
    <w:rsid w:val="00727EEB"/>
    <w:rsid w:val="00770BBB"/>
    <w:rsid w:val="007836A4"/>
    <w:rsid w:val="007C6CCE"/>
    <w:rsid w:val="007D7278"/>
    <w:rsid w:val="007E5110"/>
    <w:rsid w:val="0081069D"/>
    <w:rsid w:val="00826CC2"/>
    <w:rsid w:val="00845AE8"/>
    <w:rsid w:val="0089361B"/>
    <w:rsid w:val="008A1E1D"/>
    <w:rsid w:val="008C24A9"/>
    <w:rsid w:val="008C7FFE"/>
    <w:rsid w:val="008E7D00"/>
    <w:rsid w:val="009242ED"/>
    <w:rsid w:val="009359C8"/>
    <w:rsid w:val="00996182"/>
    <w:rsid w:val="009D13C9"/>
    <w:rsid w:val="00A06E9A"/>
    <w:rsid w:val="00A152AB"/>
    <w:rsid w:val="00A17B5E"/>
    <w:rsid w:val="00A41597"/>
    <w:rsid w:val="00B026AC"/>
    <w:rsid w:val="00B15A11"/>
    <w:rsid w:val="00B17A86"/>
    <w:rsid w:val="00B46FEC"/>
    <w:rsid w:val="00B55120"/>
    <w:rsid w:val="00B56941"/>
    <w:rsid w:val="00BB493F"/>
    <w:rsid w:val="00BF60C4"/>
    <w:rsid w:val="00BF7243"/>
    <w:rsid w:val="00C36954"/>
    <w:rsid w:val="00C406B6"/>
    <w:rsid w:val="00C53FB6"/>
    <w:rsid w:val="00C64F51"/>
    <w:rsid w:val="00CD26B0"/>
    <w:rsid w:val="00CE34A2"/>
    <w:rsid w:val="00CF40F1"/>
    <w:rsid w:val="00CF7FBC"/>
    <w:rsid w:val="00D10AC5"/>
    <w:rsid w:val="00D14F41"/>
    <w:rsid w:val="00D317A5"/>
    <w:rsid w:val="00D322C6"/>
    <w:rsid w:val="00D56284"/>
    <w:rsid w:val="00DD7CD0"/>
    <w:rsid w:val="00DE31CD"/>
    <w:rsid w:val="00E5115C"/>
    <w:rsid w:val="00E54C88"/>
    <w:rsid w:val="00E54DF0"/>
    <w:rsid w:val="00E821AE"/>
    <w:rsid w:val="00E90608"/>
    <w:rsid w:val="00E91D27"/>
    <w:rsid w:val="00EA4AFE"/>
    <w:rsid w:val="00EC08DB"/>
    <w:rsid w:val="00EE2FA4"/>
    <w:rsid w:val="00F05A2D"/>
    <w:rsid w:val="00F35A3B"/>
    <w:rsid w:val="00F37B0C"/>
    <w:rsid w:val="00F60BA8"/>
    <w:rsid w:val="00F772D7"/>
    <w:rsid w:val="00F81230"/>
    <w:rsid w:val="00FA4F19"/>
    <w:rsid w:val="00FC40AC"/>
    <w:rsid w:val="00F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FCEA5CA"/>
  <w15:docId w15:val="{7868A606-2A2D-1E40-9002-3AF28692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BAC"/>
      </w:tcPr>
    </w:tblStylePr>
    <w:tblStylePr w:type="band1Horz">
      <w:tblPr/>
      <w:tcPr>
        <w:shd w:val="clear" w:color="auto" w:fill="F7CBAC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BAC"/>
      </w:tcPr>
    </w:tblStylePr>
    <w:tblStylePr w:type="band1Horz">
      <w:tblPr/>
      <w:tcPr>
        <w:shd w:val="clear" w:color="auto" w:fill="F7CBAC"/>
      </w:tcPr>
    </w:tblStylePr>
  </w:style>
  <w:style w:type="paragraph" w:styleId="ListParagraph">
    <w:name w:val="List Paragraph"/>
    <w:basedOn w:val="Normal"/>
    <w:uiPriority w:val="34"/>
    <w:qFormat/>
    <w:rsid w:val="008A1E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1E1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237"/>
    <w:pPr>
      <w:jc w:val="both"/>
    </w:pPr>
    <w:rPr>
      <w:rFonts w:asciiTheme="minorHAnsi" w:eastAsiaTheme="minorHAnsi" w:hAnsiTheme="minorHAnsi" w:cstheme="minorBidi"/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237"/>
    <w:rPr>
      <w:rFonts w:asciiTheme="minorHAnsi" w:eastAsiaTheme="minorHAnsi" w:hAnsiTheme="minorHAnsi" w:cstheme="minorBidi"/>
      <w:sz w:val="20"/>
      <w:szCs w:val="20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5E623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E6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237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5E623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2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3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E6237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C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9315754744E4194532599BCC98D27" ma:contentTypeVersion="12" ma:contentTypeDescription="Create a new document." ma:contentTypeScope="" ma:versionID="eba96ed65be427ac8f4f17f82573f5d8">
  <xsd:schema xmlns:xsd="http://www.w3.org/2001/XMLSchema" xmlns:xs="http://www.w3.org/2001/XMLSchema" xmlns:p="http://schemas.microsoft.com/office/2006/metadata/properties" xmlns:ns3="fb7e8c3f-770a-423f-8807-3421bb9afa81" xmlns:ns4="41fc81ef-84c2-43f0-be72-ed265d3edbe9" targetNamespace="http://schemas.microsoft.com/office/2006/metadata/properties" ma:root="true" ma:fieldsID="a241b05f5ff0fbd0096e8e23b5100a47" ns3:_="" ns4:_="">
    <xsd:import namespace="fb7e8c3f-770a-423f-8807-3421bb9afa81"/>
    <xsd:import namespace="41fc81ef-84c2-43f0-be72-ed265d3edb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8c3f-770a-423f-8807-3421bb9a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c81ef-84c2-43f0-be72-ed265d3ed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3A84-DB61-4BE4-A7B9-CBA04BAB17DC}">
  <ds:schemaRefs>
    <ds:schemaRef ds:uri="http://schemas.openxmlformats.org/package/2006/metadata/core-properties"/>
    <ds:schemaRef ds:uri="http://www.w3.org/XML/1998/namespace"/>
    <ds:schemaRef ds:uri="http://purl.org/dc/terms/"/>
    <ds:schemaRef ds:uri="41fc81ef-84c2-43f0-be72-ed265d3edbe9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b7e8c3f-770a-423f-8807-3421bb9afa8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5E75CFB-A074-4494-8B3D-9D4EE9E06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2A80E-85DA-4CAD-B433-6C2BBEF05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e8c3f-770a-423f-8807-3421bb9afa81"/>
    <ds:schemaRef ds:uri="41fc81ef-84c2-43f0-be72-ed265d3ed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5661AF-C039-4629-99D0-33EACC12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Brian</dc:creator>
  <cp:lastModifiedBy>King, Brian</cp:lastModifiedBy>
  <cp:revision>19</cp:revision>
  <dcterms:created xsi:type="dcterms:W3CDTF">2019-08-14T21:23:00Z</dcterms:created>
  <dcterms:modified xsi:type="dcterms:W3CDTF">2019-08-15T15:15:00Z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StartEditDateTime">
    <vt:lpwstr>8/9/2019 11:15:51 AM</vt:lpwstr>
  </property>
  <property fmtid="{D5CDD505-2E9C-101B-9397-08002B2CF9AE}" pid="3" name="ContentTypeId">
    <vt:lpwstr>0x0101008659315754744E4194532599BCC98D27</vt:lpwstr>
  </property>
</Properties>
</file>