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577A1" w14:textId="20E803D1" w:rsidR="00F920FC" w:rsidRPr="00904FE9" w:rsidRDefault="00904FE9" w:rsidP="00904FE9">
      <w:pPr>
        <w:pBdr>
          <w:bottom w:val="single" w:sz="4" w:space="1" w:color="auto"/>
        </w:pBdr>
        <w:rPr>
          <w:rFonts w:asciiTheme="minorHAnsi" w:hAnsiTheme="minorHAnsi" w:cstheme="minorHAnsi"/>
          <w:b/>
          <w:bCs/>
          <w:sz w:val="22"/>
          <w:szCs w:val="22"/>
        </w:rPr>
      </w:pPr>
      <w:bookmarkStart w:id="0" w:name="_GoBack"/>
      <w:bookmarkEnd w:id="0"/>
      <w:r w:rsidRPr="00904FE9">
        <w:rPr>
          <w:rFonts w:asciiTheme="minorHAnsi" w:hAnsiTheme="minorHAnsi" w:cstheme="minorHAnsi"/>
          <w:b/>
          <w:bCs/>
          <w:sz w:val="22"/>
          <w:szCs w:val="22"/>
        </w:rPr>
        <w:t xml:space="preserve">INPUT RECEIVED ON DRAFT INITIAL REPORT – STATUS </w:t>
      </w:r>
      <w:r w:rsidR="009140DA">
        <w:rPr>
          <w:rFonts w:asciiTheme="minorHAnsi" w:hAnsiTheme="minorHAnsi" w:cstheme="minorHAnsi"/>
          <w:b/>
          <w:bCs/>
          <w:sz w:val="22"/>
          <w:szCs w:val="22"/>
        </w:rPr>
        <w:t>13</w:t>
      </w:r>
      <w:r w:rsidRPr="00904FE9">
        <w:rPr>
          <w:rFonts w:asciiTheme="minorHAnsi" w:hAnsiTheme="minorHAnsi" w:cstheme="minorHAnsi"/>
          <w:b/>
          <w:bCs/>
          <w:sz w:val="22"/>
          <w:szCs w:val="22"/>
        </w:rPr>
        <w:t xml:space="preserve"> JANUARY 2020 </w:t>
      </w:r>
    </w:p>
    <w:p w14:paraId="673CB856" w14:textId="1F78B1EE" w:rsidR="00F920FC" w:rsidRPr="005B2D14" w:rsidRDefault="00F920F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6"/>
        <w:gridCol w:w="1955"/>
        <w:gridCol w:w="3385"/>
        <w:gridCol w:w="3657"/>
        <w:gridCol w:w="3017"/>
      </w:tblGrid>
      <w:tr w:rsidR="00C60B34" w:rsidRPr="005B2D14" w14:paraId="43803BDD" w14:textId="77777777" w:rsidTr="009953C2">
        <w:tc>
          <w:tcPr>
            <w:tcW w:w="641" w:type="dxa"/>
            <w:tcBorders>
              <w:bottom w:val="single" w:sz="4" w:space="0" w:color="auto"/>
            </w:tcBorders>
            <w:shd w:val="clear" w:color="auto" w:fill="A5A5A5" w:themeFill="accent3"/>
          </w:tcPr>
          <w:p w14:paraId="1B666FAA" w14:textId="253B0AD8" w:rsidR="00F920FC" w:rsidRPr="005B2D14" w:rsidRDefault="00F920FC">
            <w:pPr>
              <w:rPr>
                <w:rFonts w:asciiTheme="minorHAnsi" w:hAnsiTheme="minorHAnsi" w:cstheme="minorHAnsi"/>
                <w:b/>
                <w:bCs/>
                <w:sz w:val="22"/>
                <w:szCs w:val="22"/>
              </w:rPr>
            </w:pPr>
            <w:r w:rsidRPr="005B2D14">
              <w:rPr>
                <w:rFonts w:asciiTheme="minorHAnsi" w:hAnsiTheme="minorHAnsi" w:cstheme="minorHAnsi"/>
                <w:b/>
                <w:bCs/>
                <w:sz w:val="22"/>
                <w:szCs w:val="22"/>
              </w:rPr>
              <w:t>Item</w:t>
            </w:r>
          </w:p>
        </w:tc>
        <w:tc>
          <w:tcPr>
            <w:tcW w:w="1726" w:type="dxa"/>
            <w:tcBorders>
              <w:bottom w:val="single" w:sz="4" w:space="0" w:color="auto"/>
            </w:tcBorders>
            <w:shd w:val="clear" w:color="auto" w:fill="A5A5A5" w:themeFill="accent3"/>
          </w:tcPr>
          <w:p w14:paraId="43D67C6A" w14:textId="34263C07" w:rsidR="00F920FC" w:rsidRPr="005B2D14" w:rsidRDefault="00F920FC">
            <w:pPr>
              <w:rPr>
                <w:rFonts w:asciiTheme="minorHAnsi" w:hAnsiTheme="minorHAnsi" w:cstheme="minorHAnsi"/>
                <w:b/>
                <w:bCs/>
                <w:sz w:val="22"/>
                <w:szCs w:val="22"/>
              </w:rPr>
            </w:pPr>
            <w:r w:rsidRPr="005B2D14">
              <w:rPr>
                <w:rFonts w:asciiTheme="minorHAnsi" w:hAnsiTheme="minorHAnsi" w:cstheme="minorHAnsi"/>
                <w:b/>
                <w:bCs/>
                <w:sz w:val="22"/>
                <w:szCs w:val="22"/>
              </w:rPr>
              <w:t>Page number (Google Doc)</w:t>
            </w:r>
          </w:p>
        </w:tc>
        <w:tc>
          <w:tcPr>
            <w:tcW w:w="3504" w:type="dxa"/>
            <w:tcBorders>
              <w:bottom w:val="single" w:sz="4" w:space="0" w:color="auto"/>
            </w:tcBorders>
            <w:shd w:val="clear" w:color="auto" w:fill="A5A5A5" w:themeFill="accent3"/>
          </w:tcPr>
          <w:p w14:paraId="166FB611" w14:textId="4B8CBEFF" w:rsidR="00F920FC" w:rsidRPr="005B2D14" w:rsidRDefault="00F920FC">
            <w:pPr>
              <w:rPr>
                <w:rFonts w:asciiTheme="minorHAnsi" w:hAnsiTheme="minorHAnsi" w:cstheme="minorHAnsi"/>
                <w:b/>
                <w:bCs/>
                <w:sz w:val="22"/>
                <w:szCs w:val="22"/>
              </w:rPr>
            </w:pPr>
            <w:r w:rsidRPr="005B2D14">
              <w:rPr>
                <w:rFonts w:asciiTheme="minorHAnsi" w:hAnsiTheme="minorHAnsi" w:cstheme="minorHAnsi"/>
                <w:b/>
                <w:bCs/>
                <w:sz w:val="22"/>
                <w:szCs w:val="22"/>
              </w:rPr>
              <w:t>Original Text</w:t>
            </w:r>
          </w:p>
        </w:tc>
        <w:tc>
          <w:tcPr>
            <w:tcW w:w="3657" w:type="dxa"/>
            <w:tcBorders>
              <w:bottom w:val="single" w:sz="4" w:space="0" w:color="auto"/>
            </w:tcBorders>
            <w:shd w:val="clear" w:color="auto" w:fill="A5A5A5" w:themeFill="accent3"/>
          </w:tcPr>
          <w:p w14:paraId="56A86F8F" w14:textId="7DE3352F" w:rsidR="00F920FC" w:rsidRPr="005B2D14" w:rsidRDefault="00F920FC">
            <w:pPr>
              <w:rPr>
                <w:rFonts w:asciiTheme="minorHAnsi" w:hAnsiTheme="minorHAnsi" w:cstheme="minorHAnsi"/>
                <w:b/>
                <w:bCs/>
                <w:sz w:val="22"/>
                <w:szCs w:val="22"/>
              </w:rPr>
            </w:pPr>
            <w:r w:rsidRPr="005B2D14">
              <w:rPr>
                <w:rFonts w:asciiTheme="minorHAnsi" w:hAnsiTheme="minorHAnsi" w:cstheme="minorHAnsi"/>
                <w:b/>
                <w:bCs/>
                <w:sz w:val="22"/>
                <w:szCs w:val="22"/>
              </w:rPr>
              <w:t>Comment / Proposed Change (By)</w:t>
            </w:r>
          </w:p>
        </w:tc>
        <w:tc>
          <w:tcPr>
            <w:tcW w:w="3422" w:type="dxa"/>
            <w:tcBorders>
              <w:bottom w:val="single" w:sz="4" w:space="0" w:color="auto"/>
            </w:tcBorders>
            <w:shd w:val="clear" w:color="auto" w:fill="A5A5A5" w:themeFill="accent3"/>
          </w:tcPr>
          <w:p w14:paraId="16CCA26F" w14:textId="7E921FB3" w:rsidR="00F920FC" w:rsidRPr="005B2D14" w:rsidRDefault="00F920FC">
            <w:pPr>
              <w:rPr>
                <w:rFonts w:asciiTheme="minorHAnsi" w:hAnsiTheme="minorHAnsi" w:cstheme="minorHAnsi"/>
                <w:b/>
                <w:bCs/>
                <w:sz w:val="22"/>
                <w:szCs w:val="22"/>
              </w:rPr>
            </w:pPr>
            <w:r w:rsidRPr="005B2D14">
              <w:rPr>
                <w:rFonts w:asciiTheme="minorHAnsi" w:hAnsiTheme="minorHAnsi" w:cstheme="minorHAnsi"/>
                <w:b/>
                <w:bCs/>
                <w:sz w:val="22"/>
                <w:szCs w:val="22"/>
              </w:rPr>
              <w:t>How to address</w:t>
            </w:r>
          </w:p>
        </w:tc>
      </w:tr>
      <w:tr w:rsidR="00205315" w:rsidRPr="005B2D14" w14:paraId="4EEB7E6A" w14:textId="77777777" w:rsidTr="009953C2">
        <w:tc>
          <w:tcPr>
            <w:tcW w:w="641" w:type="dxa"/>
            <w:shd w:val="clear" w:color="auto" w:fill="auto"/>
          </w:tcPr>
          <w:p w14:paraId="7F0C0ACF" w14:textId="77777777" w:rsidR="009953C2" w:rsidRPr="006930F5"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0C07AE99" w14:textId="5F19891E" w:rsidR="009953C2" w:rsidRPr="005B2D14" w:rsidRDefault="009953C2" w:rsidP="009953C2">
            <w:pPr>
              <w:rPr>
                <w:rFonts w:asciiTheme="minorHAnsi" w:hAnsiTheme="minorHAnsi" w:cstheme="minorHAnsi"/>
                <w:sz w:val="22"/>
                <w:szCs w:val="22"/>
              </w:rPr>
            </w:pPr>
            <w:r>
              <w:rPr>
                <w:rFonts w:asciiTheme="minorHAnsi" w:hAnsiTheme="minorHAnsi" w:cstheme="minorHAnsi"/>
                <w:sz w:val="22"/>
                <w:szCs w:val="22"/>
              </w:rPr>
              <w:t>N/A – Overarching Comment</w:t>
            </w:r>
          </w:p>
        </w:tc>
        <w:tc>
          <w:tcPr>
            <w:tcW w:w="3504" w:type="dxa"/>
            <w:shd w:val="clear" w:color="auto" w:fill="auto"/>
          </w:tcPr>
          <w:p w14:paraId="1DC1DFC0" w14:textId="0786491D" w:rsidR="009953C2" w:rsidRPr="009953C2" w:rsidRDefault="009953C2" w:rsidP="009953C2">
            <w:pPr>
              <w:rPr>
                <w:rFonts w:asciiTheme="minorHAnsi" w:hAnsiTheme="minorHAnsi" w:cstheme="minorHAnsi"/>
                <w:sz w:val="22"/>
                <w:szCs w:val="22"/>
              </w:rPr>
            </w:pPr>
          </w:p>
        </w:tc>
        <w:tc>
          <w:tcPr>
            <w:tcW w:w="3657" w:type="dxa"/>
            <w:shd w:val="clear" w:color="auto" w:fill="auto"/>
          </w:tcPr>
          <w:p w14:paraId="31B19D1F" w14:textId="58A64F19" w:rsidR="009953C2" w:rsidRPr="005B2D14" w:rsidRDefault="009953C2" w:rsidP="009953C2">
            <w:pPr>
              <w:rPr>
                <w:rFonts w:asciiTheme="minorHAnsi" w:hAnsiTheme="minorHAnsi" w:cstheme="minorHAnsi"/>
                <w:sz w:val="22"/>
                <w:szCs w:val="22"/>
              </w:rPr>
            </w:pPr>
            <w:r w:rsidRPr="009953C2">
              <w:rPr>
                <w:rFonts w:asciiTheme="minorHAnsi" w:hAnsiTheme="minorHAnsi" w:cstheme="minorHAnsi"/>
                <w:sz w:val="22"/>
                <w:szCs w:val="22"/>
              </w:rPr>
              <w:t>The EPDP team spent substantial time on the development of use cases. Whilst these were primarily worked on to serve as the factual basis for policy recommendations, we do think they should be made part of the report to inform both the commun</w:t>
            </w:r>
            <w:r>
              <w:rPr>
                <w:rFonts w:asciiTheme="minorHAnsi" w:hAnsiTheme="minorHAnsi" w:cstheme="minorHAnsi"/>
                <w:sz w:val="22"/>
                <w:szCs w:val="22"/>
              </w:rPr>
              <w:t>i</w:t>
            </w:r>
            <w:r w:rsidRPr="009953C2">
              <w:rPr>
                <w:rFonts w:asciiTheme="minorHAnsi" w:hAnsiTheme="minorHAnsi" w:cstheme="minorHAnsi"/>
                <w:sz w:val="22"/>
                <w:szCs w:val="22"/>
              </w:rPr>
              <w:t>ty as well as those tasked with the implementation of</w:t>
            </w:r>
            <w:r>
              <w:rPr>
                <w:rFonts w:asciiTheme="minorHAnsi" w:hAnsiTheme="minorHAnsi" w:cstheme="minorHAnsi"/>
                <w:sz w:val="22"/>
                <w:szCs w:val="22"/>
              </w:rPr>
              <w:t xml:space="preserve"> </w:t>
            </w:r>
            <w:r w:rsidRPr="009953C2">
              <w:rPr>
                <w:rFonts w:asciiTheme="minorHAnsi" w:hAnsiTheme="minorHAnsi" w:cstheme="minorHAnsi"/>
                <w:sz w:val="22"/>
                <w:szCs w:val="22"/>
              </w:rPr>
              <w:t>the recommendations as they will then be in a position to test implementation for legal feasibility concerning our use cases (Are the use cases actually scenarios in which disclosure is legally possible?) and completeness (Have we considered all use cases that the EPDP team had in mind when drafting the policy recommendations?). If the EPDP team supports such reference to the use cases, we would be happy to help draft language for the report.</w:t>
            </w:r>
            <w:r>
              <w:rPr>
                <w:rFonts w:asciiTheme="minorHAnsi" w:hAnsiTheme="minorHAnsi" w:cstheme="minorHAnsi"/>
                <w:sz w:val="22"/>
                <w:szCs w:val="22"/>
              </w:rPr>
              <w:t xml:space="preserve"> (ISPCP)</w:t>
            </w:r>
          </w:p>
        </w:tc>
        <w:tc>
          <w:tcPr>
            <w:tcW w:w="3422" w:type="dxa"/>
            <w:shd w:val="clear" w:color="auto" w:fill="auto"/>
          </w:tcPr>
          <w:p w14:paraId="05E575F9" w14:textId="77777777" w:rsidR="009953C2" w:rsidRPr="005B2D14" w:rsidRDefault="009953C2" w:rsidP="009953C2">
            <w:pPr>
              <w:rPr>
                <w:rFonts w:asciiTheme="minorHAnsi" w:hAnsiTheme="minorHAnsi" w:cstheme="minorHAnsi"/>
                <w:sz w:val="22"/>
                <w:szCs w:val="22"/>
              </w:rPr>
            </w:pPr>
          </w:p>
        </w:tc>
      </w:tr>
      <w:tr w:rsidR="00C60B34" w:rsidRPr="005B2D14" w14:paraId="21A011EB" w14:textId="77777777" w:rsidTr="009953C2">
        <w:tc>
          <w:tcPr>
            <w:tcW w:w="641" w:type="dxa"/>
            <w:tcBorders>
              <w:bottom w:val="single" w:sz="4" w:space="0" w:color="auto"/>
            </w:tcBorders>
            <w:shd w:val="clear" w:color="auto" w:fill="auto"/>
          </w:tcPr>
          <w:p w14:paraId="05B2D17F" w14:textId="77777777" w:rsidR="009953C2" w:rsidRPr="006930F5" w:rsidRDefault="009953C2" w:rsidP="009953C2">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shd w:val="clear" w:color="auto" w:fill="auto"/>
          </w:tcPr>
          <w:p w14:paraId="381BAE4F" w14:textId="1F5071D5" w:rsidR="009953C2" w:rsidRDefault="004C1640" w:rsidP="009953C2">
            <w:pPr>
              <w:rPr>
                <w:rFonts w:asciiTheme="minorHAnsi" w:hAnsiTheme="minorHAnsi" w:cstheme="minorHAnsi"/>
                <w:sz w:val="22"/>
                <w:szCs w:val="22"/>
              </w:rPr>
            </w:pPr>
            <w:r>
              <w:rPr>
                <w:rFonts w:asciiTheme="minorHAnsi" w:hAnsiTheme="minorHAnsi" w:cstheme="minorHAnsi"/>
                <w:sz w:val="22"/>
                <w:szCs w:val="22"/>
              </w:rPr>
              <w:t>N/A – Overarching Comment</w:t>
            </w:r>
          </w:p>
        </w:tc>
        <w:tc>
          <w:tcPr>
            <w:tcW w:w="3504" w:type="dxa"/>
            <w:tcBorders>
              <w:bottom w:val="single" w:sz="4" w:space="0" w:color="auto"/>
            </w:tcBorders>
            <w:shd w:val="clear" w:color="auto" w:fill="auto"/>
          </w:tcPr>
          <w:p w14:paraId="18FAD6E2" w14:textId="77777777" w:rsidR="009953C2" w:rsidRPr="009953C2" w:rsidRDefault="009953C2" w:rsidP="009953C2">
            <w:pPr>
              <w:rPr>
                <w:rFonts w:asciiTheme="minorHAnsi" w:hAnsiTheme="minorHAnsi" w:cstheme="minorHAnsi"/>
                <w:sz w:val="22"/>
                <w:szCs w:val="22"/>
              </w:rPr>
            </w:pPr>
          </w:p>
        </w:tc>
        <w:tc>
          <w:tcPr>
            <w:tcW w:w="3657" w:type="dxa"/>
            <w:tcBorders>
              <w:bottom w:val="single" w:sz="4" w:space="0" w:color="auto"/>
            </w:tcBorders>
            <w:shd w:val="clear" w:color="auto" w:fill="auto"/>
          </w:tcPr>
          <w:p w14:paraId="6A1248D5" w14:textId="39DFAC7A" w:rsidR="009953C2" w:rsidRPr="009953C2" w:rsidRDefault="009953C2" w:rsidP="009953C2">
            <w:pPr>
              <w:rPr>
                <w:rFonts w:asciiTheme="minorHAnsi" w:hAnsiTheme="minorHAnsi" w:cstheme="minorHAnsi"/>
                <w:sz w:val="22"/>
                <w:szCs w:val="22"/>
              </w:rPr>
            </w:pPr>
            <w:r w:rsidRPr="009953C2">
              <w:rPr>
                <w:rFonts w:asciiTheme="minorHAnsi" w:hAnsiTheme="minorHAnsi" w:cstheme="minorHAnsi"/>
                <w:sz w:val="22"/>
                <w:szCs w:val="22"/>
              </w:rPr>
              <w:t xml:space="preserve">The SSAD shall be a globally applicable system </w:t>
            </w:r>
            <w:proofErr w:type="spellStart"/>
            <w:r w:rsidRPr="009953C2">
              <w:rPr>
                <w:rFonts w:asciiTheme="minorHAnsi" w:hAnsiTheme="minorHAnsi" w:cstheme="minorHAnsi"/>
                <w:sz w:val="22"/>
                <w:szCs w:val="22"/>
              </w:rPr>
              <w:t>goverened</w:t>
            </w:r>
            <w:proofErr w:type="spellEnd"/>
            <w:r w:rsidRPr="009953C2">
              <w:rPr>
                <w:rFonts w:asciiTheme="minorHAnsi" w:hAnsiTheme="minorHAnsi" w:cstheme="minorHAnsi"/>
                <w:sz w:val="22"/>
                <w:szCs w:val="22"/>
              </w:rPr>
              <w:t xml:space="preserve"> by ICANN based on community policy development. The SSAD might appear to be limiting and cumbersome to parts of the community and other stakeholders. We do think the report would benefit from a clarification describing that </w:t>
            </w:r>
            <w:r w:rsidRPr="009953C2">
              <w:rPr>
                <w:rFonts w:asciiTheme="minorHAnsi" w:hAnsiTheme="minorHAnsi" w:cstheme="minorHAnsi"/>
                <w:sz w:val="22"/>
                <w:szCs w:val="22"/>
              </w:rPr>
              <w:lastRenderedPageBreak/>
              <w:t>going through the SSAD is one of two avenues for requestors to ask for non-public registration data. Requestors can use the SSAD, but they can also approach contracted parties directly. This applies particularly to public authorities who wish to obtain information from domestic contracted parties. Again, we would be happy to offer language for this if the EPDP team is supportive of such approach.</w:t>
            </w:r>
            <w:r>
              <w:rPr>
                <w:rFonts w:asciiTheme="minorHAnsi" w:hAnsiTheme="minorHAnsi" w:cstheme="minorHAnsi"/>
                <w:sz w:val="22"/>
                <w:szCs w:val="22"/>
              </w:rPr>
              <w:t xml:space="preserve"> (ISPCP)</w:t>
            </w:r>
          </w:p>
        </w:tc>
        <w:tc>
          <w:tcPr>
            <w:tcW w:w="3422" w:type="dxa"/>
            <w:tcBorders>
              <w:bottom w:val="single" w:sz="4" w:space="0" w:color="auto"/>
            </w:tcBorders>
            <w:shd w:val="clear" w:color="auto" w:fill="auto"/>
          </w:tcPr>
          <w:p w14:paraId="5A80FE13" w14:textId="77777777" w:rsidR="009953C2" w:rsidRPr="005B2D14" w:rsidRDefault="009953C2" w:rsidP="009953C2">
            <w:pPr>
              <w:rPr>
                <w:rFonts w:asciiTheme="minorHAnsi" w:hAnsiTheme="minorHAnsi" w:cstheme="minorHAnsi"/>
                <w:sz w:val="22"/>
                <w:szCs w:val="22"/>
              </w:rPr>
            </w:pPr>
          </w:p>
        </w:tc>
      </w:tr>
      <w:tr w:rsidR="004C1640" w:rsidRPr="005B2D14" w14:paraId="41FB7F3C" w14:textId="77777777" w:rsidTr="009953C2">
        <w:tc>
          <w:tcPr>
            <w:tcW w:w="641" w:type="dxa"/>
            <w:tcBorders>
              <w:bottom w:val="single" w:sz="4" w:space="0" w:color="auto"/>
            </w:tcBorders>
            <w:shd w:val="clear" w:color="auto" w:fill="auto"/>
          </w:tcPr>
          <w:p w14:paraId="1E0363CE" w14:textId="77777777" w:rsidR="004C1640" w:rsidRPr="006930F5" w:rsidRDefault="004C1640" w:rsidP="009953C2">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shd w:val="clear" w:color="auto" w:fill="auto"/>
          </w:tcPr>
          <w:p w14:paraId="03188D5D" w14:textId="32B0A68A" w:rsidR="004C1640" w:rsidRDefault="004C1640" w:rsidP="009953C2">
            <w:pPr>
              <w:rPr>
                <w:rFonts w:asciiTheme="minorHAnsi" w:hAnsiTheme="minorHAnsi" w:cstheme="minorHAnsi"/>
                <w:sz w:val="22"/>
                <w:szCs w:val="22"/>
              </w:rPr>
            </w:pPr>
            <w:r>
              <w:rPr>
                <w:rFonts w:asciiTheme="minorHAnsi" w:hAnsiTheme="minorHAnsi" w:cstheme="minorHAnsi"/>
                <w:sz w:val="22"/>
                <w:szCs w:val="22"/>
              </w:rPr>
              <w:t>N/A – Overarching Comment</w:t>
            </w:r>
          </w:p>
        </w:tc>
        <w:tc>
          <w:tcPr>
            <w:tcW w:w="3504" w:type="dxa"/>
            <w:tcBorders>
              <w:bottom w:val="single" w:sz="4" w:space="0" w:color="auto"/>
            </w:tcBorders>
            <w:shd w:val="clear" w:color="auto" w:fill="auto"/>
          </w:tcPr>
          <w:p w14:paraId="5FF3CCC0" w14:textId="77777777" w:rsidR="004C1640" w:rsidRPr="009953C2" w:rsidRDefault="004C1640" w:rsidP="009953C2">
            <w:pPr>
              <w:rPr>
                <w:rFonts w:asciiTheme="minorHAnsi" w:hAnsiTheme="minorHAnsi" w:cstheme="minorHAnsi"/>
                <w:sz w:val="22"/>
                <w:szCs w:val="22"/>
              </w:rPr>
            </w:pPr>
          </w:p>
        </w:tc>
        <w:tc>
          <w:tcPr>
            <w:tcW w:w="3657" w:type="dxa"/>
            <w:tcBorders>
              <w:bottom w:val="single" w:sz="4" w:space="0" w:color="auto"/>
            </w:tcBorders>
            <w:shd w:val="clear" w:color="auto" w:fill="auto"/>
          </w:tcPr>
          <w:p w14:paraId="2702C2C9" w14:textId="38223E48" w:rsidR="004C1640" w:rsidRPr="004C1640" w:rsidRDefault="004C1640" w:rsidP="009953C2">
            <w:r>
              <w:rPr>
                <w:rFonts w:ascii="Calibri" w:hAnsi="Calibri" w:cs="Calibri"/>
                <w:color w:val="000000"/>
                <w:sz w:val="22"/>
                <w:szCs w:val="22"/>
              </w:rPr>
              <w:t xml:space="preserve">CPH proposal for a path forward to completing our work on a disclosure model – see </w:t>
            </w:r>
            <w:hyperlink r:id="rId7" w:history="1">
              <w:r w:rsidRPr="00345535">
                <w:rPr>
                  <w:rStyle w:val="Hyperlink"/>
                  <w:rFonts w:ascii="Calibri" w:hAnsi="Calibri" w:cs="Calibri"/>
                  <w:sz w:val="22"/>
                  <w:szCs w:val="22"/>
                </w:rPr>
                <w:t>https://mm.icann.org/pipermail/gnso-epdp-team/2020-January/002895.html</w:t>
              </w:r>
            </w:hyperlink>
            <w:r>
              <w:rPr>
                <w:rFonts w:ascii="Calibri" w:hAnsi="Calibri" w:cs="Calibri"/>
                <w:color w:val="000000"/>
                <w:sz w:val="22"/>
                <w:szCs w:val="22"/>
              </w:rPr>
              <w:t xml:space="preserve"> (CPH)</w:t>
            </w:r>
          </w:p>
        </w:tc>
        <w:tc>
          <w:tcPr>
            <w:tcW w:w="3422" w:type="dxa"/>
            <w:tcBorders>
              <w:bottom w:val="single" w:sz="4" w:space="0" w:color="auto"/>
            </w:tcBorders>
            <w:shd w:val="clear" w:color="auto" w:fill="auto"/>
          </w:tcPr>
          <w:p w14:paraId="2FF76C1E" w14:textId="77777777" w:rsidR="004C1640" w:rsidRPr="005B2D14" w:rsidRDefault="004C1640" w:rsidP="009953C2">
            <w:pPr>
              <w:rPr>
                <w:rFonts w:asciiTheme="minorHAnsi" w:hAnsiTheme="minorHAnsi" w:cstheme="minorHAnsi"/>
                <w:sz w:val="22"/>
                <w:szCs w:val="22"/>
              </w:rPr>
            </w:pPr>
          </w:p>
        </w:tc>
      </w:tr>
      <w:tr w:rsidR="00C60B34" w:rsidRPr="005B2D14" w14:paraId="095EB74F" w14:textId="77777777" w:rsidTr="009953C2">
        <w:tc>
          <w:tcPr>
            <w:tcW w:w="641" w:type="dxa"/>
            <w:shd w:val="clear" w:color="auto" w:fill="70AD47" w:themeFill="accent6"/>
          </w:tcPr>
          <w:p w14:paraId="20F38EA8" w14:textId="77777777" w:rsidR="009953C2" w:rsidRPr="006930F5"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70AD47" w:themeFill="accent6"/>
          </w:tcPr>
          <w:p w14:paraId="3AB48B1D" w14:textId="511F5822" w:rsidR="009953C2" w:rsidRDefault="009953C2" w:rsidP="009953C2">
            <w:pPr>
              <w:rPr>
                <w:rFonts w:asciiTheme="minorHAnsi" w:hAnsiTheme="minorHAnsi" w:cstheme="minorHAnsi"/>
                <w:sz w:val="22"/>
                <w:szCs w:val="22"/>
              </w:rPr>
            </w:pPr>
            <w:r>
              <w:rPr>
                <w:rFonts w:asciiTheme="minorHAnsi" w:hAnsiTheme="minorHAnsi" w:cstheme="minorHAnsi"/>
                <w:sz w:val="22"/>
                <w:szCs w:val="22"/>
              </w:rPr>
              <w:t>7 (Executive Summary)</w:t>
            </w:r>
          </w:p>
        </w:tc>
        <w:tc>
          <w:tcPr>
            <w:tcW w:w="3504" w:type="dxa"/>
            <w:shd w:val="clear" w:color="auto" w:fill="70AD47" w:themeFill="accent6"/>
          </w:tcPr>
          <w:p w14:paraId="3B49A756" w14:textId="1019EB8D" w:rsidR="009953C2" w:rsidRPr="009953C2" w:rsidRDefault="009953C2" w:rsidP="009953C2">
            <w:pPr>
              <w:rPr>
                <w:sz w:val="22"/>
                <w:szCs w:val="22"/>
              </w:rPr>
            </w:pPr>
            <w:r w:rsidRPr="009953C2">
              <w:rPr>
                <w:rFonts w:ascii="Calibri" w:hAnsi="Calibri" w:cs="Calibri"/>
                <w:color w:val="000000"/>
                <w:sz w:val="22"/>
                <w:szCs w:val="22"/>
              </w:rPr>
              <w:t>Following the publication of this Report, the EPDP Team will: (</w:t>
            </w:r>
            <w:proofErr w:type="spellStart"/>
            <w:r w:rsidRPr="009953C2">
              <w:rPr>
                <w:rFonts w:ascii="Calibri" w:hAnsi="Calibri" w:cs="Calibri"/>
                <w:color w:val="000000"/>
                <w:sz w:val="22"/>
                <w:szCs w:val="22"/>
              </w:rPr>
              <w:t>i</w:t>
            </w:r>
            <w:proofErr w:type="spellEnd"/>
            <w:r w:rsidRPr="009953C2">
              <w:rPr>
                <w:rFonts w:ascii="Calibri" w:hAnsi="Calibri" w:cs="Calibri"/>
                <w:color w:val="000000"/>
                <w:sz w:val="22"/>
                <w:szCs w:val="22"/>
              </w:rPr>
              <w:t xml:space="preserve">) continue to seek guidance on legal issues from the European Data Protection Board and others, (ii) carefully review public comments received in response to this publication, (iii) continue to review the work-in-progress with the community groups the Team members represent, and (iv) carry on deliberations for the production of a Final Report that will be reviewed by the GNSO Council and, if approved, forwarded to the ICANN Board of Directors for </w:t>
            </w:r>
            <w:r w:rsidRPr="009953C2">
              <w:rPr>
                <w:rFonts w:ascii="Calibri" w:hAnsi="Calibri" w:cs="Calibri"/>
                <w:color w:val="000000"/>
                <w:sz w:val="22"/>
                <w:szCs w:val="22"/>
              </w:rPr>
              <w:lastRenderedPageBreak/>
              <w:t>approval as an ICANN Consensus Policy.</w:t>
            </w:r>
          </w:p>
        </w:tc>
        <w:tc>
          <w:tcPr>
            <w:tcW w:w="3657" w:type="dxa"/>
            <w:shd w:val="clear" w:color="auto" w:fill="70AD47" w:themeFill="accent6"/>
          </w:tcPr>
          <w:p w14:paraId="13A552E1" w14:textId="1B5218BE" w:rsidR="009953C2" w:rsidRPr="009953C2" w:rsidRDefault="009953C2" w:rsidP="009953C2">
            <w:r w:rsidRPr="009953C2">
              <w:rPr>
                <w:rFonts w:asciiTheme="minorHAnsi" w:hAnsiTheme="minorHAnsi" w:cstheme="minorHAnsi"/>
                <w:sz w:val="22"/>
                <w:szCs w:val="22"/>
              </w:rPr>
              <w:lastRenderedPageBreak/>
              <w:t>The next steps should include the publication of the second / separate Initial Report and what will happen after that. If a separate Initial Report is going to be published, will a consolidated Initial Report be published? We should be clear on the next steps.</w:t>
            </w:r>
            <w:r w:rsidRPr="0083432C">
              <w:rPr>
                <w:rFonts w:asciiTheme="minorHAnsi" w:hAnsiTheme="minorHAnsi" w:cstheme="minorHAnsi"/>
                <w:sz w:val="22"/>
                <w:szCs w:val="22"/>
              </w:rPr>
              <w:t xml:space="preserve"> </w:t>
            </w:r>
            <w:r w:rsidR="0083432C" w:rsidRPr="0083432C">
              <w:rPr>
                <w:rFonts w:asciiTheme="minorHAnsi" w:hAnsiTheme="minorHAnsi" w:cstheme="minorHAnsi"/>
                <w:sz w:val="22"/>
                <w:szCs w:val="22"/>
              </w:rPr>
              <w:t>(ISPCP)</w:t>
            </w:r>
          </w:p>
        </w:tc>
        <w:tc>
          <w:tcPr>
            <w:tcW w:w="3422" w:type="dxa"/>
            <w:shd w:val="clear" w:color="auto" w:fill="70AD47" w:themeFill="accent6"/>
          </w:tcPr>
          <w:p w14:paraId="486943E6" w14:textId="6579EFB2" w:rsidR="009953C2" w:rsidRPr="005B2D14" w:rsidRDefault="009953C2" w:rsidP="009953C2">
            <w:pPr>
              <w:rPr>
                <w:rFonts w:asciiTheme="minorHAnsi" w:hAnsiTheme="minorHAnsi" w:cstheme="minorHAnsi"/>
                <w:sz w:val="22"/>
                <w:szCs w:val="22"/>
              </w:rPr>
            </w:pPr>
            <w:r>
              <w:rPr>
                <w:rFonts w:asciiTheme="minorHAnsi" w:hAnsiTheme="minorHAnsi" w:cstheme="minorHAnsi"/>
                <w:sz w:val="22"/>
                <w:szCs w:val="22"/>
              </w:rPr>
              <w:t xml:space="preserve">Staff support to update language to reflect that a separate Initial Report will be published for priority 2 items which will follow its own timeline (i.e. no consolidated Initial Report is expected to be published). </w:t>
            </w:r>
          </w:p>
        </w:tc>
      </w:tr>
      <w:tr w:rsidR="00C60B34" w:rsidRPr="005B2D14" w14:paraId="72028605" w14:textId="77777777" w:rsidTr="009953C2">
        <w:tc>
          <w:tcPr>
            <w:tcW w:w="641" w:type="dxa"/>
            <w:shd w:val="clear" w:color="auto" w:fill="70AD47" w:themeFill="accent6"/>
          </w:tcPr>
          <w:p w14:paraId="29856853" w14:textId="63E34B35" w:rsidR="009953C2" w:rsidRPr="006930F5"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70AD47" w:themeFill="accent6"/>
          </w:tcPr>
          <w:p w14:paraId="7E000639" w14:textId="067644A1"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5 (EPDP Team Approach)</w:t>
            </w:r>
          </w:p>
        </w:tc>
        <w:tc>
          <w:tcPr>
            <w:tcW w:w="3504" w:type="dxa"/>
            <w:shd w:val="clear" w:color="auto" w:fill="70AD47" w:themeFill="accent6"/>
          </w:tcPr>
          <w:p w14:paraId="61FBC33F" w14:textId="36E907DD" w:rsidR="009953C2" w:rsidRPr="005B2D14" w:rsidRDefault="009953C2" w:rsidP="009953C2">
            <w:pPr>
              <w:rPr>
                <w:rFonts w:asciiTheme="minorHAnsi" w:hAnsiTheme="minorHAnsi" w:cstheme="minorHAnsi"/>
                <w:sz w:val="22"/>
                <w:szCs w:val="22"/>
              </w:rPr>
            </w:pPr>
            <w:r w:rsidRPr="00904FE9">
              <w:rPr>
                <w:rFonts w:asciiTheme="minorHAnsi" w:hAnsiTheme="minorHAnsi" w:cstheme="minorHAnsi"/>
                <w:color w:val="000000"/>
                <w:sz w:val="22"/>
                <w:szCs w:val="22"/>
              </w:rPr>
              <w:t>During phase 1 of its work, the EPDP Team was tasked to</w:t>
            </w:r>
            <w:r w:rsidRPr="005B2D14">
              <w:rPr>
                <w:rFonts w:asciiTheme="minorHAnsi" w:hAnsiTheme="minorHAnsi" w:cstheme="minorHAnsi"/>
                <w:color w:val="000000"/>
                <w:sz w:val="22"/>
                <w:szCs w:val="22"/>
              </w:rPr>
              <w:t xml:space="preserve"> determine if the Temporary Specification for gTLD Registration Data should become an ICANN Consensus Policy as is, or with modifications</w:t>
            </w:r>
          </w:p>
        </w:tc>
        <w:tc>
          <w:tcPr>
            <w:tcW w:w="3657" w:type="dxa"/>
            <w:shd w:val="clear" w:color="auto" w:fill="70AD47" w:themeFill="accent6"/>
          </w:tcPr>
          <w:p w14:paraId="1F35DCF2" w14:textId="05164CC3"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I would suggest that we tell the world how we answered that question (NCSG)</w:t>
            </w:r>
          </w:p>
          <w:p w14:paraId="127E428C" w14:textId="77777777" w:rsidR="009953C2" w:rsidRPr="005B2D14" w:rsidRDefault="009953C2" w:rsidP="009953C2">
            <w:pPr>
              <w:rPr>
                <w:rFonts w:asciiTheme="minorHAnsi" w:hAnsiTheme="minorHAnsi" w:cstheme="minorHAnsi"/>
                <w:sz w:val="22"/>
                <w:szCs w:val="22"/>
              </w:rPr>
            </w:pPr>
          </w:p>
        </w:tc>
        <w:tc>
          <w:tcPr>
            <w:tcW w:w="3422" w:type="dxa"/>
            <w:shd w:val="clear" w:color="auto" w:fill="70AD47" w:themeFill="accent6"/>
          </w:tcPr>
          <w:p w14:paraId="10CBB59A" w14:textId="477E945C"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Staff support to update language to refer to phase 1 outcomes</w:t>
            </w:r>
          </w:p>
        </w:tc>
      </w:tr>
      <w:tr w:rsidR="00205315" w:rsidRPr="005B2D14" w14:paraId="57B9D453" w14:textId="77777777" w:rsidTr="009953C2">
        <w:tc>
          <w:tcPr>
            <w:tcW w:w="641" w:type="dxa"/>
          </w:tcPr>
          <w:p w14:paraId="01349C89" w14:textId="21C9163C" w:rsidR="009953C2" w:rsidRPr="005B2D14" w:rsidRDefault="009953C2" w:rsidP="009953C2">
            <w:pPr>
              <w:pStyle w:val="ListParagraph"/>
              <w:numPr>
                <w:ilvl w:val="0"/>
                <w:numId w:val="2"/>
              </w:numPr>
              <w:rPr>
                <w:rFonts w:asciiTheme="minorHAnsi" w:hAnsiTheme="minorHAnsi" w:cstheme="minorHAnsi"/>
                <w:sz w:val="22"/>
                <w:szCs w:val="22"/>
              </w:rPr>
            </w:pPr>
          </w:p>
        </w:tc>
        <w:tc>
          <w:tcPr>
            <w:tcW w:w="1726" w:type="dxa"/>
          </w:tcPr>
          <w:p w14:paraId="5A65F196" w14:textId="196BA7B2"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9 (EPDP Team Approach)</w:t>
            </w:r>
          </w:p>
        </w:tc>
        <w:tc>
          <w:tcPr>
            <w:tcW w:w="3504" w:type="dxa"/>
          </w:tcPr>
          <w:p w14:paraId="13F1DBB7" w14:textId="46C17372"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color w:val="000000"/>
                <w:sz w:val="22"/>
                <w:szCs w:val="22"/>
              </w:rPr>
              <w:t>recognizing that a decision on the roles and responsibilities of the different parties involved may be influenced by both legal advice and guidance from the European Data Protection Board (“EDPB”). In the absence of this guidance,</w:t>
            </w:r>
          </w:p>
        </w:tc>
        <w:tc>
          <w:tcPr>
            <w:tcW w:w="3657" w:type="dxa"/>
          </w:tcPr>
          <w:p w14:paraId="74F82D75" w14:textId="7FE725D7" w:rsidR="009953C2"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Propose to delete this. It adds no substance to the report and does not have any bearing on the three variations we outline. (NCSG)</w:t>
            </w:r>
          </w:p>
          <w:p w14:paraId="61A39CCB" w14:textId="5CC302F8" w:rsidR="009140DA" w:rsidRDefault="009140DA" w:rsidP="009953C2">
            <w:pPr>
              <w:rPr>
                <w:rFonts w:asciiTheme="minorHAnsi" w:hAnsiTheme="minorHAnsi" w:cstheme="minorHAnsi"/>
                <w:sz w:val="22"/>
                <w:szCs w:val="22"/>
              </w:rPr>
            </w:pPr>
          </w:p>
          <w:p w14:paraId="4086C0B7" w14:textId="157855FB" w:rsidR="009953C2" w:rsidRPr="005B2D14" w:rsidRDefault="009140DA" w:rsidP="009953C2">
            <w:pPr>
              <w:rPr>
                <w:rFonts w:asciiTheme="minorHAnsi" w:hAnsiTheme="minorHAnsi" w:cstheme="minorHAnsi"/>
                <w:sz w:val="22"/>
                <w:szCs w:val="22"/>
              </w:rPr>
            </w:pPr>
            <w:r w:rsidRPr="009140DA">
              <w:rPr>
                <w:rFonts w:asciiTheme="minorHAnsi" w:hAnsiTheme="minorHAnsi" w:cstheme="minorHAnsi"/>
                <w:sz w:val="22"/>
                <w:szCs w:val="22"/>
              </w:rPr>
              <w:t>This part adds substance as part of our determination on which model to choose depends on the legal feedback and guidance provided by the EDPB</w:t>
            </w:r>
            <w:r>
              <w:rPr>
                <w:rFonts w:asciiTheme="minorHAnsi" w:hAnsiTheme="minorHAnsi" w:cstheme="minorHAnsi"/>
                <w:sz w:val="22"/>
                <w:szCs w:val="22"/>
              </w:rPr>
              <w:t xml:space="preserve"> (ALAC)</w:t>
            </w:r>
          </w:p>
        </w:tc>
        <w:tc>
          <w:tcPr>
            <w:tcW w:w="3422" w:type="dxa"/>
          </w:tcPr>
          <w:p w14:paraId="0C9C0007" w14:textId="77777777" w:rsidR="009953C2" w:rsidRPr="005B2D14" w:rsidRDefault="009953C2" w:rsidP="009953C2">
            <w:pPr>
              <w:rPr>
                <w:rFonts w:asciiTheme="minorHAnsi" w:hAnsiTheme="minorHAnsi" w:cstheme="minorHAnsi"/>
                <w:sz w:val="22"/>
                <w:szCs w:val="22"/>
              </w:rPr>
            </w:pPr>
          </w:p>
        </w:tc>
      </w:tr>
      <w:tr w:rsidR="00C60B34" w:rsidRPr="005B2D14" w14:paraId="4A1D2CDD" w14:textId="77777777" w:rsidTr="009953C2">
        <w:tc>
          <w:tcPr>
            <w:tcW w:w="641" w:type="dxa"/>
          </w:tcPr>
          <w:p w14:paraId="01C8E05E" w14:textId="77777777" w:rsidR="00B6427C" w:rsidRPr="005B2D14" w:rsidRDefault="00B6427C" w:rsidP="009953C2">
            <w:pPr>
              <w:pStyle w:val="ListParagraph"/>
              <w:numPr>
                <w:ilvl w:val="0"/>
                <w:numId w:val="2"/>
              </w:numPr>
              <w:rPr>
                <w:rFonts w:asciiTheme="minorHAnsi" w:hAnsiTheme="minorHAnsi" w:cstheme="minorHAnsi"/>
                <w:sz w:val="22"/>
                <w:szCs w:val="22"/>
              </w:rPr>
            </w:pPr>
          </w:p>
        </w:tc>
        <w:tc>
          <w:tcPr>
            <w:tcW w:w="1726" w:type="dxa"/>
          </w:tcPr>
          <w:p w14:paraId="125429DA" w14:textId="58FB94D5" w:rsidR="00B6427C" w:rsidRPr="005B2D14" w:rsidRDefault="00B6427C" w:rsidP="009953C2">
            <w:pPr>
              <w:rPr>
                <w:rFonts w:asciiTheme="minorHAnsi" w:hAnsiTheme="minorHAnsi" w:cstheme="minorHAnsi"/>
                <w:sz w:val="22"/>
                <w:szCs w:val="22"/>
              </w:rPr>
            </w:pPr>
            <w:r>
              <w:rPr>
                <w:rFonts w:asciiTheme="minorHAnsi" w:hAnsiTheme="minorHAnsi" w:cstheme="minorHAnsi"/>
                <w:sz w:val="22"/>
                <w:szCs w:val="22"/>
              </w:rPr>
              <w:t>9 (EPDP Team Approach)</w:t>
            </w:r>
          </w:p>
        </w:tc>
        <w:tc>
          <w:tcPr>
            <w:tcW w:w="3504" w:type="dxa"/>
          </w:tcPr>
          <w:p w14:paraId="4905E008" w14:textId="77777777" w:rsidR="00B6427C" w:rsidRPr="00B6427C" w:rsidRDefault="00B6427C" w:rsidP="00B6427C">
            <w:pPr>
              <w:rPr>
                <w:rFonts w:asciiTheme="minorHAnsi" w:hAnsiTheme="minorHAnsi" w:cstheme="minorHAnsi"/>
                <w:color w:val="000000"/>
                <w:sz w:val="22"/>
                <w:szCs w:val="22"/>
              </w:rPr>
            </w:pPr>
            <w:r w:rsidRPr="00B6427C">
              <w:rPr>
                <w:rFonts w:asciiTheme="minorHAnsi" w:hAnsiTheme="minorHAnsi" w:cstheme="minorHAnsi"/>
                <w:color w:val="000000"/>
                <w:sz w:val="22"/>
                <w:szCs w:val="22"/>
              </w:rPr>
              <w:t>the EPDP Team established that there would be roughly three variations of the SSAD:</w:t>
            </w:r>
          </w:p>
          <w:p w14:paraId="01706628" w14:textId="77777777" w:rsidR="00B6427C" w:rsidRPr="00B6427C" w:rsidRDefault="00B6427C" w:rsidP="00B6427C">
            <w:pPr>
              <w:rPr>
                <w:rFonts w:asciiTheme="minorHAnsi" w:hAnsiTheme="minorHAnsi" w:cstheme="minorHAnsi"/>
                <w:color w:val="000000"/>
                <w:sz w:val="22"/>
                <w:szCs w:val="22"/>
              </w:rPr>
            </w:pPr>
          </w:p>
          <w:p w14:paraId="500BB870" w14:textId="2D74BEB4" w:rsidR="00B6427C" w:rsidRPr="00B6427C" w:rsidRDefault="0069186A" w:rsidP="00B6427C">
            <w:pPr>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B6427C" w:rsidRPr="00B6427C">
              <w:rPr>
                <w:rFonts w:asciiTheme="minorHAnsi" w:hAnsiTheme="minorHAnsi" w:cstheme="minorHAnsi"/>
                <w:color w:val="000000"/>
                <w:sz w:val="22"/>
                <w:szCs w:val="22"/>
              </w:rPr>
              <w:t>Centralized model in which requests for access/disclosure are received through a central gateway, where the decision on whether to disclose data would be made by the entity responsible for managing the centralized gateway;</w:t>
            </w:r>
          </w:p>
          <w:p w14:paraId="6CAF8B76" w14:textId="53D74027" w:rsidR="00B6427C" w:rsidRPr="00B6427C" w:rsidRDefault="0069186A" w:rsidP="00B6427C">
            <w:pPr>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B6427C" w:rsidRPr="00B6427C">
              <w:rPr>
                <w:rFonts w:asciiTheme="minorHAnsi" w:hAnsiTheme="minorHAnsi" w:cstheme="minorHAnsi"/>
                <w:color w:val="000000"/>
                <w:sz w:val="22"/>
                <w:szCs w:val="22"/>
              </w:rPr>
              <w:t xml:space="preserve">Hybrid model in which requests for access/disclosure are received through a central gateway, where the decision on whether to </w:t>
            </w:r>
            <w:r w:rsidR="00B6427C" w:rsidRPr="00B6427C">
              <w:rPr>
                <w:rFonts w:asciiTheme="minorHAnsi" w:hAnsiTheme="minorHAnsi" w:cstheme="minorHAnsi"/>
                <w:color w:val="000000"/>
                <w:sz w:val="22"/>
                <w:szCs w:val="22"/>
              </w:rPr>
              <w:lastRenderedPageBreak/>
              <w:t>disclose data would remain with the relevant contracted party;</w:t>
            </w:r>
          </w:p>
          <w:p w14:paraId="25860CF4" w14:textId="50F75F50" w:rsidR="00B6427C" w:rsidRPr="00B6427C" w:rsidRDefault="0069186A" w:rsidP="00B6427C">
            <w:pPr>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00B6427C" w:rsidRPr="00B6427C">
              <w:rPr>
                <w:rFonts w:asciiTheme="minorHAnsi" w:hAnsiTheme="minorHAnsi" w:cstheme="minorHAnsi"/>
                <w:color w:val="000000"/>
                <w:sz w:val="22"/>
                <w:szCs w:val="22"/>
              </w:rPr>
              <w:t xml:space="preserve">Decentralized model in which requests for access/disclosure would be received by the relevant contracted party and the decision on whether to disclose would be made by the relevant contracted party (status quo, but with newly-defined standardized requirements). </w:t>
            </w:r>
          </w:p>
          <w:p w14:paraId="41D65069" w14:textId="77777777" w:rsidR="00B6427C" w:rsidRPr="005B2D14" w:rsidRDefault="00B6427C" w:rsidP="00B6427C">
            <w:pPr>
              <w:rPr>
                <w:rFonts w:asciiTheme="minorHAnsi" w:hAnsiTheme="minorHAnsi" w:cstheme="minorHAnsi"/>
                <w:color w:val="000000"/>
                <w:sz w:val="22"/>
                <w:szCs w:val="22"/>
              </w:rPr>
            </w:pPr>
          </w:p>
        </w:tc>
        <w:tc>
          <w:tcPr>
            <w:tcW w:w="3657" w:type="dxa"/>
          </w:tcPr>
          <w:p w14:paraId="3884F825" w14:textId="77777777" w:rsidR="00B6427C" w:rsidRDefault="00B6427C" w:rsidP="009953C2">
            <w:pPr>
              <w:rPr>
                <w:rFonts w:asciiTheme="minorHAnsi" w:hAnsiTheme="minorHAnsi" w:cstheme="minorHAnsi"/>
                <w:sz w:val="22"/>
                <w:szCs w:val="22"/>
              </w:rPr>
            </w:pPr>
            <w:r w:rsidRPr="00B6427C">
              <w:rPr>
                <w:rFonts w:asciiTheme="minorHAnsi" w:hAnsiTheme="minorHAnsi" w:cstheme="minorHAnsi"/>
                <w:sz w:val="22"/>
                <w:szCs w:val="22"/>
              </w:rPr>
              <w:lastRenderedPageBreak/>
              <w:t>We should consider suggesting one of the three variations as the “currently preferred” option. We support working on the first variation and centralizing as much as possible for reasons of consistency and to take work load off the contracted parties. (ISPCP)</w:t>
            </w:r>
          </w:p>
          <w:p w14:paraId="3CEFFF99" w14:textId="77777777" w:rsidR="0069186A" w:rsidRDefault="0069186A" w:rsidP="009953C2">
            <w:pPr>
              <w:rPr>
                <w:rFonts w:asciiTheme="minorHAnsi" w:hAnsiTheme="minorHAnsi" w:cstheme="minorHAnsi"/>
                <w:sz w:val="22"/>
                <w:szCs w:val="22"/>
              </w:rPr>
            </w:pPr>
          </w:p>
          <w:p w14:paraId="5E2D7309" w14:textId="77777777" w:rsidR="0069186A" w:rsidRPr="0069186A" w:rsidRDefault="0069186A" w:rsidP="0069186A">
            <w:pPr>
              <w:rPr>
                <w:rFonts w:asciiTheme="minorHAnsi" w:hAnsiTheme="minorHAnsi" w:cstheme="minorHAnsi"/>
                <w:sz w:val="22"/>
                <w:szCs w:val="22"/>
              </w:rPr>
            </w:pPr>
            <w:r w:rsidRPr="0069186A">
              <w:rPr>
                <w:rFonts w:asciiTheme="minorHAnsi" w:hAnsiTheme="minorHAnsi" w:cstheme="minorHAnsi"/>
                <w:sz w:val="22"/>
                <w:szCs w:val="22"/>
              </w:rPr>
              <w:t xml:space="preserve">We cannot represent this as a “variation of the SSAD” for public comment. It would be confusing to the community if we presented this as a potential way to deliver an SSAD. We already have Model 3 </w:t>
            </w:r>
            <w:proofErr w:type="gramStart"/>
            <w:r w:rsidRPr="0069186A">
              <w:rPr>
                <w:rFonts w:asciiTheme="minorHAnsi" w:hAnsiTheme="minorHAnsi" w:cstheme="minorHAnsi"/>
                <w:sz w:val="22"/>
                <w:szCs w:val="22"/>
              </w:rPr>
              <w:t>today, and</w:t>
            </w:r>
            <w:proofErr w:type="gramEnd"/>
            <w:r w:rsidRPr="0069186A">
              <w:rPr>
                <w:rFonts w:asciiTheme="minorHAnsi" w:hAnsiTheme="minorHAnsi" w:cstheme="minorHAnsi"/>
                <w:sz w:val="22"/>
                <w:szCs w:val="22"/>
              </w:rPr>
              <w:t xml:space="preserve"> </w:t>
            </w:r>
            <w:r w:rsidRPr="0069186A">
              <w:rPr>
                <w:rFonts w:asciiTheme="minorHAnsi" w:hAnsiTheme="minorHAnsi" w:cstheme="minorHAnsi"/>
                <w:sz w:val="22"/>
                <w:szCs w:val="22"/>
              </w:rPr>
              <w:lastRenderedPageBreak/>
              <w:t xml:space="preserve">will continue to have this regardless of whether we deliver variation 1 or 2 as an actual SSAD. </w:t>
            </w:r>
          </w:p>
          <w:p w14:paraId="10A31409" w14:textId="77777777" w:rsidR="0069186A" w:rsidRPr="0069186A" w:rsidRDefault="0069186A" w:rsidP="0069186A">
            <w:pPr>
              <w:rPr>
                <w:rFonts w:asciiTheme="minorHAnsi" w:hAnsiTheme="minorHAnsi" w:cstheme="minorHAnsi"/>
                <w:sz w:val="22"/>
                <w:szCs w:val="22"/>
              </w:rPr>
            </w:pPr>
          </w:p>
          <w:p w14:paraId="5B446918" w14:textId="7FAD0D18" w:rsidR="0069186A" w:rsidRDefault="0069186A" w:rsidP="0069186A">
            <w:pPr>
              <w:rPr>
                <w:rFonts w:asciiTheme="minorHAnsi" w:hAnsiTheme="minorHAnsi" w:cstheme="minorHAnsi"/>
                <w:sz w:val="22"/>
                <w:szCs w:val="22"/>
              </w:rPr>
            </w:pPr>
            <w:r w:rsidRPr="0069186A">
              <w:rPr>
                <w:rFonts w:asciiTheme="minorHAnsi" w:hAnsiTheme="minorHAnsi" w:cstheme="minorHAnsi"/>
                <w:sz w:val="22"/>
                <w:szCs w:val="22"/>
              </w:rPr>
              <w:t xml:space="preserve">We would therefore ask that this be listed as the present and permanent method, and we should solicit comments as to whether the SSAD should take the form of Model 1 or Model 2. </w:t>
            </w:r>
            <w:r>
              <w:rPr>
                <w:rFonts w:asciiTheme="minorHAnsi" w:hAnsiTheme="minorHAnsi" w:cstheme="minorHAnsi"/>
                <w:sz w:val="22"/>
                <w:szCs w:val="22"/>
              </w:rPr>
              <w:t>(IPC)</w:t>
            </w:r>
          </w:p>
          <w:p w14:paraId="2CDC4615" w14:textId="197970EB" w:rsidR="0069186A" w:rsidRDefault="0069186A" w:rsidP="0069186A">
            <w:pPr>
              <w:rPr>
                <w:rFonts w:asciiTheme="minorHAnsi" w:hAnsiTheme="minorHAnsi" w:cstheme="minorHAnsi"/>
                <w:sz w:val="22"/>
                <w:szCs w:val="22"/>
              </w:rPr>
            </w:pPr>
          </w:p>
          <w:p w14:paraId="4DF0FD94" w14:textId="77777777" w:rsidR="0069186A" w:rsidRDefault="0069186A" w:rsidP="009953C2">
            <w:pPr>
              <w:rPr>
                <w:rFonts w:asciiTheme="minorHAnsi" w:hAnsiTheme="minorHAnsi" w:cstheme="minorHAnsi"/>
                <w:sz w:val="22"/>
                <w:szCs w:val="22"/>
              </w:rPr>
            </w:pPr>
            <w:r w:rsidRPr="0069186A">
              <w:rPr>
                <w:rFonts w:asciiTheme="minorHAnsi" w:hAnsiTheme="minorHAnsi" w:cstheme="minorHAnsi"/>
                <w:sz w:val="22"/>
                <w:szCs w:val="22"/>
              </w:rPr>
              <w:t>The third model, which is the status quo under Recommendation 18, will not scale to support cybersecurity incident response (e.g. member of RrSG has reperatedly warned that it will be hard to find qualified staff to perform these functions and that many Rrs will simply not attempt to do so).</w:t>
            </w:r>
            <w:r>
              <w:rPr>
                <w:rFonts w:asciiTheme="minorHAnsi" w:hAnsiTheme="minorHAnsi" w:cstheme="minorHAnsi"/>
                <w:sz w:val="22"/>
                <w:szCs w:val="22"/>
              </w:rPr>
              <w:t xml:space="preserve"> (BC)</w:t>
            </w:r>
          </w:p>
          <w:p w14:paraId="0AB9128B" w14:textId="77777777" w:rsidR="009140DA" w:rsidRDefault="009140DA" w:rsidP="009953C2">
            <w:pPr>
              <w:rPr>
                <w:rFonts w:asciiTheme="minorHAnsi" w:hAnsiTheme="minorHAnsi" w:cstheme="minorHAnsi"/>
                <w:sz w:val="22"/>
                <w:szCs w:val="22"/>
              </w:rPr>
            </w:pPr>
          </w:p>
          <w:p w14:paraId="55D7B02C" w14:textId="56EFF8A1" w:rsidR="009140DA" w:rsidRPr="009140DA" w:rsidRDefault="009140DA" w:rsidP="009953C2">
            <w:pPr>
              <w:rPr>
                <w:rFonts w:asciiTheme="minorHAnsi" w:hAnsiTheme="minorHAnsi" w:cstheme="minorHAnsi"/>
                <w:sz w:val="22"/>
                <w:szCs w:val="22"/>
              </w:rPr>
            </w:pPr>
            <w:r>
              <w:rPr>
                <w:rFonts w:asciiTheme="minorHAnsi" w:hAnsiTheme="minorHAnsi" w:cstheme="minorHAnsi"/>
                <w:sz w:val="22"/>
                <w:szCs w:val="22"/>
              </w:rPr>
              <w:t xml:space="preserve">Model 1: </w:t>
            </w:r>
            <w:r w:rsidRPr="009140DA">
              <w:rPr>
                <w:rFonts w:asciiTheme="minorHAnsi" w:hAnsiTheme="minorHAnsi" w:cstheme="minorHAnsi"/>
                <w:sz w:val="22"/>
                <w:szCs w:val="22"/>
              </w:rPr>
              <w:t xml:space="preserve">when did we ever agree that the entity responsible for managing the centralized gateway would be responsible for the decision making as well? The centralized model - according to our discussions includes a centralized gateway, an identity provider and an authorization provider (decision maker). Whether the manager of the central gateway will also be the decision maker or not has not been discussed (It could be) however no such thing has been </w:t>
            </w:r>
            <w:r w:rsidRPr="009140DA">
              <w:rPr>
                <w:rFonts w:asciiTheme="minorHAnsi" w:hAnsiTheme="minorHAnsi" w:cstheme="minorHAnsi"/>
                <w:sz w:val="22"/>
                <w:szCs w:val="22"/>
              </w:rPr>
              <w:lastRenderedPageBreak/>
              <w:t xml:space="preserve">concluded. What has been agreed that the decision would be made within the </w:t>
            </w:r>
            <w:proofErr w:type="spellStart"/>
            <w:r w:rsidRPr="009140DA">
              <w:rPr>
                <w:rFonts w:asciiTheme="minorHAnsi" w:hAnsiTheme="minorHAnsi" w:cstheme="minorHAnsi"/>
                <w:sz w:val="22"/>
                <w:szCs w:val="22"/>
              </w:rPr>
              <w:t>the</w:t>
            </w:r>
            <w:proofErr w:type="spellEnd"/>
            <w:r w:rsidRPr="009140DA">
              <w:rPr>
                <w:rFonts w:asciiTheme="minorHAnsi" w:hAnsiTheme="minorHAnsi" w:cstheme="minorHAnsi"/>
                <w:sz w:val="22"/>
                <w:szCs w:val="22"/>
              </w:rPr>
              <w:t xml:space="preserve"> centralized model by the authorization provider. This is also not consistent with other parts of the report, where we note on page 22 and 23 under Recommendation 6 " this confirmation could also be the responsibility of the central gateway manager if the manager is not the same entity as the authorization provider" (ALAC)</w:t>
            </w:r>
          </w:p>
        </w:tc>
        <w:tc>
          <w:tcPr>
            <w:tcW w:w="3422" w:type="dxa"/>
          </w:tcPr>
          <w:p w14:paraId="4E8E74A1" w14:textId="77777777" w:rsidR="00B6427C" w:rsidRPr="005B2D14" w:rsidRDefault="00B6427C" w:rsidP="009953C2">
            <w:pPr>
              <w:rPr>
                <w:rFonts w:asciiTheme="minorHAnsi" w:hAnsiTheme="minorHAnsi" w:cstheme="minorHAnsi"/>
                <w:sz w:val="22"/>
                <w:szCs w:val="22"/>
              </w:rPr>
            </w:pPr>
          </w:p>
        </w:tc>
      </w:tr>
      <w:tr w:rsidR="00C60B34" w:rsidRPr="005B2D14" w14:paraId="4051E5DA" w14:textId="77777777" w:rsidTr="00B6427C">
        <w:tc>
          <w:tcPr>
            <w:tcW w:w="641" w:type="dxa"/>
            <w:tcBorders>
              <w:bottom w:val="single" w:sz="4" w:space="0" w:color="auto"/>
            </w:tcBorders>
          </w:tcPr>
          <w:p w14:paraId="7B497219" w14:textId="170FEEEB" w:rsidR="009953C2" w:rsidRPr="005B2D14" w:rsidRDefault="009953C2" w:rsidP="009953C2">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tcPr>
          <w:p w14:paraId="4BAB1308" w14:textId="5BEC1D31"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9 (EPDP Team Approach)</w:t>
            </w:r>
          </w:p>
        </w:tc>
        <w:tc>
          <w:tcPr>
            <w:tcW w:w="3504" w:type="dxa"/>
            <w:tcBorders>
              <w:bottom w:val="single" w:sz="4" w:space="0" w:color="auto"/>
            </w:tcBorders>
          </w:tcPr>
          <w:p w14:paraId="7D05EDBF" w14:textId="66F866E8"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color w:val="000000"/>
                <w:sz w:val="22"/>
                <w:szCs w:val="22"/>
              </w:rPr>
              <w:t>The Centralized model may have variations with respect to how data is returned to the requestor. For example, the central gateway may return the data via its system, or, alternatively, the contracted party may return the data directly to the requestor following instruction from the authorization provider.</w:t>
            </w:r>
          </w:p>
        </w:tc>
        <w:tc>
          <w:tcPr>
            <w:tcW w:w="3657" w:type="dxa"/>
            <w:tcBorders>
              <w:bottom w:val="single" w:sz="4" w:space="0" w:color="auto"/>
            </w:tcBorders>
          </w:tcPr>
          <w:p w14:paraId="1DBF376F" w14:textId="3D107314" w:rsidR="009953C2"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I still do not recall ever discussing this or anyone proposing it. Raises issues regarding logs, does it not? (NCSG)</w:t>
            </w:r>
          </w:p>
          <w:p w14:paraId="3B1B9923" w14:textId="2CCEA982" w:rsidR="0069186A" w:rsidRDefault="0069186A" w:rsidP="009953C2">
            <w:pPr>
              <w:rPr>
                <w:rFonts w:asciiTheme="minorHAnsi" w:hAnsiTheme="minorHAnsi" w:cstheme="minorHAnsi"/>
                <w:sz w:val="22"/>
                <w:szCs w:val="22"/>
              </w:rPr>
            </w:pPr>
          </w:p>
          <w:p w14:paraId="677EC267" w14:textId="73524169" w:rsidR="009953C2" w:rsidRPr="005B2D14" w:rsidRDefault="0069186A" w:rsidP="009953C2">
            <w:pPr>
              <w:rPr>
                <w:rFonts w:asciiTheme="minorHAnsi" w:hAnsiTheme="minorHAnsi" w:cstheme="minorHAnsi"/>
                <w:sz w:val="22"/>
                <w:szCs w:val="22"/>
              </w:rPr>
            </w:pPr>
            <w:r w:rsidRPr="0069186A">
              <w:rPr>
                <w:rFonts w:asciiTheme="minorHAnsi" w:hAnsiTheme="minorHAnsi" w:cstheme="minorHAnsi"/>
                <w:sz w:val="22"/>
                <w:szCs w:val="22"/>
              </w:rPr>
              <w:t>Logging is addressed below in terms that apply regardless of which party discloses the data. I am confident that these details can be worked out as in the other models.</w:t>
            </w:r>
            <w:r>
              <w:rPr>
                <w:rFonts w:asciiTheme="minorHAnsi" w:hAnsiTheme="minorHAnsi" w:cstheme="minorHAnsi"/>
                <w:sz w:val="22"/>
                <w:szCs w:val="22"/>
              </w:rPr>
              <w:t xml:space="preserve"> (BC)</w:t>
            </w:r>
          </w:p>
        </w:tc>
        <w:tc>
          <w:tcPr>
            <w:tcW w:w="3422" w:type="dxa"/>
            <w:tcBorders>
              <w:bottom w:val="single" w:sz="4" w:space="0" w:color="auto"/>
            </w:tcBorders>
          </w:tcPr>
          <w:p w14:paraId="04F4D9BD" w14:textId="06AE8572" w:rsidR="009953C2" w:rsidRPr="005B2D14" w:rsidRDefault="009953C2" w:rsidP="009953C2">
            <w:pPr>
              <w:rPr>
                <w:rFonts w:asciiTheme="minorHAnsi" w:hAnsiTheme="minorHAnsi" w:cstheme="minorHAnsi"/>
                <w:sz w:val="22"/>
                <w:szCs w:val="22"/>
              </w:rPr>
            </w:pPr>
          </w:p>
        </w:tc>
      </w:tr>
      <w:tr w:rsidR="00C60B34" w:rsidRPr="005B2D14" w14:paraId="0E2005DD" w14:textId="77777777" w:rsidTr="00B6427C">
        <w:tc>
          <w:tcPr>
            <w:tcW w:w="641" w:type="dxa"/>
            <w:shd w:val="clear" w:color="auto" w:fill="70AD47" w:themeFill="accent6"/>
          </w:tcPr>
          <w:p w14:paraId="55E7B805" w14:textId="77777777" w:rsidR="00B6427C" w:rsidRPr="005B2D14" w:rsidRDefault="00B6427C" w:rsidP="009953C2">
            <w:pPr>
              <w:pStyle w:val="ListParagraph"/>
              <w:numPr>
                <w:ilvl w:val="0"/>
                <w:numId w:val="2"/>
              </w:numPr>
              <w:rPr>
                <w:rFonts w:asciiTheme="minorHAnsi" w:hAnsiTheme="minorHAnsi" w:cstheme="minorHAnsi"/>
                <w:sz w:val="22"/>
                <w:szCs w:val="22"/>
              </w:rPr>
            </w:pPr>
          </w:p>
        </w:tc>
        <w:tc>
          <w:tcPr>
            <w:tcW w:w="1726" w:type="dxa"/>
            <w:shd w:val="clear" w:color="auto" w:fill="70AD47" w:themeFill="accent6"/>
          </w:tcPr>
          <w:p w14:paraId="358B6B5D" w14:textId="3DD1C2D4" w:rsidR="00B6427C" w:rsidRPr="005B2D14" w:rsidRDefault="00B6427C" w:rsidP="009953C2">
            <w:pPr>
              <w:rPr>
                <w:rFonts w:asciiTheme="minorHAnsi" w:hAnsiTheme="minorHAnsi" w:cstheme="minorHAnsi"/>
                <w:sz w:val="22"/>
                <w:szCs w:val="22"/>
              </w:rPr>
            </w:pPr>
            <w:r>
              <w:rPr>
                <w:rFonts w:asciiTheme="minorHAnsi" w:hAnsiTheme="minorHAnsi" w:cstheme="minorHAnsi"/>
                <w:sz w:val="22"/>
                <w:szCs w:val="22"/>
              </w:rPr>
              <w:t>11 (Intro)</w:t>
            </w:r>
          </w:p>
        </w:tc>
        <w:tc>
          <w:tcPr>
            <w:tcW w:w="3504" w:type="dxa"/>
            <w:shd w:val="clear" w:color="auto" w:fill="70AD47" w:themeFill="accent6"/>
          </w:tcPr>
          <w:p w14:paraId="40A29691" w14:textId="3DAD5841" w:rsidR="00B6427C" w:rsidRPr="005B2D14" w:rsidRDefault="00B6427C" w:rsidP="009953C2">
            <w:pPr>
              <w:rPr>
                <w:rFonts w:asciiTheme="minorHAnsi" w:hAnsiTheme="minorHAnsi" w:cstheme="minorHAnsi"/>
                <w:color w:val="000000"/>
                <w:sz w:val="22"/>
                <w:szCs w:val="22"/>
              </w:rPr>
            </w:pPr>
            <w:r w:rsidRPr="00B6427C">
              <w:rPr>
                <w:rFonts w:asciiTheme="minorHAnsi" w:hAnsiTheme="minorHAnsi" w:cstheme="minorHAnsi"/>
                <w:color w:val="000000"/>
                <w:sz w:val="22"/>
                <w:szCs w:val="22"/>
              </w:rPr>
              <w:t xml:space="preserve">The EPDP Team will not finalize its responses to the charter questions and recommendations to the GNSO Council until it has conducted a thorough review of the comments received during the public comment period on this Initial Report. Additionally, if the EPDP receives further guidance from the European Data Protection Board (“EDPB”), the EPDP Team will consider this guidance in its Final Report. At the time of </w:t>
            </w:r>
            <w:r w:rsidRPr="00B6427C">
              <w:rPr>
                <w:rFonts w:asciiTheme="minorHAnsi" w:hAnsiTheme="minorHAnsi" w:cstheme="minorHAnsi"/>
                <w:color w:val="000000"/>
                <w:sz w:val="22"/>
                <w:szCs w:val="22"/>
              </w:rPr>
              <w:lastRenderedPageBreak/>
              <w:t xml:space="preserve">publication of this Report, no formal consensus call has been taken on these responses and preliminary recommendations; however, this Initial Report did receive the support of the EPDP Team for publication for public comment. Where applicable, differing positions have been reflected in the Report. </w:t>
            </w:r>
          </w:p>
        </w:tc>
        <w:tc>
          <w:tcPr>
            <w:tcW w:w="3657" w:type="dxa"/>
            <w:shd w:val="clear" w:color="auto" w:fill="70AD47" w:themeFill="accent6"/>
          </w:tcPr>
          <w:p w14:paraId="387712F7" w14:textId="4FEC510E" w:rsidR="00B6427C" w:rsidRPr="00B6427C" w:rsidRDefault="00B6427C" w:rsidP="009953C2">
            <w:r w:rsidRPr="00B6427C">
              <w:rPr>
                <w:rFonts w:asciiTheme="minorHAnsi" w:hAnsiTheme="minorHAnsi" w:cstheme="minorHAnsi"/>
                <w:sz w:val="22"/>
                <w:szCs w:val="22"/>
              </w:rPr>
              <w:lastRenderedPageBreak/>
              <w:t>The introductory paragraph suggests that the EPDP team might receive further guidance from the EDPB. In fact, the EDPB has never offered guidance to the EPDP team, but to ICANN.</w:t>
            </w:r>
            <w:r w:rsidR="0083432C">
              <w:rPr>
                <w:rFonts w:asciiTheme="minorHAnsi" w:hAnsiTheme="minorHAnsi" w:cstheme="minorHAnsi"/>
                <w:sz w:val="22"/>
                <w:szCs w:val="22"/>
              </w:rPr>
              <w:t xml:space="preserve"> (ISPCP)</w:t>
            </w:r>
          </w:p>
        </w:tc>
        <w:tc>
          <w:tcPr>
            <w:tcW w:w="3422" w:type="dxa"/>
            <w:shd w:val="clear" w:color="auto" w:fill="70AD47" w:themeFill="accent6"/>
          </w:tcPr>
          <w:p w14:paraId="4B1F62D9" w14:textId="7CD20D3B" w:rsidR="00B6427C" w:rsidRPr="005B2D14" w:rsidRDefault="00B6427C" w:rsidP="009953C2">
            <w:pPr>
              <w:rPr>
                <w:rFonts w:asciiTheme="minorHAnsi" w:hAnsiTheme="minorHAnsi" w:cstheme="minorHAnsi"/>
                <w:sz w:val="22"/>
                <w:szCs w:val="22"/>
              </w:rPr>
            </w:pPr>
            <w:r>
              <w:rPr>
                <w:rFonts w:asciiTheme="minorHAnsi" w:hAnsiTheme="minorHAnsi" w:cstheme="minorHAnsi"/>
                <w:sz w:val="22"/>
                <w:szCs w:val="22"/>
              </w:rPr>
              <w:t xml:space="preserve">Staff support team to update this section to reflect that ICANN Org may receive guidance that may help inform the EPDP Team’s deliberations. </w:t>
            </w:r>
          </w:p>
        </w:tc>
      </w:tr>
      <w:tr w:rsidR="00C60B34" w:rsidRPr="005B2D14" w14:paraId="3AA598D6" w14:textId="77777777" w:rsidTr="009953C2">
        <w:tc>
          <w:tcPr>
            <w:tcW w:w="641" w:type="dxa"/>
          </w:tcPr>
          <w:p w14:paraId="4CA31891" w14:textId="2C8A3DA7" w:rsidR="009953C2" w:rsidRPr="005B2D14" w:rsidRDefault="009953C2" w:rsidP="009953C2">
            <w:pPr>
              <w:pStyle w:val="ListParagraph"/>
              <w:numPr>
                <w:ilvl w:val="0"/>
                <w:numId w:val="2"/>
              </w:numPr>
              <w:rPr>
                <w:rFonts w:asciiTheme="minorHAnsi" w:hAnsiTheme="minorHAnsi" w:cstheme="minorHAnsi"/>
                <w:sz w:val="22"/>
                <w:szCs w:val="22"/>
              </w:rPr>
            </w:pPr>
          </w:p>
        </w:tc>
        <w:tc>
          <w:tcPr>
            <w:tcW w:w="1726" w:type="dxa"/>
          </w:tcPr>
          <w:p w14:paraId="27F24061" w14:textId="692AD703"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11 (</w:t>
            </w:r>
            <w:r>
              <w:rPr>
                <w:rFonts w:asciiTheme="minorHAnsi" w:hAnsiTheme="minorHAnsi" w:cstheme="minorHAnsi"/>
                <w:sz w:val="22"/>
                <w:szCs w:val="22"/>
              </w:rPr>
              <w:t>SSAD description</w:t>
            </w:r>
            <w:r w:rsidRPr="005B2D14">
              <w:rPr>
                <w:rFonts w:asciiTheme="minorHAnsi" w:hAnsiTheme="minorHAnsi" w:cstheme="minorHAnsi"/>
                <w:sz w:val="22"/>
                <w:szCs w:val="22"/>
              </w:rPr>
              <w:t>)</w:t>
            </w:r>
          </w:p>
        </w:tc>
        <w:tc>
          <w:tcPr>
            <w:tcW w:w="3504" w:type="dxa"/>
          </w:tcPr>
          <w:p w14:paraId="139C8A94" w14:textId="2848ACBB"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color w:val="000000"/>
                <w:sz w:val="22"/>
                <w:szCs w:val="22"/>
              </w:rPr>
              <w:t>Centralized model in which requests for access/disclosure are received through a central gateway, where the decision on whether to disclose data would be made by the entity responsible for managing the centralized gateway</w:t>
            </w:r>
          </w:p>
        </w:tc>
        <w:tc>
          <w:tcPr>
            <w:tcW w:w="3657" w:type="dxa"/>
          </w:tcPr>
          <w:p w14:paraId="709F860F" w14:textId="5A419689" w:rsidR="009953C2"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Is there a reason why we talk about "the entity" and not ICANN? Is there any other “entity” that would be able to do this?</w:t>
            </w:r>
            <w:r>
              <w:rPr>
                <w:rFonts w:asciiTheme="minorHAnsi" w:hAnsiTheme="minorHAnsi" w:cstheme="minorHAnsi"/>
                <w:sz w:val="22"/>
                <w:szCs w:val="22"/>
              </w:rPr>
              <w:t xml:space="preserve"> (NCSG)</w:t>
            </w:r>
          </w:p>
          <w:p w14:paraId="2138EEE5" w14:textId="20319AF7" w:rsidR="00EC293C" w:rsidRDefault="00EC293C" w:rsidP="009953C2">
            <w:pPr>
              <w:rPr>
                <w:rFonts w:asciiTheme="minorHAnsi" w:hAnsiTheme="minorHAnsi" w:cstheme="minorHAnsi"/>
                <w:sz w:val="22"/>
                <w:szCs w:val="22"/>
              </w:rPr>
            </w:pPr>
          </w:p>
          <w:p w14:paraId="2A12AC0E" w14:textId="4B8314D5" w:rsidR="00EC293C" w:rsidRDefault="00EC293C" w:rsidP="009953C2">
            <w:pPr>
              <w:rPr>
                <w:rFonts w:asciiTheme="minorHAnsi" w:hAnsiTheme="minorHAnsi" w:cstheme="minorHAnsi"/>
                <w:sz w:val="22"/>
                <w:szCs w:val="22"/>
              </w:rPr>
            </w:pPr>
            <w:r w:rsidRPr="00EC293C">
              <w:rPr>
                <w:rFonts w:asciiTheme="minorHAnsi" w:hAnsiTheme="minorHAnsi" w:cstheme="minorHAnsi"/>
                <w:sz w:val="22"/>
                <w:szCs w:val="22"/>
              </w:rPr>
              <w:t xml:space="preserve">Replace all </w:t>
            </w:r>
            <w:proofErr w:type="gramStart"/>
            <w:r w:rsidRPr="00EC293C">
              <w:rPr>
                <w:rFonts w:asciiTheme="minorHAnsi" w:hAnsiTheme="minorHAnsi" w:cstheme="minorHAnsi"/>
                <w:sz w:val="22"/>
                <w:szCs w:val="22"/>
              </w:rPr>
              <w:t>references  to</w:t>
            </w:r>
            <w:proofErr w:type="gramEnd"/>
            <w:r w:rsidRPr="00EC293C">
              <w:rPr>
                <w:rFonts w:asciiTheme="minorHAnsi" w:hAnsiTheme="minorHAnsi" w:cstheme="minorHAnsi"/>
                <w:sz w:val="22"/>
                <w:szCs w:val="22"/>
              </w:rPr>
              <w:t xml:space="preserve"> "entity responsible" with "ICANN or its designee"</w:t>
            </w:r>
            <w:r>
              <w:rPr>
                <w:rFonts w:asciiTheme="minorHAnsi" w:hAnsiTheme="minorHAnsi" w:cstheme="minorHAnsi"/>
                <w:sz w:val="22"/>
                <w:szCs w:val="22"/>
              </w:rPr>
              <w:t xml:space="preserve"> (BC)</w:t>
            </w:r>
          </w:p>
          <w:p w14:paraId="7EC30312" w14:textId="1A59C59F" w:rsidR="00EC293C" w:rsidRDefault="00EC293C" w:rsidP="009953C2">
            <w:pPr>
              <w:rPr>
                <w:rFonts w:asciiTheme="minorHAnsi" w:hAnsiTheme="minorHAnsi" w:cstheme="minorHAnsi"/>
                <w:sz w:val="22"/>
                <w:szCs w:val="22"/>
              </w:rPr>
            </w:pPr>
          </w:p>
          <w:p w14:paraId="777D1239" w14:textId="6C8B5EF7" w:rsidR="009953C2" w:rsidRPr="005B2D14" w:rsidRDefault="00EC293C" w:rsidP="009953C2">
            <w:pPr>
              <w:rPr>
                <w:rFonts w:asciiTheme="minorHAnsi" w:hAnsiTheme="minorHAnsi" w:cstheme="minorHAnsi"/>
                <w:sz w:val="22"/>
                <w:szCs w:val="22"/>
              </w:rPr>
            </w:pPr>
            <w:r w:rsidRPr="00EC293C">
              <w:rPr>
                <w:rFonts w:asciiTheme="minorHAnsi" w:hAnsiTheme="minorHAnsi" w:cstheme="minorHAnsi"/>
                <w:sz w:val="22"/>
                <w:szCs w:val="22"/>
              </w:rPr>
              <w:t>I’d see this as “ICANN or its designee” (IPC)</w:t>
            </w:r>
          </w:p>
        </w:tc>
        <w:tc>
          <w:tcPr>
            <w:tcW w:w="3422" w:type="dxa"/>
          </w:tcPr>
          <w:p w14:paraId="14311955" w14:textId="77777777" w:rsidR="009953C2" w:rsidRPr="005B2D14" w:rsidRDefault="009953C2" w:rsidP="009953C2">
            <w:pPr>
              <w:rPr>
                <w:rFonts w:asciiTheme="minorHAnsi" w:hAnsiTheme="minorHAnsi" w:cstheme="minorHAnsi"/>
                <w:sz w:val="22"/>
                <w:szCs w:val="22"/>
              </w:rPr>
            </w:pPr>
          </w:p>
        </w:tc>
      </w:tr>
      <w:tr w:rsidR="00C60B34" w:rsidRPr="005B2D14" w14:paraId="51B14D1E" w14:textId="77777777" w:rsidTr="009953C2">
        <w:tc>
          <w:tcPr>
            <w:tcW w:w="641" w:type="dxa"/>
          </w:tcPr>
          <w:p w14:paraId="6FEEAA74" w14:textId="560E542D" w:rsidR="009953C2" w:rsidRPr="005B2D14" w:rsidRDefault="009953C2" w:rsidP="009953C2">
            <w:pPr>
              <w:pStyle w:val="ListParagraph"/>
              <w:numPr>
                <w:ilvl w:val="0"/>
                <w:numId w:val="2"/>
              </w:numPr>
              <w:rPr>
                <w:rFonts w:asciiTheme="minorHAnsi" w:hAnsiTheme="minorHAnsi" w:cstheme="minorHAnsi"/>
                <w:sz w:val="22"/>
                <w:szCs w:val="22"/>
              </w:rPr>
            </w:pPr>
            <w:r w:rsidRPr="005B2D14">
              <w:rPr>
                <w:rFonts w:asciiTheme="minorHAnsi" w:hAnsiTheme="minorHAnsi" w:cstheme="minorHAnsi"/>
                <w:sz w:val="22"/>
                <w:szCs w:val="22"/>
              </w:rPr>
              <w:t xml:space="preserve"> </w:t>
            </w:r>
          </w:p>
        </w:tc>
        <w:tc>
          <w:tcPr>
            <w:tcW w:w="1726" w:type="dxa"/>
          </w:tcPr>
          <w:p w14:paraId="320E0F24" w14:textId="7B842568"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12 (Graphics)</w:t>
            </w:r>
          </w:p>
        </w:tc>
        <w:tc>
          <w:tcPr>
            <w:tcW w:w="3504" w:type="dxa"/>
          </w:tcPr>
          <w:p w14:paraId="60679A3D" w14:textId="35CBF9A8" w:rsidR="009953C2" w:rsidRPr="005B2D14" w:rsidRDefault="009953C2" w:rsidP="009953C2">
            <w:pPr>
              <w:rPr>
                <w:rFonts w:asciiTheme="minorHAnsi" w:hAnsiTheme="minorHAnsi" w:cstheme="minorHAnsi"/>
                <w:color w:val="000000"/>
                <w:sz w:val="22"/>
                <w:szCs w:val="22"/>
              </w:rPr>
            </w:pPr>
            <w:r w:rsidRPr="005B2D14">
              <w:rPr>
                <w:rFonts w:asciiTheme="minorHAnsi" w:hAnsiTheme="minorHAnsi" w:cstheme="minorHAnsi"/>
                <w:color w:val="000000"/>
                <w:sz w:val="22"/>
                <w:szCs w:val="22"/>
              </w:rPr>
              <w:t>See graphics</w:t>
            </w:r>
          </w:p>
        </w:tc>
        <w:tc>
          <w:tcPr>
            <w:tcW w:w="3657" w:type="dxa"/>
          </w:tcPr>
          <w:p w14:paraId="0194FEEA" w14:textId="7F7648F0" w:rsidR="009953C2" w:rsidRPr="005B2D14"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 xml:space="preserve">The org has some questions and comments for the team's consideration as it further develops these graphics: </w:t>
            </w:r>
            <w:r w:rsidRPr="005B2D14">
              <w:rPr>
                <w:rFonts w:asciiTheme="minorHAnsi" w:hAnsiTheme="minorHAnsi" w:cstheme="minorHAnsi"/>
                <w:sz w:val="22"/>
                <w:szCs w:val="22"/>
              </w:rPr>
              <w:br/>
              <w:t xml:space="preserve">* It may be helpful to separate authentication from accreditation, as accreditation is possible after a user has been authenticated. </w:t>
            </w:r>
            <w:r w:rsidRPr="005B2D14">
              <w:rPr>
                <w:rFonts w:asciiTheme="minorHAnsi" w:hAnsiTheme="minorHAnsi" w:cstheme="minorHAnsi"/>
                <w:sz w:val="22"/>
                <w:szCs w:val="22"/>
              </w:rPr>
              <w:br/>
              <w:t xml:space="preserve">* There is an appeal process indicated in all three. The team has not discussed this in much detail. Can the team provide more clarity on this point? How would these be handled? </w:t>
            </w:r>
            <w:r w:rsidRPr="005B2D14">
              <w:rPr>
                <w:rFonts w:asciiTheme="minorHAnsi" w:hAnsiTheme="minorHAnsi" w:cstheme="minorHAnsi"/>
                <w:sz w:val="22"/>
                <w:szCs w:val="22"/>
              </w:rPr>
              <w:lastRenderedPageBreak/>
              <w:t xml:space="preserve">What are the criteria? Who handles the costs? </w:t>
            </w:r>
            <w:r w:rsidRPr="005B2D14">
              <w:rPr>
                <w:rFonts w:asciiTheme="minorHAnsi" w:hAnsiTheme="minorHAnsi" w:cstheme="minorHAnsi"/>
                <w:sz w:val="22"/>
                <w:szCs w:val="22"/>
              </w:rPr>
              <w:br/>
              <w:t>* There is also a complaint process noted in the chart. Similar to the questions above, can the team provide clarity on the details here?</w:t>
            </w:r>
            <w:r w:rsidRPr="005B2D14">
              <w:rPr>
                <w:rFonts w:asciiTheme="minorHAnsi" w:hAnsiTheme="minorHAnsi" w:cstheme="minorHAnsi"/>
                <w:sz w:val="22"/>
                <w:szCs w:val="22"/>
              </w:rPr>
              <w:br/>
              <w:t>* The block that indicates whether a request is approved may be clearer if stated as a user is authenticated, as the request is not yet approved until the query has been authorized.</w:t>
            </w:r>
            <w:r w:rsidRPr="005B2D14">
              <w:rPr>
                <w:rFonts w:asciiTheme="minorHAnsi" w:hAnsiTheme="minorHAnsi" w:cstheme="minorHAnsi"/>
                <w:sz w:val="22"/>
                <w:szCs w:val="22"/>
              </w:rPr>
              <w:br/>
              <w:t>* The box named “process request” seems unnecessary, the next step in processing after the request is acknowledged should be the authorization.</w:t>
            </w:r>
            <w:r w:rsidRPr="005B2D14">
              <w:rPr>
                <w:rFonts w:asciiTheme="minorHAnsi" w:hAnsiTheme="minorHAnsi" w:cstheme="minorHAnsi"/>
                <w:sz w:val="22"/>
                <w:szCs w:val="22"/>
              </w:rPr>
              <w:br/>
              <w:t>* The contracted party responses are depicted in the design with multiple cards. Can the team explain the intent here? Does it mean there could be multiple responses to a single query?</w:t>
            </w:r>
            <w:r>
              <w:rPr>
                <w:rFonts w:asciiTheme="minorHAnsi" w:hAnsiTheme="minorHAnsi" w:cstheme="minorHAnsi"/>
                <w:sz w:val="22"/>
                <w:szCs w:val="22"/>
              </w:rPr>
              <w:t xml:space="preserve"> (ICANN Org Liaisons)</w:t>
            </w:r>
          </w:p>
        </w:tc>
        <w:tc>
          <w:tcPr>
            <w:tcW w:w="3422" w:type="dxa"/>
          </w:tcPr>
          <w:p w14:paraId="4C0407F0" w14:textId="77777777" w:rsidR="009953C2" w:rsidRPr="005B2D14" w:rsidRDefault="009953C2" w:rsidP="009953C2">
            <w:pPr>
              <w:rPr>
                <w:rFonts w:asciiTheme="minorHAnsi" w:hAnsiTheme="minorHAnsi" w:cstheme="minorHAnsi"/>
                <w:sz w:val="22"/>
                <w:szCs w:val="22"/>
              </w:rPr>
            </w:pPr>
          </w:p>
        </w:tc>
      </w:tr>
      <w:tr w:rsidR="00C60B34" w:rsidRPr="005B2D14" w14:paraId="68E85C72" w14:textId="77777777" w:rsidTr="009953C2">
        <w:tc>
          <w:tcPr>
            <w:tcW w:w="641" w:type="dxa"/>
          </w:tcPr>
          <w:p w14:paraId="322970CB" w14:textId="75787E66" w:rsidR="009953C2" w:rsidRPr="005B2D14" w:rsidRDefault="009953C2" w:rsidP="009953C2">
            <w:pPr>
              <w:pStyle w:val="ListParagraph"/>
              <w:numPr>
                <w:ilvl w:val="0"/>
                <w:numId w:val="2"/>
              </w:numPr>
              <w:rPr>
                <w:rFonts w:asciiTheme="minorHAnsi" w:hAnsiTheme="minorHAnsi" w:cstheme="minorHAnsi"/>
                <w:sz w:val="22"/>
                <w:szCs w:val="22"/>
              </w:rPr>
            </w:pPr>
          </w:p>
        </w:tc>
        <w:tc>
          <w:tcPr>
            <w:tcW w:w="1726" w:type="dxa"/>
          </w:tcPr>
          <w:p w14:paraId="7AD8DAE8" w14:textId="2F3D81EF" w:rsidR="009953C2" w:rsidRPr="005B2D14" w:rsidRDefault="009953C2" w:rsidP="009953C2">
            <w:pPr>
              <w:rPr>
                <w:rFonts w:asciiTheme="minorHAnsi" w:hAnsiTheme="minorHAnsi" w:cstheme="minorHAnsi"/>
                <w:sz w:val="22"/>
                <w:szCs w:val="22"/>
              </w:rPr>
            </w:pPr>
            <w:r>
              <w:rPr>
                <w:rFonts w:asciiTheme="minorHAnsi" w:hAnsiTheme="minorHAnsi" w:cstheme="minorHAnsi"/>
                <w:sz w:val="22"/>
                <w:szCs w:val="22"/>
              </w:rPr>
              <w:t>12 (Graphics)</w:t>
            </w:r>
          </w:p>
        </w:tc>
        <w:tc>
          <w:tcPr>
            <w:tcW w:w="3504" w:type="dxa"/>
          </w:tcPr>
          <w:p w14:paraId="6C52FB34" w14:textId="31F7B696" w:rsidR="009953C2" w:rsidRPr="005B2D14" w:rsidRDefault="009953C2" w:rsidP="009953C2">
            <w:pPr>
              <w:rPr>
                <w:rFonts w:asciiTheme="minorHAnsi" w:hAnsiTheme="minorHAnsi" w:cstheme="minorHAnsi"/>
                <w:color w:val="000000"/>
                <w:sz w:val="22"/>
                <w:szCs w:val="22"/>
              </w:rPr>
            </w:pPr>
            <w:r>
              <w:rPr>
                <w:rFonts w:asciiTheme="minorHAnsi" w:hAnsiTheme="minorHAnsi" w:cstheme="minorHAnsi"/>
                <w:color w:val="000000"/>
                <w:sz w:val="22"/>
                <w:szCs w:val="22"/>
              </w:rPr>
              <w:t>Model 1 graphics</w:t>
            </w:r>
          </w:p>
        </w:tc>
        <w:tc>
          <w:tcPr>
            <w:tcW w:w="3657" w:type="dxa"/>
          </w:tcPr>
          <w:p w14:paraId="6B13E863" w14:textId="77777777" w:rsidR="009953C2" w:rsidRDefault="009953C2" w:rsidP="009953C2">
            <w:pPr>
              <w:rPr>
                <w:rFonts w:asciiTheme="minorHAnsi" w:hAnsiTheme="minorHAnsi" w:cstheme="minorHAnsi"/>
                <w:sz w:val="22"/>
                <w:szCs w:val="22"/>
              </w:rPr>
            </w:pPr>
            <w:r w:rsidRPr="005B2D14">
              <w:rPr>
                <w:rFonts w:asciiTheme="minorHAnsi" w:hAnsiTheme="minorHAnsi" w:cstheme="minorHAnsi"/>
                <w:sz w:val="22"/>
                <w:szCs w:val="22"/>
              </w:rPr>
              <w:t xml:space="preserve">Some more comments/questions related to model 1: </w:t>
            </w:r>
            <w:r w:rsidRPr="005B2D14">
              <w:rPr>
                <w:rFonts w:asciiTheme="minorHAnsi" w:hAnsiTheme="minorHAnsi" w:cstheme="minorHAnsi"/>
                <w:sz w:val="22"/>
                <w:szCs w:val="22"/>
              </w:rPr>
              <w:br/>
              <w:t xml:space="preserve">* In the steps for executing the query and assembling the response to the requestor, the EPDP may want to indicate if the query to the contracted parties is going to be for the full data and then the SSAD will return to the requestor the subset that corresponds to the appropriate level of authorization , or if the query to the contracted party is going to ask for </w:t>
            </w:r>
            <w:r w:rsidRPr="005B2D14">
              <w:rPr>
                <w:rFonts w:asciiTheme="minorHAnsi" w:hAnsiTheme="minorHAnsi" w:cstheme="minorHAnsi"/>
                <w:sz w:val="22"/>
                <w:szCs w:val="22"/>
              </w:rPr>
              <w:lastRenderedPageBreak/>
              <w:t>the specific subset the requestor is authorized to access.</w:t>
            </w:r>
            <w:r w:rsidRPr="005B2D14">
              <w:rPr>
                <w:rFonts w:asciiTheme="minorHAnsi" w:hAnsiTheme="minorHAnsi" w:cstheme="minorHAnsi"/>
                <w:sz w:val="22"/>
                <w:szCs w:val="22"/>
              </w:rPr>
              <w:br/>
              <w:t xml:space="preserve">* In the step where the contracted parties generate the response, the diagram design depicts multiple responses. It’s unclear what that means. Can the team </w:t>
            </w:r>
            <w:proofErr w:type="gramStart"/>
            <w:r w:rsidRPr="005B2D14">
              <w:rPr>
                <w:rFonts w:asciiTheme="minorHAnsi" w:hAnsiTheme="minorHAnsi" w:cstheme="minorHAnsi"/>
                <w:sz w:val="22"/>
                <w:szCs w:val="22"/>
              </w:rPr>
              <w:t>clarify?.</w:t>
            </w:r>
            <w:proofErr w:type="gramEnd"/>
            <w:r w:rsidRPr="005B2D14">
              <w:rPr>
                <w:rFonts w:asciiTheme="minorHAnsi" w:hAnsiTheme="minorHAnsi" w:cstheme="minorHAnsi"/>
                <w:sz w:val="22"/>
                <w:szCs w:val="22"/>
              </w:rPr>
              <w:t xml:space="preserve"> (ICANN Org Liaisons)</w:t>
            </w:r>
          </w:p>
          <w:p w14:paraId="6DA1A5A2" w14:textId="77777777" w:rsidR="00EC293C" w:rsidRDefault="00EC293C" w:rsidP="009953C2">
            <w:pPr>
              <w:rPr>
                <w:rFonts w:asciiTheme="minorHAnsi" w:hAnsiTheme="minorHAnsi" w:cstheme="minorHAnsi"/>
                <w:sz w:val="22"/>
                <w:szCs w:val="22"/>
              </w:rPr>
            </w:pPr>
          </w:p>
          <w:p w14:paraId="467BDCB9" w14:textId="0EF72D30" w:rsidR="00EC293C" w:rsidRPr="005B2D14" w:rsidRDefault="00EC293C" w:rsidP="009953C2">
            <w:pPr>
              <w:rPr>
                <w:rFonts w:asciiTheme="minorHAnsi" w:hAnsiTheme="minorHAnsi" w:cstheme="minorHAnsi"/>
                <w:sz w:val="22"/>
                <w:szCs w:val="22"/>
              </w:rPr>
            </w:pPr>
            <w:r w:rsidRPr="00EC293C">
              <w:rPr>
                <w:rFonts w:asciiTheme="minorHAnsi" w:hAnsiTheme="minorHAnsi" w:cstheme="minorHAnsi"/>
                <w:sz w:val="22"/>
                <w:szCs w:val="22"/>
              </w:rPr>
              <w:t>There are 2 "Submit request" boxes in the Model 1 demand side swimlane.  These should be replaces with "Submit request(s)".  Likewise revise "Generate  Response" and other singulars --&gt; plurals. Perhaps Eleeza's "multiple responses" comment is related to this ambiguity?</w:t>
            </w:r>
            <w:r>
              <w:rPr>
                <w:rFonts w:asciiTheme="minorHAnsi" w:hAnsiTheme="minorHAnsi" w:cstheme="minorHAnsi"/>
                <w:sz w:val="22"/>
                <w:szCs w:val="22"/>
              </w:rPr>
              <w:t xml:space="preserve"> (BC)</w:t>
            </w:r>
          </w:p>
        </w:tc>
        <w:tc>
          <w:tcPr>
            <w:tcW w:w="3422" w:type="dxa"/>
          </w:tcPr>
          <w:p w14:paraId="18CF6F2A" w14:textId="77777777" w:rsidR="009953C2" w:rsidRPr="005B2D14" w:rsidRDefault="009953C2" w:rsidP="009953C2">
            <w:pPr>
              <w:rPr>
                <w:rFonts w:asciiTheme="minorHAnsi" w:hAnsiTheme="minorHAnsi" w:cstheme="minorHAnsi"/>
                <w:sz w:val="22"/>
                <w:szCs w:val="22"/>
              </w:rPr>
            </w:pPr>
          </w:p>
        </w:tc>
      </w:tr>
      <w:tr w:rsidR="00C60B34" w:rsidRPr="005B2D14" w14:paraId="3797A81B" w14:textId="77777777" w:rsidTr="009953C2">
        <w:tc>
          <w:tcPr>
            <w:tcW w:w="641" w:type="dxa"/>
            <w:tcBorders>
              <w:bottom w:val="single" w:sz="4" w:space="0" w:color="auto"/>
            </w:tcBorders>
          </w:tcPr>
          <w:p w14:paraId="47BD3EC2" w14:textId="39150AC0" w:rsidR="009953C2" w:rsidRDefault="009953C2" w:rsidP="009953C2">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tcPr>
          <w:p w14:paraId="421D746A" w14:textId="19C0625A" w:rsidR="009953C2" w:rsidRDefault="009953C2" w:rsidP="009953C2">
            <w:pPr>
              <w:rPr>
                <w:rFonts w:asciiTheme="minorHAnsi" w:hAnsiTheme="minorHAnsi" w:cstheme="minorHAnsi"/>
                <w:sz w:val="22"/>
                <w:szCs w:val="22"/>
              </w:rPr>
            </w:pPr>
            <w:r>
              <w:rPr>
                <w:rFonts w:asciiTheme="minorHAnsi" w:hAnsiTheme="minorHAnsi" w:cstheme="minorHAnsi"/>
                <w:sz w:val="22"/>
                <w:szCs w:val="22"/>
              </w:rPr>
              <w:t>13 (Graphics)</w:t>
            </w:r>
          </w:p>
        </w:tc>
        <w:tc>
          <w:tcPr>
            <w:tcW w:w="3504" w:type="dxa"/>
            <w:tcBorders>
              <w:bottom w:val="single" w:sz="4" w:space="0" w:color="auto"/>
            </w:tcBorders>
          </w:tcPr>
          <w:p w14:paraId="7F07DB79" w14:textId="277C9DAD" w:rsidR="009953C2" w:rsidRDefault="009953C2" w:rsidP="009953C2">
            <w:pPr>
              <w:rPr>
                <w:rFonts w:asciiTheme="minorHAnsi" w:hAnsiTheme="minorHAnsi" w:cstheme="minorHAnsi"/>
                <w:color w:val="000000"/>
                <w:sz w:val="22"/>
                <w:szCs w:val="22"/>
              </w:rPr>
            </w:pPr>
            <w:r>
              <w:rPr>
                <w:rFonts w:asciiTheme="minorHAnsi" w:hAnsiTheme="minorHAnsi" w:cstheme="minorHAnsi"/>
                <w:color w:val="000000"/>
                <w:sz w:val="22"/>
                <w:szCs w:val="22"/>
              </w:rPr>
              <w:t>Model 2 graphics</w:t>
            </w:r>
          </w:p>
        </w:tc>
        <w:tc>
          <w:tcPr>
            <w:tcW w:w="3657" w:type="dxa"/>
            <w:tcBorders>
              <w:bottom w:val="single" w:sz="4" w:space="0" w:color="auto"/>
            </w:tcBorders>
          </w:tcPr>
          <w:p w14:paraId="6B7BB068" w14:textId="6D85F547" w:rsidR="009953C2" w:rsidRPr="005B2D14" w:rsidRDefault="009953C2" w:rsidP="009953C2">
            <w:r w:rsidRPr="005B2D14">
              <w:rPr>
                <w:rFonts w:asciiTheme="minorHAnsi" w:hAnsiTheme="minorHAnsi" w:cstheme="minorHAnsi"/>
                <w:sz w:val="22"/>
                <w:szCs w:val="22"/>
              </w:rPr>
              <w:t xml:space="preserve">One question and comment that applies to both Model 2 and 3: The box “execute RDS query” seems unnecessary in these models since the contacted party is the </w:t>
            </w:r>
            <w:proofErr w:type="gramStart"/>
            <w:r w:rsidRPr="005B2D14">
              <w:rPr>
                <w:rFonts w:asciiTheme="minorHAnsi" w:hAnsiTheme="minorHAnsi" w:cstheme="minorHAnsi"/>
                <w:sz w:val="22"/>
                <w:szCs w:val="22"/>
              </w:rPr>
              <w:t>authorized</w:t>
            </w:r>
            <w:proofErr w:type="gramEnd"/>
            <w:r w:rsidRPr="005B2D14">
              <w:rPr>
                <w:rFonts w:asciiTheme="minorHAnsi" w:hAnsiTheme="minorHAnsi" w:cstheme="minorHAnsi"/>
                <w:sz w:val="22"/>
                <w:szCs w:val="22"/>
              </w:rPr>
              <w:t xml:space="preserve"> they could simply proceed to generate the response from their internal systems, the RDS wouldn’t need to be involved. (ICANN Org Liaisons)</w:t>
            </w:r>
          </w:p>
        </w:tc>
        <w:tc>
          <w:tcPr>
            <w:tcW w:w="3422" w:type="dxa"/>
            <w:tcBorders>
              <w:bottom w:val="single" w:sz="4" w:space="0" w:color="auto"/>
            </w:tcBorders>
          </w:tcPr>
          <w:p w14:paraId="032B84F0" w14:textId="77777777" w:rsidR="009953C2" w:rsidRPr="005B2D14" w:rsidRDefault="009953C2" w:rsidP="009953C2">
            <w:pPr>
              <w:rPr>
                <w:rFonts w:asciiTheme="minorHAnsi" w:hAnsiTheme="minorHAnsi" w:cstheme="minorHAnsi"/>
                <w:sz w:val="22"/>
                <w:szCs w:val="22"/>
              </w:rPr>
            </w:pPr>
          </w:p>
        </w:tc>
      </w:tr>
      <w:tr w:rsidR="00C60B34" w:rsidRPr="005B2D14" w14:paraId="2FB4ADB2" w14:textId="77777777" w:rsidTr="009953C2">
        <w:tc>
          <w:tcPr>
            <w:tcW w:w="641" w:type="dxa"/>
            <w:tcBorders>
              <w:bottom w:val="single" w:sz="4" w:space="0" w:color="auto"/>
            </w:tcBorders>
            <w:shd w:val="clear" w:color="auto" w:fill="70AD47" w:themeFill="accent6"/>
          </w:tcPr>
          <w:p w14:paraId="4DD671B4" w14:textId="72AA286A" w:rsidR="009953C2" w:rsidRDefault="009953C2" w:rsidP="009953C2">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 </w:t>
            </w:r>
          </w:p>
        </w:tc>
        <w:tc>
          <w:tcPr>
            <w:tcW w:w="1726" w:type="dxa"/>
            <w:tcBorders>
              <w:bottom w:val="single" w:sz="4" w:space="0" w:color="auto"/>
            </w:tcBorders>
            <w:shd w:val="clear" w:color="auto" w:fill="70AD47" w:themeFill="accent6"/>
          </w:tcPr>
          <w:p w14:paraId="36D4D777" w14:textId="678765DC" w:rsidR="009953C2" w:rsidRDefault="009953C2" w:rsidP="009953C2">
            <w:pPr>
              <w:rPr>
                <w:rFonts w:asciiTheme="minorHAnsi" w:hAnsiTheme="minorHAnsi" w:cstheme="minorHAnsi"/>
                <w:sz w:val="22"/>
                <w:szCs w:val="22"/>
              </w:rPr>
            </w:pPr>
            <w:r>
              <w:rPr>
                <w:rFonts w:asciiTheme="minorHAnsi" w:hAnsiTheme="minorHAnsi" w:cstheme="minorHAnsi"/>
                <w:sz w:val="22"/>
                <w:szCs w:val="22"/>
              </w:rPr>
              <w:t>14</w:t>
            </w:r>
          </w:p>
        </w:tc>
        <w:tc>
          <w:tcPr>
            <w:tcW w:w="3504" w:type="dxa"/>
            <w:tcBorders>
              <w:bottom w:val="single" w:sz="4" w:space="0" w:color="auto"/>
            </w:tcBorders>
            <w:shd w:val="clear" w:color="auto" w:fill="70AD47" w:themeFill="accent6"/>
          </w:tcPr>
          <w:p w14:paraId="1E5AB83D" w14:textId="298CE5C2" w:rsidR="009953C2" w:rsidRPr="005B2D14" w:rsidRDefault="009953C2" w:rsidP="009953C2">
            <w:pPr>
              <w:rPr>
                <w:sz w:val="22"/>
                <w:szCs w:val="22"/>
              </w:rPr>
            </w:pPr>
            <w:r w:rsidRPr="005B2D14">
              <w:rPr>
                <w:rFonts w:ascii="Calibri" w:hAnsi="Calibri" w:cs="Calibri"/>
                <w:color w:val="000000"/>
                <w:sz w:val="22"/>
                <w:szCs w:val="22"/>
              </w:rPr>
              <w:t xml:space="preserve">As of this Report’s publication, the EPDP Team has not yet decided </w:t>
            </w:r>
            <w:r w:rsidRPr="005B2D14">
              <w:rPr>
                <w:rFonts w:ascii="Calibri" w:hAnsi="Calibri" w:cs="Calibri"/>
                <w:i/>
                <w:iCs/>
                <w:color w:val="000000"/>
                <w:sz w:val="22"/>
                <w:szCs w:val="22"/>
              </w:rPr>
              <w:t>on a conclusive model</w:t>
            </w:r>
            <w:r w:rsidRPr="005B2D14">
              <w:rPr>
                <w:rFonts w:ascii="Calibri" w:hAnsi="Calibri" w:cs="Calibri"/>
                <w:color w:val="000000"/>
                <w:sz w:val="22"/>
                <w:szCs w:val="22"/>
              </w:rPr>
              <w:t>.</w:t>
            </w:r>
          </w:p>
        </w:tc>
        <w:tc>
          <w:tcPr>
            <w:tcW w:w="3657" w:type="dxa"/>
            <w:tcBorders>
              <w:bottom w:val="single" w:sz="4" w:space="0" w:color="auto"/>
            </w:tcBorders>
            <w:shd w:val="clear" w:color="auto" w:fill="70AD47" w:themeFill="accent6"/>
          </w:tcPr>
          <w:p w14:paraId="6EB34FB4" w14:textId="0161CD8D" w:rsidR="009953C2" w:rsidRPr="005B2D14" w:rsidRDefault="009953C2" w:rsidP="009953C2">
            <w:pPr>
              <w:rPr>
                <w:rFonts w:ascii="Calibri" w:hAnsi="Calibri" w:cs="Calibri"/>
                <w:color w:val="000000"/>
                <w:sz w:val="22"/>
                <w:szCs w:val="22"/>
              </w:rPr>
            </w:pPr>
            <w:r>
              <w:rPr>
                <w:rFonts w:ascii="Calibri" w:hAnsi="Calibri" w:cs="Calibri"/>
                <w:color w:val="000000"/>
                <w:sz w:val="22"/>
                <w:szCs w:val="22"/>
              </w:rPr>
              <w:t>R</w:t>
            </w:r>
            <w:r w:rsidRPr="005B2D14">
              <w:rPr>
                <w:rFonts w:ascii="Calibri" w:hAnsi="Calibri" w:cs="Calibri"/>
                <w:color w:val="000000"/>
                <w:sz w:val="22"/>
                <w:szCs w:val="22"/>
              </w:rPr>
              <w:t>eplace with "which model it prefers. (NCSG)</w:t>
            </w:r>
          </w:p>
          <w:p w14:paraId="195AC4FE" w14:textId="77777777" w:rsidR="009953C2" w:rsidRPr="005B2D14" w:rsidRDefault="009953C2" w:rsidP="009953C2">
            <w:pPr>
              <w:rPr>
                <w:rFonts w:asciiTheme="minorHAnsi" w:hAnsiTheme="minorHAnsi" w:cstheme="minorHAnsi"/>
                <w:sz w:val="22"/>
                <w:szCs w:val="22"/>
              </w:rPr>
            </w:pPr>
          </w:p>
        </w:tc>
        <w:tc>
          <w:tcPr>
            <w:tcW w:w="3422" w:type="dxa"/>
            <w:tcBorders>
              <w:bottom w:val="single" w:sz="4" w:space="0" w:color="auto"/>
            </w:tcBorders>
            <w:shd w:val="clear" w:color="auto" w:fill="70AD47" w:themeFill="accent6"/>
          </w:tcPr>
          <w:p w14:paraId="4A440D07" w14:textId="21C3E6A6" w:rsidR="009953C2" w:rsidRPr="005B2D14" w:rsidRDefault="009953C2" w:rsidP="009953C2">
            <w:pPr>
              <w:rPr>
                <w:rFonts w:asciiTheme="minorHAnsi" w:hAnsiTheme="minorHAnsi" w:cstheme="minorHAnsi"/>
                <w:sz w:val="22"/>
                <w:szCs w:val="22"/>
              </w:rPr>
            </w:pPr>
            <w:r>
              <w:rPr>
                <w:rFonts w:asciiTheme="minorHAnsi" w:hAnsiTheme="minorHAnsi" w:cstheme="minorHAnsi"/>
                <w:sz w:val="22"/>
                <w:szCs w:val="22"/>
              </w:rPr>
              <w:t>Staff support team to make proposed update</w:t>
            </w:r>
          </w:p>
        </w:tc>
      </w:tr>
      <w:tr w:rsidR="00C60B34" w:rsidRPr="005B2D14" w14:paraId="5CF71183" w14:textId="77777777" w:rsidTr="00B6427C">
        <w:tc>
          <w:tcPr>
            <w:tcW w:w="641" w:type="dxa"/>
            <w:tcBorders>
              <w:bottom w:val="single" w:sz="4" w:space="0" w:color="auto"/>
            </w:tcBorders>
            <w:shd w:val="clear" w:color="auto" w:fill="auto"/>
          </w:tcPr>
          <w:p w14:paraId="484A524F" w14:textId="60C96D01" w:rsidR="009953C2" w:rsidRDefault="009953C2" w:rsidP="009953C2">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shd w:val="clear" w:color="auto" w:fill="auto"/>
          </w:tcPr>
          <w:p w14:paraId="6644869A" w14:textId="1FFB46AB" w:rsidR="009953C2" w:rsidRDefault="009953C2" w:rsidP="009953C2">
            <w:pPr>
              <w:rPr>
                <w:rFonts w:asciiTheme="minorHAnsi" w:hAnsiTheme="minorHAnsi" w:cstheme="minorHAnsi"/>
                <w:sz w:val="22"/>
                <w:szCs w:val="22"/>
              </w:rPr>
            </w:pPr>
            <w:r>
              <w:rPr>
                <w:rFonts w:asciiTheme="minorHAnsi" w:hAnsiTheme="minorHAnsi" w:cstheme="minorHAnsi"/>
                <w:sz w:val="22"/>
                <w:szCs w:val="22"/>
              </w:rPr>
              <w:t>14 (SSAD description)</w:t>
            </w:r>
          </w:p>
        </w:tc>
        <w:tc>
          <w:tcPr>
            <w:tcW w:w="3504" w:type="dxa"/>
            <w:tcBorders>
              <w:bottom w:val="single" w:sz="4" w:space="0" w:color="auto"/>
            </w:tcBorders>
            <w:shd w:val="clear" w:color="auto" w:fill="auto"/>
          </w:tcPr>
          <w:p w14:paraId="6DEC9CFB" w14:textId="2E3EBC7B" w:rsidR="009953C2" w:rsidRPr="005B2D14" w:rsidRDefault="009953C2" w:rsidP="009953C2">
            <w:pPr>
              <w:rPr>
                <w:sz w:val="22"/>
                <w:szCs w:val="22"/>
              </w:rPr>
            </w:pPr>
            <w:r w:rsidRPr="005B2D14">
              <w:rPr>
                <w:rFonts w:ascii="Calibri" w:hAnsi="Calibri" w:cs="Calibri"/>
                <w:color w:val="000000"/>
                <w:sz w:val="22"/>
                <w:szCs w:val="22"/>
              </w:rPr>
              <w:t xml:space="preserve">Some members advocate for ICANN to take on this role, while others prefer Contracted Parties to remain responsible for making this determination. Some members of </w:t>
            </w:r>
            <w:r w:rsidRPr="005B2D14">
              <w:rPr>
                <w:rFonts w:ascii="Calibri" w:hAnsi="Calibri" w:cs="Calibri"/>
                <w:color w:val="000000"/>
                <w:sz w:val="22"/>
                <w:szCs w:val="22"/>
              </w:rPr>
              <w:lastRenderedPageBreak/>
              <w:t>the EPDP Team are of the view that a centralized model will result in increased uniformity and predictability, while a decentralized model will likely result in increased inconsistency and decreased predictability. Nevertheless,</w:t>
            </w:r>
          </w:p>
        </w:tc>
        <w:tc>
          <w:tcPr>
            <w:tcW w:w="3657" w:type="dxa"/>
            <w:tcBorders>
              <w:bottom w:val="single" w:sz="4" w:space="0" w:color="auto"/>
            </w:tcBorders>
            <w:shd w:val="clear" w:color="auto" w:fill="auto"/>
          </w:tcPr>
          <w:p w14:paraId="0617A72D" w14:textId="617FCF86" w:rsidR="009953C2" w:rsidRDefault="009953C2" w:rsidP="009953C2">
            <w:pPr>
              <w:rPr>
                <w:rFonts w:ascii="Calibri" w:hAnsi="Calibri" w:cs="Calibri"/>
                <w:color w:val="000000"/>
                <w:sz w:val="22"/>
                <w:szCs w:val="22"/>
              </w:rPr>
            </w:pPr>
            <w:r w:rsidRPr="005B2D14">
              <w:rPr>
                <w:rFonts w:ascii="Calibri" w:hAnsi="Calibri" w:cs="Calibri"/>
                <w:color w:val="000000"/>
                <w:sz w:val="22"/>
                <w:szCs w:val="22"/>
              </w:rPr>
              <w:lastRenderedPageBreak/>
              <w:t>We need either to delete this or to replace it with a more detailed and balanced discussion of the merits and de-merits of the three models.</w:t>
            </w:r>
            <w:r>
              <w:rPr>
                <w:rFonts w:ascii="Calibri" w:hAnsi="Calibri" w:cs="Calibri"/>
                <w:color w:val="000000"/>
                <w:sz w:val="22"/>
                <w:szCs w:val="22"/>
              </w:rPr>
              <w:t xml:space="preserve"> (NCSG)</w:t>
            </w:r>
          </w:p>
          <w:p w14:paraId="7F492DA7" w14:textId="3569680A" w:rsidR="009140DA" w:rsidRDefault="009140DA" w:rsidP="009953C2">
            <w:pPr>
              <w:rPr>
                <w:rFonts w:ascii="Calibri" w:hAnsi="Calibri" w:cs="Calibri"/>
                <w:color w:val="000000"/>
                <w:sz w:val="22"/>
                <w:szCs w:val="22"/>
              </w:rPr>
            </w:pPr>
          </w:p>
          <w:p w14:paraId="5C577C51" w14:textId="77777777" w:rsidR="009140DA" w:rsidRPr="009140DA" w:rsidRDefault="009140DA" w:rsidP="009140DA">
            <w:pPr>
              <w:rPr>
                <w:rFonts w:ascii="Calibri" w:hAnsi="Calibri" w:cs="Calibri"/>
                <w:color w:val="000000"/>
                <w:sz w:val="22"/>
                <w:szCs w:val="22"/>
              </w:rPr>
            </w:pPr>
            <w:r w:rsidRPr="009140DA">
              <w:rPr>
                <w:rFonts w:ascii="Calibri" w:hAnsi="Calibri" w:cs="Calibri"/>
                <w:color w:val="000000"/>
                <w:sz w:val="22"/>
                <w:szCs w:val="22"/>
              </w:rPr>
              <w:lastRenderedPageBreak/>
              <w:t xml:space="preserve">according to the models we have been discussing the disagreement is mainly about whether the contracted parties should be the decision makers or an authorization provider (which would be one of the elements of the central gateway) should be the decision maker. But I don't recall that we actually discussed who this authorization provider would be, the authorization provider could be ICANN or any other entity. In the reply of ICANN org to the letter sent by the EPDP team in relation to the responsibilities that ICANN is willing to take, they indicated they are willing to take the role of the gateway operator. However according to the assumed </w:t>
            </w:r>
            <w:proofErr w:type="gramStart"/>
            <w:r w:rsidRPr="009140DA">
              <w:rPr>
                <w:rFonts w:ascii="Calibri" w:hAnsi="Calibri" w:cs="Calibri"/>
                <w:color w:val="000000"/>
                <w:sz w:val="22"/>
                <w:szCs w:val="22"/>
              </w:rPr>
              <w:t>model</w:t>
            </w:r>
            <w:proofErr w:type="gramEnd"/>
            <w:r w:rsidRPr="009140DA">
              <w:rPr>
                <w:rFonts w:ascii="Calibri" w:hAnsi="Calibri" w:cs="Calibri"/>
                <w:color w:val="000000"/>
                <w:sz w:val="22"/>
                <w:szCs w:val="22"/>
              </w:rPr>
              <w:t xml:space="preserve"> the gateway operator doesn't make the decision but the authorization provider does. My point here is that we never concluded who the authorization provider is. </w:t>
            </w:r>
            <w:proofErr w:type="gramStart"/>
            <w:r w:rsidRPr="009140DA">
              <w:rPr>
                <w:rFonts w:ascii="Calibri" w:hAnsi="Calibri" w:cs="Calibri"/>
                <w:color w:val="000000"/>
                <w:sz w:val="22"/>
                <w:szCs w:val="22"/>
              </w:rPr>
              <w:t>Therefore</w:t>
            </w:r>
            <w:proofErr w:type="gramEnd"/>
            <w:r w:rsidRPr="009140DA">
              <w:rPr>
                <w:rFonts w:ascii="Calibri" w:hAnsi="Calibri" w:cs="Calibri"/>
                <w:color w:val="000000"/>
                <w:sz w:val="22"/>
                <w:szCs w:val="22"/>
              </w:rPr>
              <w:t xml:space="preserve"> I would suggest replacing ICANN with an authorization provider and explaining what we mean by this</w:t>
            </w:r>
          </w:p>
          <w:p w14:paraId="294F3DA0" w14:textId="1D7FF0C8" w:rsidR="009953C2" w:rsidRDefault="009140DA" w:rsidP="009953C2">
            <w:pPr>
              <w:rPr>
                <w:rFonts w:ascii="Calibri" w:hAnsi="Calibri" w:cs="Calibri"/>
                <w:color w:val="000000"/>
                <w:sz w:val="22"/>
                <w:szCs w:val="22"/>
              </w:rPr>
            </w:pPr>
            <w:r>
              <w:rPr>
                <w:rFonts w:ascii="Calibri" w:hAnsi="Calibri" w:cs="Calibri"/>
                <w:color w:val="000000"/>
                <w:sz w:val="22"/>
                <w:szCs w:val="22"/>
              </w:rPr>
              <w:t xml:space="preserve">(ALAC). </w:t>
            </w:r>
          </w:p>
        </w:tc>
        <w:tc>
          <w:tcPr>
            <w:tcW w:w="3422" w:type="dxa"/>
            <w:tcBorders>
              <w:bottom w:val="single" w:sz="4" w:space="0" w:color="auto"/>
            </w:tcBorders>
            <w:shd w:val="clear" w:color="auto" w:fill="auto"/>
          </w:tcPr>
          <w:p w14:paraId="5FFBE117" w14:textId="77777777" w:rsidR="009953C2" w:rsidRDefault="009953C2" w:rsidP="009953C2">
            <w:pPr>
              <w:rPr>
                <w:rFonts w:asciiTheme="minorHAnsi" w:hAnsiTheme="minorHAnsi" w:cstheme="minorHAnsi"/>
                <w:sz w:val="22"/>
                <w:szCs w:val="22"/>
              </w:rPr>
            </w:pPr>
          </w:p>
        </w:tc>
      </w:tr>
      <w:tr w:rsidR="00C60B34" w:rsidRPr="005B2D14" w14:paraId="7B134477" w14:textId="77777777" w:rsidTr="00B6427C">
        <w:tc>
          <w:tcPr>
            <w:tcW w:w="641" w:type="dxa"/>
            <w:tcBorders>
              <w:bottom w:val="single" w:sz="4" w:space="0" w:color="auto"/>
            </w:tcBorders>
            <w:shd w:val="clear" w:color="auto" w:fill="70AD47" w:themeFill="accent6"/>
          </w:tcPr>
          <w:p w14:paraId="14095177" w14:textId="77777777" w:rsidR="00B6427C" w:rsidRDefault="00B6427C" w:rsidP="009953C2">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shd w:val="clear" w:color="auto" w:fill="70AD47" w:themeFill="accent6"/>
          </w:tcPr>
          <w:p w14:paraId="44870B96" w14:textId="07370D57" w:rsidR="00B6427C" w:rsidRDefault="00B6427C" w:rsidP="009953C2">
            <w:pPr>
              <w:rPr>
                <w:rFonts w:asciiTheme="minorHAnsi" w:hAnsiTheme="minorHAnsi" w:cstheme="minorHAnsi"/>
                <w:sz w:val="22"/>
                <w:szCs w:val="22"/>
              </w:rPr>
            </w:pPr>
            <w:r>
              <w:rPr>
                <w:rFonts w:asciiTheme="minorHAnsi" w:hAnsiTheme="minorHAnsi" w:cstheme="minorHAnsi"/>
                <w:sz w:val="22"/>
                <w:szCs w:val="22"/>
              </w:rPr>
              <w:t>16-21 (Accreditation)</w:t>
            </w:r>
          </w:p>
        </w:tc>
        <w:tc>
          <w:tcPr>
            <w:tcW w:w="3504" w:type="dxa"/>
            <w:tcBorders>
              <w:bottom w:val="single" w:sz="4" w:space="0" w:color="auto"/>
            </w:tcBorders>
            <w:shd w:val="clear" w:color="auto" w:fill="70AD47" w:themeFill="accent6"/>
          </w:tcPr>
          <w:p w14:paraId="0BD4582B" w14:textId="77777777" w:rsidR="00B6427C" w:rsidRPr="005B2D14" w:rsidRDefault="00B6427C" w:rsidP="009953C2">
            <w:pPr>
              <w:rPr>
                <w:rFonts w:ascii="Calibri" w:hAnsi="Calibri" w:cs="Calibri"/>
                <w:color w:val="000000"/>
                <w:sz w:val="22"/>
                <w:szCs w:val="22"/>
              </w:rPr>
            </w:pPr>
          </w:p>
        </w:tc>
        <w:tc>
          <w:tcPr>
            <w:tcW w:w="3657" w:type="dxa"/>
            <w:tcBorders>
              <w:bottom w:val="single" w:sz="4" w:space="0" w:color="auto"/>
            </w:tcBorders>
            <w:shd w:val="clear" w:color="auto" w:fill="70AD47" w:themeFill="accent6"/>
          </w:tcPr>
          <w:p w14:paraId="6C471D2B" w14:textId="134E2C05" w:rsidR="00B6427C" w:rsidRPr="00B6427C" w:rsidRDefault="00B6427C" w:rsidP="009953C2">
            <w:r w:rsidRPr="00B6427C">
              <w:rPr>
                <w:rFonts w:ascii="Calibri" w:hAnsi="Calibri" w:cs="Calibri"/>
                <w:color w:val="000000"/>
                <w:sz w:val="22"/>
                <w:szCs w:val="22"/>
              </w:rPr>
              <w:t>The section after the definitions has headings in between paragraphs. These headings are not always matching the content of the following paragraphs and are at times</w:t>
            </w:r>
            <w:r>
              <w:rPr>
                <w:rFonts w:ascii="Calibri" w:hAnsi="Calibri" w:cs="Calibri"/>
                <w:color w:val="000000"/>
                <w:sz w:val="22"/>
                <w:szCs w:val="22"/>
              </w:rPr>
              <w:t xml:space="preserve"> </w:t>
            </w:r>
            <w:r w:rsidRPr="00B6427C">
              <w:rPr>
                <w:rFonts w:ascii="Calibri" w:hAnsi="Calibri" w:cs="Calibri"/>
                <w:color w:val="000000"/>
                <w:sz w:val="22"/>
                <w:szCs w:val="22"/>
              </w:rPr>
              <w:t xml:space="preserve">misleading. We suggest </w:t>
            </w:r>
            <w:proofErr w:type="gramStart"/>
            <w:r w:rsidRPr="00B6427C">
              <w:rPr>
                <w:rFonts w:ascii="Calibri" w:hAnsi="Calibri" w:cs="Calibri"/>
                <w:color w:val="000000"/>
                <w:sz w:val="22"/>
                <w:szCs w:val="22"/>
              </w:rPr>
              <w:t>to delete</w:t>
            </w:r>
            <w:proofErr w:type="gramEnd"/>
            <w:r w:rsidRPr="00B6427C">
              <w:rPr>
                <w:rFonts w:ascii="Calibri" w:hAnsi="Calibri" w:cs="Calibri"/>
                <w:color w:val="000000"/>
                <w:sz w:val="22"/>
                <w:szCs w:val="22"/>
              </w:rPr>
              <w:t xml:space="preserve"> the headings</w:t>
            </w:r>
            <w:r w:rsidRPr="00B6427C">
              <w:rPr>
                <w:rFonts w:asciiTheme="minorHAnsi" w:hAnsiTheme="minorHAnsi" w:cstheme="minorHAnsi"/>
                <w:color w:val="000000"/>
                <w:sz w:val="22"/>
                <w:szCs w:val="22"/>
              </w:rPr>
              <w:t>.</w:t>
            </w:r>
            <w:r w:rsidRPr="00B6427C">
              <w:rPr>
                <w:rFonts w:asciiTheme="minorHAnsi" w:hAnsiTheme="minorHAnsi" w:cstheme="minorHAnsi"/>
                <w:sz w:val="22"/>
                <w:szCs w:val="22"/>
              </w:rPr>
              <w:t xml:space="preserve"> (ISPCP)</w:t>
            </w:r>
          </w:p>
        </w:tc>
        <w:tc>
          <w:tcPr>
            <w:tcW w:w="3422" w:type="dxa"/>
            <w:tcBorders>
              <w:bottom w:val="single" w:sz="4" w:space="0" w:color="auto"/>
            </w:tcBorders>
            <w:shd w:val="clear" w:color="auto" w:fill="70AD47" w:themeFill="accent6"/>
          </w:tcPr>
          <w:p w14:paraId="7F36F99F" w14:textId="5BA480DD" w:rsidR="00B6427C" w:rsidRDefault="00B6427C" w:rsidP="009953C2">
            <w:pPr>
              <w:rPr>
                <w:rFonts w:asciiTheme="minorHAnsi" w:hAnsiTheme="minorHAnsi" w:cstheme="minorHAnsi"/>
                <w:sz w:val="22"/>
                <w:szCs w:val="22"/>
              </w:rPr>
            </w:pPr>
            <w:r>
              <w:rPr>
                <w:rFonts w:asciiTheme="minorHAnsi" w:hAnsiTheme="minorHAnsi" w:cstheme="minorHAnsi"/>
                <w:sz w:val="22"/>
                <w:szCs w:val="22"/>
              </w:rPr>
              <w:t xml:space="preserve">Staff support team to review issue with headings and address accordingly. </w:t>
            </w:r>
          </w:p>
        </w:tc>
      </w:tr>
      <w:tr w:rsidR="00C60B34" w:rsidRPr="005B2D14" w14:paraId="1E6F1256" w14:textId="77777777" w:rsidTr="009953C2">
        <w:tc>
          <w:tcPr>
            <w:tcW w:w="641" w:type="dxa"/>
            <w:tcBorders>
              <w:bottom w:val="single" w:sz="4" w:space="0" w:color="auto"/>
            </w:tcBorders>
            <w:shd w:val="clear" w:color="auto" w:fill="70AD47" w:themeFill="accent6"/>
          </w:tcPr>
          <w:p w14:paraId="3F8A047F" w14:textId="036E7A39" w:rsidR="009953C2" w:rsidRDefault="009953C2" w:rsidP="009953C2">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shd w:val="clear" w:color="auto" w:fill="70AD47" w:themeFill="accent6"/>
          </w:tcPr>
          <w:p w14:paraId="2CDB5A2C" w14:textId="4B3A27AC" w:rsidR="009953C2" w:rsidRDefault="009953C2" w:rsidP="009953C2">
            <w:pPr>
              <w:rPr>
                <w:rFonts w:asciiTheme="minorHAnsi" w:hAnsiTheme="minorHAnsi" w:cstheme="minorHAnsi"/>
                <w:sz w:val="22"/>
                <w:szCs w:val="22"/>
              </w:rPr>
            </w:pPr>
            <w:r>
              <w:rPr>
                <w:rFonts w:asciiTheme="minorHAnsi" w:hAnsiTheme="minorHAnsi" w:cstheme="minorHAnsi"/>
                <w:sz w:val="22"/>
                <w:szCs w:val="22"/>
              </w:rPr>
              <w:t>16 (Underlying Assumptions)</w:t>
            </w:r>
          </w:p>
        </w:tc>
        <w:tc>
          <w:tcPr>
            <w:tcW w:w="3504" w:type="dxa"/>
            <w:tcBorders>
              <w:bottom w:val="single" w:sz="4" w:space="0" w:color="auto"/>
            </w:tcBorders>
            <w:shd w:val="clear" w:color="auto" w:fill="70AD47" w:themeFill="accent6"/>
          </w:tcPr>
          <w:p w14:paraId="761F223F" w14:textId="78DCB5DE" w:rsidR="009953C2" w:rsidRPr="005B2D14" w:rsidRDefault="009953C2" w:rsidP="009953C2">
            <w:r w:rsidRPr="005B2D14">
              <w:rPr>
                <w:rFonts w:ascii="Calibri" w:hAnsi="Calibri" w:cs="Calibri"/>
                <w:color w:val="000000"/>
                <w:sz w:val="22"/>
                <w:szCs w:val="22"/>
              </w:rPr>
              <w:t>The objective of the SSAD is to provide a predictable, transparent and accountable mechanism for the access/disclosure of non-public registration data.</w:t>
            </w:r>
          </w:p>
        </w:tc>
        <w:tc>
          <w:tcPr>
            <w:tcW w:w="3657" w:type="dxa"/>
            <w:tcBorders>
              <w:bottom w:val="single" w:sz="4" w:space="0" w:color="auto"/>
            </w:tcBorders>
            <w:shd w:val="clear" w:color="auto" w:fill="70AD47" w:themeFill="accent6"/>
          </w:tcPr>
          <w:p w14:paraId="1CB2A32E" w14:textId="5898FDB3" w:rsidR="009953C2" w:rsidRPr="0010612F" w:rsidRDefault="009953C2" w:rsidP="009953C2">
            <w:pPr>
              <w:rPr>
                <w:rFonts w:ascii="Calibri" w:hAnsi="Calibri" w:cs="Calibri"/>
                <w:color w:val="000000"/>
                <w:sz w:val="22"/>
                <w:szCs w:val="22"/>
              </w:rPr>
            </w:pPr>
            <w:r w:rsidRPr="0010612F">
              <w:rPr>
                <w:rFonts w:ascii="Calibri" w:hAnsi="Calibri" w:cs="Calibri"/>
                <w:color w:val="000000"/>
                <w:sz w:val="22"/>
                <w:szCs w:val="22"/>
              </w:rPr>
              <w:t>add "efficient" to the list of adjectives</w:t>
            </w:r>
            <w:r>
              <w:rPr>
                <w:rFonts w:ascii="Calibri" w:hAnsi="Calibri" w:cs="Calibri"/>
                <w:color w:val="000000"/>
                <w:sz w:val="22"/>
                <w:szCs w:val="22"/>
              </w:rPr>
              <w:t xml:space="preserve"> (NCSG)</w:t>
            </w:r>
          </w:p>
          <w:p w14:paraId="7E41E490" w14:textId="77777777" w:rsidR="009953C2" w:rsidRDefault="009953C2" w:rsidP="009953C2">
            <w:pPr>
              <w:rPr>
                <w:rFonts w:ascii="Calibri" w:hAnsi="Calibri" w:cs="Calibri"/>
                <w:color w:val="000000"/>
                <w:sz w:val="22"/>
                <w:szCs w:val="22"/>
              </w:rPr>
            </w:pPr>
          </w:p>
          <w:p w14:paraId="2371CA0B" w14:textId="38BC5E35" w:rsidR="009140DA" w:rsidRPr="005B2D14" w:rsidRDefault="009140DA" w:rsidP="009953C2">
            <w:pPr>
              <w:rPr>
                <w:rFonts w:ascii="Calibri" w:hAnsi="Calibri" w:cs="Calibri"/>
                <w:color w:val="000000"/>
                <w:sz w:val="22"/>
                <w:szCs w:val="22"/>
              </w:rPr>
            </w:pPr>
            <w:r>
              <w:rPr>
                <w:rFonts w:ascii="Calibri" w:hAnsi="Calibri" w:cs="Calibri"/>
                <w:color w:val="000000"/>
                <w:sz w:val="22"/>
                <w:szCs w:val="22"/>
              </w:rPr>
              <w:t>+1 (ALAC)</w:t>
            </w:r>
          </w:p>
        </w:tc>
        <w:tc>
          <w:tcPr>
            <w:tcW w:w="3422" w:type="dxa"/>
            <w:tcBorders>
              <w:bottom w:val="single" w:sz="4" w:space="0" w:color="auto"/>
            </w:tcBorders>
            <w:shd w:val="clear" w:color="auto" w:fill="70AD47" w:themeFill="accent6"/>
          </w:tcPr>
          <w:p w14:paraId="5F60C4E9" w14:textId="232F4A00" w:rsidR="009953C2" w:rsidRDefault="009953C2" w:rsidP="009953C2">
            <w:pPr>
              <w:rPr>
                <w:rFonts w:asciiTheme="minorHAnsi" w:hAnsiTheme="minorHAnsi" w:cstheme="minorHAnsi"/>
                <w:sz w:val="22"/>
                <w:szCs w:val="22"/>
              </w:rPr>
            </w:pPr>
            <w:r>
              <w:rPr>
                <w:rFonts w:asciiTheme="minorHAnsi" w:hAnsiTheme="minorHAnsi" w:cstheme="minorHAnsi"/>
                <w:sz w:val="22"/>
                <w:szCs w:val="22"/>
              </w:rPr>
              <w:t>Staff support team to make proposed update</w:t>
            </w:r>
          </w:p>
        </w:tc>
      </w:tr>
      <w:tr w:rsidR="00C60B34" w:rsidRPr="005B2D14" w14:paraId="3412370F" w14:textId="77777777" w:rsidTr="009953C2">
        <w:tc>
          <w:tcPr>
            <w:tcW w:w="641" w:type="dxa"/>
            <w:tcBorders>
              <w:bottom w:val="single" w:sz="4" w:space="0" w:color="auto"/>
            </w:tcBorders>
            <w:shd w:val="clear" w:color="auto" w:fill="70AD47" w:themeFill="accent6"/>
          </w:tcPr>
          <w:p w14:paraId="3E29148B" w14:textId="5E520104" w:rsidR="009953C2" w:rsidRDefault="009953C2" w:rsidP="009953C2">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shd w:val="clear" w:color="auto" w:fill="70AD47" w:themeFill="accent6"/>
          </w:tcPr>
          <w:p w14:paraId="4905F841" w14:textId="72A0A30B" w:rsidR="009953C2" w:rsidRDefault="009953C2" w:rsidP="009953C2">
            <w:pPr>
              <w:rPr>
                <w:rFonts w:asciiTheme="minorHAnsi" w:hAnsiTheme="minorHAnsi" w:cstheme="minorHAnsi"/>
                <w:sz w:val="22"/>
                <w:szCs w:val="22"/>
              </w:rPr>
            </w:pPr>
            <w:r>
              <w:rPr>
                <w:rFonts w:asciiTheme="minorHAnsi" w:hAnsiTheme="minorHAnsi" w:cstheme="minorHAnsi"/>
                <w:sz w:val="22"/>
                <w:szCs w:val="22"/>
              </w:rPr>
              <w:t>16 (Underlying Assumptions)</w:t>
            </w:r>
          </w:p>
        </w:tc>
        <w:tc>
          <w:tcPr>
            <w:tcW w:w="3504" w:type="dxa"/>
            <w:tcBorders>
              <w:bottom w:val="single" w:sz="4" w:space="0" w:color="auto"/>
            </w:tcBorders>
            <w:shd w:val="clear" w:color="auto" w:fill="70AD47" w:themeFill="accent6"/>
          </w:tcPr>
          <w:p w14:paraId="0511B4B4" w14:textId="179BCF1D" w:rsidR="009953C2" w:rsidRPr="0010612F" w:rsidRDefault="009953C2" w:rsidP="009953C2">
            <w:pPr>
              <w:rPr>
                <w:sz w:val="22"/>
                <w:szCs w:val="22"/>
              </w:rPr>
            </w:pPr>
            <w:r w:rsidRPr="0010612F">
              <w:rPr>
                <w:rFonts w:ascii="Calibri" w:hAnsi="Calibri" w:cs="Calibri"/>
                <w:color w:val="000000"/>
                <w:sz w:val="22"/>
                <w:szCs w:val="22"/>
              </w:rPr>
              <w:t>Compliance with the GDPR and other applicable data protection legislations for all parties involved underpins the SSAD.</w:t>
            </w:r>
          </w:p>
        </w:tc>
        <w:tc>
          <w:tcPr>
            <w:tcW w:w="3657" w:type="dxa"/>
            <w:tcBorders>
              <w:bottom w:val="single" w:sz="4" w:space="0" w:color="auto"/>
            </w:tcBorders>
            <w:shd w:val="clear" w:color="auto" w:fill="70AD47" w:themeFill="accent6"/>
          </w:tcPr>
          <w:p w14:paraId="134DFDC3" w14:textId="1717D1AA" w:rsidR="009953C2" w:rsidRPr="0010612F" w:rsidRDefault="009953C2" w:rsidP="009953C2">
            <w:pPr>
              <w:rPr>
                <w:rFonts w:asciiTheme="minorHAnsi" w:hAnsiTheme="minorHAnsi" w:cstheme="minorHAnsi"/>
                <w:sz w:val="22"/>
                <w:szCs w:val="22"/>
              </w:rPr>
            </w:pPr>
            <w:r w:rsidRPr="0010612F">
              <w:rPr>
                <w:rFonts w:asciiTheme="minorHAnsi" w:hAnsiTheme="minorHAnsi" w:cstheme="minorHAnsi"/>
                <w:sz w:val="22"/>
                <w:szCs w:val="22"/>
              </w:rPr>
              <w:t xml:space="preserve">Wording needs to be clearer and stronger. Replace with: </w:t>
            </w:r>
            <w:r w:rsidRPr="0010612F">
              <w:rPr>
                <w:rFonts w:asciiTheme="minorHAnsi" w:hAnsiTheme="minorHAnsi" w:cstheme="minorHAnsi"/>
                <w:sz w:val="22"/>
                <w:szCs w:val="22"/>
              </w:rPr>
              <w:br/>
            </w:r>
            <w:r w:rsidRPr="0010612F">
              <w:rPr>
                <w:rFonts w:asciiTheme="minorHAnsi" w:hAnsiTheme="minorHAnsi" w:cstheme="minorHAnsi"/>
                <w:sz w:val="22"/>
                <w:szCs w:val="22"/>
              </w:rPr>
              <w:br/>
              <w:t>"The SSAD must be compliant with the GDPR and other applicable data protection laws for all parties." (NCSG)</w:t>
            </w:r>
          </w:p>
        </w:tc>
        <w:tc>
          <w:tcPr>
            <w:tcW w:w="3422" w:type="dxa"/>
            <w:tcBorders>
              <w:bottom w:val="single" w:sz="4" w:space="0" w:color="auto"/>
            </w:tcBorders>
            <w:shd w:val="clear" w:color="auto" w:fill="70AD47" w:themeFill="accent6"/>
          </w:tcPr>
          <w:p w14:paraId="320CE74D" w14:textId="4A852BBE" w:rsidR="009953C2" w:rsidRDefault="009953C2" w:rsidP="009953C2">
            <w:pPr>
              <w:rPr>
                <w:rFonts w:asciiTheme="minorHAnsi" w:hAnsiTheme="minorHAnsi" w:cstheme="minorHAnsi"/>
                <w:sz w:val="22"/>
                <w:szCs w:val="22"/>
              </w:rPr>
            </w:pPr>
            <w:r>
              <w:rPr>
                <w:rFonts w:asciiTheme="minorHAnsi" w:hAnsiTheme="minorHAnsi" w:cstheme="minorHAnsi"/>
                <w:sz w:val="22"/>
                <w:szCs w:val="22"/>
              </w:rPr>
              <w:t>Staff support team to make proposed update</w:t>
            </w:r>
          </w:p>
        </w:tc>
      </w:tr>
      <w:tr w:rsidR="00C60B34" w:rsidRPr="005B2D14" w14:paraId="251446B8" w14:textId="77777777" w:rsidTr="009953C2">
        <w:tc>
          <w:tcPr>
            <w:tcW w:w="641" w:type="dxa"/>
            <w:shd w:val="clear" w:color="auto" w:fill="70AD47" w:themeFill="accent6"/>
          </w:tcPr>
          <w:p w14:paraId="2315CBB5" w14:textId="4C1879C4" w:rsidR="009953C2"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70AD47" w:themeFill="accent6"/>
          </w:tcPr>
          <w:p w14:paraId="1634AEA1" w14:textId="41489E28" w:rsidR="009953C2" w:rsidRDefault="009953C2" w:rsidP="009953C2">
            <w:pPr>
              <w:rPr>
                <w:rFonts w:asciiTheme="minorHAnsi" w:hAnsiTheme="minorHAnsi" w:cstheme="minorHAnsi"/>
                <w:sz w:val="22"/>
                <w:szCs w:val="22"/>
              </w:rPr>
            </w:pPr>
            <w:r>
              <w:rPr>
                <w:rFonts w:asciiTheme="minorHAnsi" w:hAnsiTheme="minorHAnsi" w:cstheme="minorHAnsi"/>
                <w:sz w:val="22"/>
                <w:szCs w:val="22"/>
              </w:rPr>
              <w:t>16 (Underlying Assumptions)</w:t>
            </w:r>
          </w:p>
        </w:tc>
        <w:tc>
          <w:tcPr>
            <w:tcW w:w="3504" w:type="dxa"/>
            <w:shd w:val="clear" w:color="auto" w:fill="70AD47" w:themeFill="accent6"/>
          </w:tcPr>
          <w:p w14:paraId="7E1C2216" w14:textId="19E8342F" w:rsidR="009953C2" w:rsidRPr="00154D87" w:rsidRDefault="009953C2" w:rsidP="009953C2">
            <w:pPr>
              <w:rPr>
                <w:i/>
                <w:iCs/>
                <w:sz w:val="22"/>
                <w:szCs w:val="22"/>
              </w:rPr>
            </w:pPr>
            <w:r w:rsidRPr="00154D87">
              <w:rPr>
                <w:rFonts w:ascii="Calibri" w:hAnsi="Calibri" w:cs="Calibri"/>
                <w:color w:val="000000"/>
                <w:sz w:val="22"/>
                <w:szCs w:val="22"/>
              </w:rPr>
              <w:t xml:space="preserve">The mechanism chosen to </w:t>
            </w:r>
            <w:r w:rsidRPr="003215F7">
              <w:rPr>
                <w:rFonts w:ascii="Calibri" w:hAnsi="Calibri" w:cs="Calibri"/>
                <w:i/>
                <w:iCs/>
                <w:color w:val="000000"/>
                <w:sz w:val="22"/>
                <w:szCs w:val="22"/>
              </w:rPr>
              <w:t>ultimately implement the SSAD must have the ability</w:t>
            </w:r>
            <w:r w:rsidRPr="00154D87">
              <w:rPr>
                <w:rFonts w:ascii="Calibri" w:hAnsi="Calibri" w:cs="Calibri"/>
                <w:i/>
                <w:iCs/>
                <w:color w:val="000000"/>
                <w:sz w:val="22"/>
                <w:szCs w:val="22"/>
              </w:rPr>
              <w:t xml:space="preserve"> </w:t>
            </w:r>
            <w:r w:rsidRPr="003215F7">
              <w:rPr>
                <w:rFonts w:ascii="Calibri" w:hAnsi="Calibri" w:cs="Calibri"/>
                <w:color w:val="000000"/>
                <w:sz w:val="22"/>
                <w:szCs w:val="22"/>
              </w:rPr>
              <w:t>to adhere to these policy principles and recommendations</w:t>
            </w:r>
          </w:p>
        </w:tc>
        <w:tc>
          <w:tcPr>
            <w:tcW w:w="3657" w:type="dxa"/>
            <w:shd w:val="clear" w:color="auto" w:fill="70AD47" w:themeFill="accent6"/>
          </w:tcPr>
          <w:p w14:paraId="1854B0C3" w14:textId="1ACDC082" w:rsidR="009953C2" w:rsidRPr="003215F7" w:rsidRDefault="009953C2" w:rsidP="009953C2">
            <w:r w:rsidRPr="003215F7">
              <w:rPr>
                <w:rFonts w:ascii="Calibri" w:hAnsi="Calibri" w:cs="Calibri"/>
                <w:color w:val="000000"/>
                <w:sz w:val="22"/>
                <w:szCs w:val="22"/>
              </w:rPr>
              <w:t xml:space="preserve">Replace with </w:t>
            </w:r>
            <w:r w:rsidRPr="003215F7">
              <w:rPr>
                <w:rFonts w:ascii="Calibri" w:hAnsi="Calibri" w:cs="Calibri"/>
                <w:color w:val="000000"/>
                <w:sz w:val="22"/>
                <w:szCs w:val="22"/>
              </w:rPr>
              <w:br/>
              <w:t>"The mechanism chosen to implement the SSAD must adhere to these policy principles and recommendations. (NCSG)</w:t>
            </w:r>
          </w:p>
        </w:tc>
        <w:tc>
          <w:tcPr>
            <w:tcW w:w="3422" w:type="dxa"/>
            <w:shd w:val="clear" w:color="auto" w:fill="70AD47" w:themeFill="accent6"/>
          </w:tcPr>
          <w:p w14:paraId="040DEB9B" w14:textId="6E124B68" w:rsidR="009953C2" w:rsidRDefault="009953C2" w:rsidP="009953C2">
            <w:pPr>
              <w:rPr>
                <w:rFonts w:asciiTheme="minorHAnsi" w:hAnsiTheme="minorHAnsi" w:cstheme="minorHAnsi"/>
                <w:sz w:val="22"/>
                <w:szCs w:val="22"/>
              </w:rPr>
            </w:pPr>
            <w:r>
              <w:rPr>
                <w:rFonts w:asciiTheme="minorHAnsi" w:hAnsiTheme="minorHAnsi" w:cstheme="minorHAnsi"/>
                <w:sz w:val="22"/>
                <w:szCs w:val="22"/>
              </w:rPr>
              <w:t>Staff support team to make proposed update</w:t>
            </w:r>
          </w:p>
        </w:tc>
      </w:tr>
      <w:tr w:rsidR="00EC293C" w:rsidRPr="005B2D14" w14:paraId="17D95076" w14:textId="77777777" w:rsidTr="009953C2">
        <w:tc>
          <w:tcPr>
            <w:tcW w:w="641" w:type="dxa"/>
            <w:shd w:val="clear" w:color="auto" w:fill="auto"/>
          </w:tcPr>
          <w:p w14:paraId="3BE17BB2" w14:textId="77777777" w:rsidR="00EC293C" w:rsidRDefault="00EC293C"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54531D3A" w14:textId="220C37DA" w:rsidR="00EC293C" w:rsidRDefault="00EC293C" w:rsidP="009953C2">
            <w:pPr>
              <w:rPr>
                <w:rFonts w:asciiTheme="minorHAnsi" w:hAnsiTheme="minorHAnsi" w:cstheme="minorHAnsi"/>
                <w:sz w:val="22"/>
                <w:szCs w:val="22"/>
              </w:rPr>
            </w:pPr>
            <w:r>
              <w:rPr>
                <w:rFonts w:asciiTheme="minorHAnsi" w:hAnsiTheme="minorHAnsi" w:cstheme="minorHAnsi"/>
                <w:sz w:val="22"/>
                <w:szCs w:val="22"/>
              </w:rPr>
              <w:t>16 (Accreditation)</w:t>
            </w:r>
          </w:p>
        </w:tc>
        <w:tc>
          <w:tcPr>
            <w:tcW w:w="3504" w:type="dxa"/>
            <w:shd w:val="clear" w:color="auto" w:fill="auto"/>
          </w:tcPr>
          <w:p w14:paraId="13951171" w14:textId="72DB5FE4" w:rsidR="00EC293C" w:rsidRPr="00EC293C" w:rsidRDefault="00EC293C" w:rsidP="00EC293C">
            <w:pPr>
              <w:pBdr>
                <w:top w:val="nil"/>
                <w:left w:val="nil"/>
                <w:bottom w:val="nil"/>
                <w:right w:val="nil"/>
                <w:between w:val="nil"/>
              </w:pBdr>
              <w:rPr>
                <w:rFonts w:ascii="Calibri" w:eastAsia="Calibri" w:hAnsi="Calibri" w:cs="Calibri"/>
                <w:bCs/>
                <w:color w:val="000000"/>
                <w:sz w:val="22"/>
                <w:szCs w:val="22"/>
              </w:rPr>
            </w:pPr>
            <w:r w:rsidRPr="00EC293C">
              <w:rPr>
                <w:rFonts w:ascii="Calibri" w:eastAsia="Calibri" w:hAnsi="Calibri" w:cs="Calibri"/>
                <w:bCs/>
                <w:color w:val="000000"/>
                <w:sz w:val="22"/>
                <w:szCs w:val="22"/>
              </w:rPr>
              <w:t xml:space="preserve">Accreditation Authority Auditor - </w:t>
            </w:r>
            <w:r w:rsidRPr="00EC293C">
              <w:rPr>
                <w:rFonts w:ascii="Calibri" w:eastAsia="Calibri" w:hAnsi="Calibri" w:cs="Calibri"/>
                <w:bCs/>
                <w:i/>
                <w:iCs/>
                <w:color w:val="000000"/>
                <w:sz w:val="22"/>
                <w:szCs w:val="22"/>
              </w:rPr>
              <w:t>Independent entity that is contracted by ICANN org</w:t>
            </w:r>
            <w:r w:rsidRPr="00EC293C">
              <w:rPr>
                <w:rFonts w:ascii="Calibri" w:eastAsia="Calibri" w:hAnsi="Calibri" w:cs="Calibri"/>
                <w:bCs/>
                <w:color w:val="000000"/>
                <w:sz w:val="22"/>
                <w:szCs w:val="22"/>
              </w:rPr>
              <w:t xml:space="preserve"> to carry out auditing requirements as outlined in auditing preliminary recommendation. </w:t>
            </w:r>
          </w:p>
        </w:tc>
        <w:tc>
          <w:tcPr>
            <w:tcW w:w="3657" w:type="dxa"/>
            <w:shd w:val="clear" w:color="auto" w:fill="auto"/>
          </w:tcPr>
          <w:p w14:paraId="58CAC795" w14:textId="1E5DA7DC" w:rsidR="00EC293C" w:rsidRPr="003215F7" w:rsidRDefault="00EC293C" w:rsidP="009953C2">
            <w:pPr>
              <w:rPr>
                <w:rFonts w:asciiTheme="minorHAnsi" w:hAnsiTheme="minorHAnsi" w:cstheme="minorHAnsi"/>
                <w:sz w:val="22"/>
                <w:szCs w:val="22"/>
              </w:rPr>
            </w:pPr>
            <w:r w:rsidRPr="00EC293C">
              <w:rPr>
                <w:rFonts w:ascii="Calibri" w:hAnsi="Calibri" w:cs="Calibri"/>
                <w:color w:val="000000"/>
                <w:sz w:val="22"/>
                <w:szCs w:val="22"/>
              </w:rPr>
              <w:t>This can be either ICANN itself or an entity with which it contracts</w:t>
            </w:r>
            <w:r>
              <w:rPr>
                <w:rFonts w:ascii="Calibri" w:hAnsi="Calibri" w:cs="Calibri"/>
                <w:color w:val="000000"/>
                <w:sz w:val="22"/>
                <w:szCs w:val="22"/>
              </w:rPr>
              <w:t xml:space="preserve"> (IPC)</w:t>
            </w:r>
          </w:p>
        </w:tc>
        <w:tc>
          <w:tcPr>
            <w:tcW w:w="3422" w:type="dxa"/>
            <w:shd w:val="clear" w:color="auto" w:fill="auto"/>
          </w:tcPr>
          <w:p w14:paraId="76578D6C" w14:textId="77777777" w:rsidR="00EC293C" w:rsidRDefault="00EC293C" w:rsidP="009953C2">
            <w:pPr>
              <w:rPr>
                <w:rFonts w:asciiTheme="minorHAnsi" w:hAnsiTheme="minorHAnsi" w:cstheme="minorHAnsi"/>
                <w:sz w:val="22"/>
                <w:szCs w:val="22"/>
              </w:rPr>
            </w:pPr>
          </w:p>
        </w:tc>
      </w:tr>
      <w:tr w:rsidR="009140DA" w:rsidRPr="005B2D14" w14:paraId="279AA2B1" w14:textId="77777777" w:rsidTr="009953C2">
        <w:tc>
          <w:tcPr>
            <w:tcW w:w="641" w:type="dxa"/>
            <w:shd w:val="clear" w:color="auto" w:fill="auto"/>
          </w:tcPr>
          <w:p w14:paraId="5BC35F20" w14:textId="77777777" w:rsidR="009140DA" w:rsidRDefault="009140DA"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71252936" w14:textId="2553BABF" w:rsidR="009140DA" w:rsidRDefault="009140DA" w:rsidP="009953C2">
            <w:pPr>
              <w:rPr>
                <w:rFonts w:asciiTheme="minorHAnsi" w:hAnsiTheme="minorHAnsi" w:cstheme="minorHAnsi"/>
                <w:sz w:val="22"/>
                <w:szCs w:val="22"/>
              </w:rPr>
            </w:pPr>
            <w:r>
              <w:rPr>
                <w:rFonts w:asciiTheme="minorHAnsi" w:hAnsiTheme="minorHAnsi" w:cstheme="minorHAnsi"/>
                <w:sz w:val="22"/>
                <w:szCs w:val="22"/>
              </w:rPr>
              <w:t>17 (Accreditation)</w:t>
            </w:r>
          </w:p>
        </w:tc>
        <w:tc>
          <w:tcPr>
            <w:tcW w:w="3504" w:type="dxa"/>
            <w:shd w:val="clear" w:color="auto" w:fill="auto"/>
          </w:tcPr>
          <w:p w14:paraId="72A004AA" w14:textId="77777777" w:rsidR="009140DA" w:rsidRPr="009140DA" w:rsidRDefault="009140DA" w:rsidP="009140DA">
            <w:pPr>
              <w:rPr>
                <w:rFonts w:ascii="Calibri" w:eastAsia="Calibri" w:hAnsi="Calibri" w:cs="Calibri"/>
                <w:bCs/>
                <w:color w:val="000000"/>
                <w:sz w:val="22"/>
                <w:szCs w:val="22"/>
              </w:rPr>
            </w:pPr>
            <w:r w:rsidRPr="009140DA">
              <w:rPr>
                <w:rFonts w:ascii="Calibri" w:eastAsia="Calibri" w:hAnsi="Calibri" w:cs="Calibri"/>
                <w:bCs/>
                <w:color w:val="000000"/>
                <w:sz w:val="22"/>
                <w:szCs w:val="22"/>
              </w:rPr>
              <w:t>De-accreditation of Accreditation Authority – An administrative action by which ICANN org revokes the agreement with the accreditation authority following which it is no longer approved to operate as the accreditation authority. </w:t>
            </w:r>
          </w:p>
          <w:p w14:paraId="39AAED9C" w14:textId="77777777" w:rsidR="009140DA" w:rsidRPr="003215F7" w:rsidRDefault="009140DA" w:rsidP="009953C2">
            <w:pPr>
              <w:rPr>
                <w:rFonts w:ascii="Calibri" w:hAnsi="Calibri" w:cs="Calibri"/>
                <w:color w:val="000000"/>
                <w:sz w:val="22"/>
                <w:szCs w:val="22"/>
              </w:rPr>
            </w:pPr>
          </w:p>
        </w:tc>
        <w:tc>
          <w:tcPr>
            <w:tcW w:w="3657" w:type="dxa"/>
            <w:shd w:val="clear" w:color="auto" w:fill="auto"/>
          </w:tcPr>
          <w:p w14:paraId="6D6A5036" w14:textId="5AD8B0B7" w:rsidR="009140DA" w:rsidRPr="009140DA" w:rsidRDefault="009140DA" w:rsidP="009953C2">
            <w:pPr>
              <w:rPr>
                <w:rFonts w:asciiTheme="minorHAnsi" w:hAnsiTheme="minorHAnsi" w:cstheme="minorHAnsi"/>
                <w:sz w:val="22"/>
                <w:szCs w:val="22"/>
              </w:rPr>
            </w:pPr>
            <w:r w:rsidRPr="009140DA">
              <w:rPr>
                <w:rFonts w:asciiTheme="minorHAnsi" w:hAnsiTheme="minorHAnsi" w:cstheme="minorHAnsi"/>
                <w:sz w:val="22"/>
                <w:szCs w:val="22"/>
              </w:rPr>
              <w:t xml:space="preserve">In the accreditation principles below, principle (c) we say "The accreditation policy defines a single Accreditation Authority, run and managed by ICANN org." So how can ICANN revoke the agreement with itself? In </w:t>
            </w:r>
            <w:proofErr w:type="gramStart"/>
            <w:r w:rsidRPr="009140DA">
              <w:rPr>
                <w:rFonts w:asciiTheme="minorHAnsi" w:hAnsiTheme="minorHAnsi" w:cstheme="minorHAnsi"/>
                <w:sz w:val="22"/>
                <w:szCs w:val="22"/>
              </w:rPr>
              <w:t>addition</w:t>
            </w:r>
            <w:proofErr w:type="gramEnd"/>
            <w:r w:rsidRPr="009140DA">
              <w:rPr>
                <w:rFonts w:asciiTheme="minorHAnsi" w:hAnsiTheme="minorHAnsi" w:cstheme="minorHAnsi"/>
                <w:sz w:val="22"/>
                <w:szCs w:val="22"/>
              </w:rPr>
              <w:t xml:space="preserve"> if we have one single accreditation authority de-accrediting it leads to the collapse of the whole system leaving us with no system for disclosure of data as well as no guidance on how to </w:t>
            </w:r>
            <w:r w:rsidRPr="009140DA">
              <w:rPr>
                <w:rFonts w:asciiTheme="minorHAnsi" w:hAnsiTheme="minorHAnsi" w:cstheme="minorHAnsi"/>
                <w:sz w:val="22"/>
                <w:szCs w:val="22"/>
              </w:rPr>
              <w:lastRenderedPageBreak/>
              <w:t>build another one. Moreover, the term De-accreditation of Accreditation Authority is not a term used in the report, therefore its definition does not matter nor is necessary for the purpose of this report. In all cases I the issue of the accreditation authority being in breach of the requirements is addressed under "accreditation Authority" on page 19 and is mentioned on Page 34 in relation to the audits of the accrediting Authority (ALAC)</w:t>
            </w:r>
          </w:p>
        </w:tc>
        <w:tc>
          <w:tcPr>
            <w:tcW w:w="3422" w:type="dxa"/>
            <w:shd w:val="clear" w:color="auto" w:fill="auto"/>
          </w:tcPr>
          <w:p w14:paraId="22941FF4" w14:textId="77777777" w:rsidR="009140DA" w:rsidRDefault="009140DA" w:rsidP="009953C2">
            <w:pPr>
              <w:rPr>
                <w:rFonts w:asciiTheme="minorHAnsi" w:hAnsiTheme="minorHAnsi" w:cstheme="minorHAnsi"/>
                <w:sz w:val="22"/>
                <w:szCs w:val="22"/>
              </w:rPr>
            </w:pPr>
          </w:p>
        </w:tc>
      </w:tr>
      <w:tr w:rsidR="009140DA" w:rsidRPr="005B2D14" w14:paraId="044AA999" w14:textId="77777777" w:rsidTr="009953C2">
        <w:tc>
          <w:tcPr>
            <w:tcW w:w="641" w:type="dxa"/>
            <w:shd w:val="clear" w:color="auto" w:fill="auto"/>
          </w:tcPr>
          <w:p w14:paraId="11912255" w14:textId="77777777" w:rsidR="009140DA" w:rsidRDefault="009140DA"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07DEBFB8" w14:textId="3EAD4CFA" w:rsidR="009140DA" w:rsidRDefault="009140DA" w:rsidP="009953C2">
            <w:pPr>
              <w:rPr>
                <w:rFonts w:asciiTheme="minorHAnsi" w:hAnsiTheme="minorHAnsi" w:cstheme="minorHAnsi"/>
                <w:sz w:val="22"/>
                <w:szCs w:val="22"/>
              </w:rPr>
            </w:pPr>
            <w:r>
              <w:rPr>
                <w:rFonts w:asciiTheme="minorHAnsi" w:hAnsiTheme="minorHAnsi" w:cstheme="minorHAnsi"/>
                <w:sz w:val="22"/>
                <w:szCs w:val="22"/>
              </w:rPr>
              <w:t>17 (Accreditation)</w:t>
            </w:r>
          </w:p>
        </w:tc>
        <w:tc>
          <w:tcPr>
            <w:tcW w:w="3504" w:type="dxa"/>
            <w:shd w:val="clear" w:color="auto" w:fill="auto"/>
          </w:tcPr>
          <w:p w14:paraId="076DA919" w14:textId="77777777" w:rsidR="009140DA" w:rsidRPr="009140DA" w:rsidRDefault="009140DA" w:rsidP="009140DA">
            <w:pPr>
              <w:rPr>
                <w:rFonts w:ascii="Calibri" w:eastAsia="Calibri" w:hAnsi="Calibri" w:cs="Calibri"/>
                <w:bCs/>
                <w:color w:val="000000"/>
                <w:sz w:val="22"/>
                <w:szCs w:val="22"/>
              </w:rPr>
            </w:pPr>
          </w:p>
        </w:tc>
        <w:tc>
          <w:tcPr>
            <w:tcW w:w="3657" w:type="dxa"/>
            <w:shd w:val="clear" w:color="auto" w:fill="auto"/>
          </w:tcPr>
          <w:p w14:paraId="79D1AECE" w14:textId="77777777" w:rsidR="009140DA" w:rsidRPr="009140DA" w:rsidRDefault="009140DA" w:rsidP="009140DA">
            <w:pPr>
              <w:rPr>
                <w:rFonts w:asciiTheme="minorHAnsi" w:hAnsiTheme="minorHAnsi" w:cstheme="minorHAnsi"/>
                <w:sz w:val="22"/>
                <w:szCs w:val="22"/>
              </w:rPr>
            </w:pPr>
            <w:r w:rsidRPr="009140DA">
              <w:rPr>
                <w:rFonts w:asciiTheme="minorHAnsi" w:hAnsiTheme="minorHAnsi" w:cstheme="minorHAnsi"/>
                <w:sz w:val="22"/>
                <w:szCs w:val="22"/>
              </w:rPr>
              <w:t>A term that could be added is De-authorization of identity provider</w:t>
            </w:r>
          </w:p>
          <w:p w14:paraId="14FCE0DA" w14:textId="429BC549" w:rsidR="009140DA" w:rsidRPr="009140DA" w:rsidRDefault="009140DA" w:rsidP="009953C2">
            <w:pPr>
              <w:rPr>
                <w:rFonts w:asciiTheme="minorHAnsi" w:hAnsiTheme="minorHAnsi" w:cstheme="minorHAnsi"/>
                <w:sz w:val="22"/>
                <w:szCs w:val="22"/>
              </w:rPr>
            </w:pPr>
            <w:r>
              <w:rPr>
                <w:rFonts w:asciiTheme="minorHAnsi" w:hAnsiTheme="minorHAnsi" w:cstheme="minorHAnsi"/>
                <w:sz w:val="22"/>
                <w:szCs w:val="22"/>
              </w:rPr>
              <w:t>(ALAC)</w:t>
            </w:r>
          </w:p>
        </w:tc>
        <w:tc>
          <w:tcPr>
            <w:tcW w:w="3422" w:type="dxa"/>
            <w:shd w:val="clear" w:color="auto" w:fill="auto"/>
          </w:tcPr>
          <w:p w14:paraId="444ACA96" w14:textId="77777777" w:rsidR="009140DA" w:rsidRDefault="009140DA" w:rsidP="009953C2">
            <w:pPr>
              <w:rPr>
                <w:rFonts w:asciiTheme="minorHAnsi" w:hAnsiTheme="minorHAnsi" w:cstheme="minorHAnsi"/>
                <w:sz w:val="22"/>
                <w:szCs w:val="22"/>
              </w:rPr>
            </w:pPr>
          </w:p>
        </w:tc>
      </w:tr>
      <w:tr w:rsidR="00C60B34" w:rsidRPr="005B2D14" w14:paraId="73D03F5B" w14:textId="77777777" w:rsidTr="009953C2">
        <w:tc>
          <w:tcPr>
            <w:tcW w:w="641" w:type="dxa"/>
            <w:shd w:val="clear" w:color="auto" w:fill="auto"/>
          </w:tcPr>
          <w:p w14:paraId="771E1BB0" w14:textId="762DB275" w:rsidR="009953C2"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591936B5" w14:textId="0026D3A9" w:rsidR="009953C2" w:rsidRDefault="009953C2" w:rsidP="009953C2">
            <w:pPr>
              <w:rPr>
                <w:rFonts w:asciiTheme="minorHAnsi" w:hAnsiTheme="minorHAnsi" w:cstheme="minorHAnsi"/>
                <w:sz w:val="22"/>
                <w:szCs w:val="22"/>
              </w:rPr>
            </w:pPr>
            <w:r>
              <w:rPr>
                <w:rFonts w:asciiTheme="minorHAnsi" w:hAnsiTheme="minorHAnsi" w:cstheme="minorHAnsi"/>
                <w:sz w:val="22"/>
                <w:szCs w:val="22"/>
              </w:rPr>
              <w:t>17 (Accreditation)</w:t>
            </w:r>
          </w:p>
        </w:tc>
        <w:tc>
          <w:tcPr>
            <w:tcW w:w="3504" w:type="dxa"/>
            <w:shd w:val="clear" w:color="auto" w:fill="auto"/>
          </w:tcPr>
          <w:p w14:paraId="37549CB0" w14:textId="59264D47" w:rsidR="009953C2" w:rsidRPr="003215F7" w:rsidRDefault="009953C2" w:rsidP="009953C2">
            <w:pPr>
              <w:rPr>
                <w:sz w:val="22"/>
                <w:szCs w:val="22"/>
              </w:rPr>
            </w:pPr>
            <w:r w:rsidRPr="003215F7">
              <w:rPr>
                <w:rFonts w:ascii="Calibri" w:hAnsi="Calibri" w:cs="Calibri"/>
                <w:color w:val="000000"/>
                <w:sz w:val="22"/>
                <w:szCs w:val="22"/>
              </w:rPr>
              <w:t xml:space="preserve">Both legal persons and/or individuals are eligible for accreditation. </w:t>
            </w:r>
            <w:r w:rsidRPr="003215F7">
              <w:rPr>
                <w:rFonts w:ascii="Calibri" w:hAnsi="Calibri" w:cs="Calibri"/>
                <w:i/>
                <w:iCs/>
                <w:color w:val="000000"/>
                <w:sz w:val="22"/>
                <w:szCs w:val="22"/>
              </w:rPr>
              <w:t>An individual accessing SSAD using the credentials of an accredited entity warrants that the individual is acting on the authority of the accredited entity. </w:t>
            </w:r>
          </w:p>
        </w:tc>
        <w:tc>
          <w:tcPr>
            <w:tcW w:w="3657" w:type="dxa"/>
            <w:shd w:val="clear" w:color="auto" w:fill="auto"/>
          </w:tcPr>
          <w:p w14:paraId="440BEB19" w14:textId="7BA1EABE" w:rsidR="009953C2" w:rsidRPr="003215F7" w:rsidRDefault="009953C2" w:rsidP="009953C2">
            <w:pPr>
              <w:rPr>
                <w:rFonts w:asciiTheme="minorHAnsi" w:hAnsiTheme="minorHAnsi" w:cstheme="minorHAnsi"/>
                <w:sz w:val="22"/>
                <w:szCs w:val="22"/>
              </w:rPr>
            </w:pPr>
            <w:r w:rsidRPr="003215F7">
              <w:rPr>
                <w:rFonts w:asciiTheme="minorHAnsi" w:hAnsiTheme="minorHAnsi" w:cstheme="minorHAnsi"/>
                <w:sz w:val="22"/>
                <w:szCs w:val="22"/>
              </w:rPr>
              <w:t>Shouldn't this be reversed? The accredited entity must warrant that the individual using its credentials are acting on its authority, and the accredited entity can be held accountable for the individual's actions.</w:t>
            </w:r>
            <w:r>
              <w:rPr>
                <w:rFonts w:asciiTheme="minorHAnsi" w:hAnsiTheme="minorHAnsi" w:cstheme="minorHAnsi"/>
                <w:sz w:val="22"/>
                <w:szCs w:val="22"/>
              </w:rPr>
              <w:t xml:space="preserve"> (NCSG)</w:t>
            </w:r>
          </w:p>
        </w:tc>
        <w:tc>
          <w:tcPr>
            <w:tcW w:w="3422" w:type="dxa"/>
            <w:shd w:val="clear" w:color="auto" w:fill="auto"/>
          </w:tcPr>
          <w:p w14:paraId="1846EBC9" w14:textId="77777777" w:rsidR="009953C2" w:rsidRDefault="009953C2" w:rsidP="009953C2">
            <w:pPr>
              <w:rPr>
                <w:rFonts w:asciiTheme="minorHAnsi" w:hAnsiTheme="minorHAnsi" w:cstheme="minorHAnsi"/>
                <w:sz w:val="22"/>
                <w:szCs w:val="22"/>
              </w:rPr>
            </w:pPr>
          </w:p>
        </w:tc>
      </w:tr>
      <w:tr w:rsidR="009140DA" w:rsidRPr="005B2D14" w14:paraId="1E3B5E19" w14:textId="77777777" w:rsidTr="009953C2">
        <w:tc>
          <w:tcPr>
            <w:tcW w:w="641" w:type="dxa"/>
            <w:shd w:val="clear" w:color="auto" w:fill="auto"/>
          </w:tcPr>
          <w:p w14:paraId="6E683C15" w14:textId="77777777" w:rsidR="009140DA" w:rsidRDefault="009140DA"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2FD5DB5B" w14:textId="6DF4D8A4" w:rsidR="009140DA" w:rsidRDefault="009140DA" w:rsidP="009953C2">
            <w:pPr>
              <w:rPr>
                <w:rFonts w:asciiTheme="minorHAnsi" w:hAnsiTheme="minorHAnsi" w:cstheme="minorHAnsi"/>
                <w:sz w:val="22"/>
                <w:szCs w:val="22"/>
              </w:rPr>
            </w:pPr>
            <w:r>
              <w:rPr>
                <w:rFonts w:asciiTheme="minorHAnsi" w:hAnsiTheme="minorHAnsi" w:cstheme="minorHAnsi"/>
                <w:sz w:val="22"/>
                <w:szCs w:val="22"/>
              </w:rPr>
              <w:t>18 (Accreditation)</w:t>
            </w:r>
          </w:p>
        </w:tc>
        <w:tc>
          <w:tcPr>
            <w:tcW w:w="3504" w:type="dxa"/>
            <w:shd w:val="clear" w:color="auto" w:fill="auto"/>
          </w:tcPr>
          <w:p w14:paraId="53822FA2" w14:textId="77777777" w:rsidR="009140DA" w:rsidRPr="009140DA" w:rsidRDefault="009140DA" w:rsidP="009140DA">
            <w:pPr>
              <w:rPr>
                <w:rFonts w:ascii="Calibri" w:hAnsi="Calibri" w:cs="Calibri"/>
                <w:color w:val="000000"/>
                <w:sz w:val="22"/>
                <w:szCs w:val="22"/>
              </w:rPr>
            </w:pPr>
            <w:r w:rsidRPr="009140DA">
              <w:rPr>
                <w:rFonts w:ascii="Calibri" w:hAnsi="Calibri" w:cs="Calibri"/>
                <w:color w:val="000000"/>
                <w:sz w:val="22"/>
                <w:szCs w:val="22"/>
              </w:rPr>
              <w:t>f. Assertion as to the purpose(s) of the request</w:t>
            </w:r>
          </w:p>
          <w:p w14:paraId="3A4CF0ED" w14:textId="446A38C9" w:rsidR="009140DA" w:rsidRDefault="009140DA" w:rsidP="00EC293C">
            <w:pPr>
              <w:pBdr>
                <w:top w:val="nil"/>
                <w:left w:val="nil"/>
                <w:bottom w:val="nil"/>
                <w:right w:val="nil"/>
                <w:between w:val="nil"/>
              </w:pBdr>
              <w:rPr>
                <w:rFonts w:ascii="Calibri" w:eastAsia="Calibri" w:hAnsi="Calibri" w:cs="Calibri"/>
                <w:color w:val="000000"/>
                <w:sz w:val="22"/>
                <w:szCs w:val="22"/>
              </w:rPr>
            </w:pPr>
          </w:p>
        </w:tc>
        <w:tc>
          <w:tcPr>
            <w:tcW w:w="3657" w:type="dxa"/>
            <w:shd w:val="clear" w:color="auto" w:fill="auto"/>
          </w:tcPr>
          <w:p w14:paraId="34C376C9" w14:textId="695B04C2" w:rsidR="009140DA" w:rsidRPr="00EC293C" w:rsidRDefault="009140DA" w:rsidP="00FB0B79">
            <w:pPr>
              <w:rPr>
                <w:rFonts w:asciiTheme="minorHAnsi" w:hAnsiTheme="minorHAnsi" w:cstheme="minorHAnsi"/>
                <w:sz w:val="22"/>
                <w:szCs w:val="22"/>
              </w:rPr>
            </w:pPr>
            <w:r w:rsidRPr="009140DA">
              <w:rPr>
                <w:rFonts w:asciiTheme="minorHAnsi" w:hAnsiTheme="minorHAnsi" w:cstheme="minorHAnsi"/>
                <w:sz w:val="22"/>
                <w:szCs w:val="22"/>
              </w:rPr>
              <w:t xml:space="preserve">each request should have one purpose, data sets disclosed vary depending on the purpose and it is important to be able to track the data disclosed to a requester for a certain purpose. In </w:t>
            </w:r>
            <w:proofErr w:type="gramStart"/>
            <w:r w:rsidRPr="009140DA">
              <w:rPr>
                <w:rFonts w:asciiTheme="minorHAnsi" w:hAnsiTheme="minorHAnsi" w:cstheme="minorHAnsi"/>
                <w:sz w:val="22"/>
                <w:szCs w:val="22"/>
              </w:rPr>
              <w:t>addition</w:t>
            </w:r>
            <w:proofErr w:type="gramEnd"/>
            <w:r w:rsidRPr="009140DA">
              <w:rPr>
                <w:rFonts w:asciiTheme="minorHAnsi" w:hAnsiTheme="minorHAnsi" w:cstheme="minorHAnsi"/>
                <w:sz w:val="22"/>
                <w:szCs w:val="22"/>
              </w:rPr>
              <w:t xml:space="preserve"> different purposes have different legal basis and different rights to the data subjects associated with it.</w:t>
            </w:r>
            <w:r>
              <w:rPr>
                <w:rFonts w:asciiTheme="minorHAnsi" w:hAnsiTheme="minorHAnsi" w:cstheme="minorHAnsi"/>
                <w:sz w:val="22"/>
                <w:szCs w:val="22"/>
              </w:rPr>
              <w:t xml:space="preserve"> (ALAC)</w:t>
            </w:r>
          </w:p>
        </w:tc>
        <w:tc>
          <w:tcPr>
            <w:tcW w:w="3422" w:type="dxa"/>
            <w:shd w:val="clear" w:color="auto" w:fill="auto"/>
          </w:tcPr>
          <w:p w14:paraId="49B0C9D2" w14:textId="77777777" w:rsidR="009140DA" w:rsidRDefault="009140DA" w:rsidP="009953C2">
            <w:pPr>
              <w:rPr>
                <w:rFonts w:asciiTheme="minorHAnsi" w:hAnsiTheme="minorHAnsi" w:cstheme="minorHAnsi"/>
                <w:sz w:val="22"/>
                <w:szCs w:val="22"/>
              </w:rPr>
            </w:pPr>
          </w:p>
        </w:tc>
      </w:tr>
      <w:tr w:rsidR="00EC293C" w:rsidRPr="005B2D14" w14:paraId="31A23037" w14:textId="77777777" w:rsidTr="009953C2">
        <w:tc>
          <w:tcPr>
            <w:tcW w:w="641" w:type="dxa"/>
            <w:shd w:val="clear" w:color="auto" w:fill="auto"/>
          </w:tcPr>
          <w:p w14:paraId="07112D3B" w14:textId="77777777" w:rsidR="00EC293C" w:rsidRDefault="00EC293C"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3900EF26" w14:textId="4AFF0B56" w:rsidR="00EC293C" w:rsidRDefault="00EC293C" w:rsidP="009953C2">
            <w:pPr>
              <w:rPr>
                <w:rFonts w:asciiTheme="minorHAnsi" w:hAnsiTheme="minorHAnsi" w:cstheme="minorHAnsi"/>
                <w:sz w:val="22"/>
                <w:szCs w:val="22"/>
              </w:rPr>
            </w:pPr>
            <w:r>
              <w:rPr>
                <w:rFonts w:asciiTheme="minorHAnsi" w:hAnsiTheme="minorHAnsi" w:cstheme="minorHAnsi"/>
                <w:sz w:val="22"/>
                <w:szCs w:val="22"/>
              </w:rPr>
              <w:t>18 (Accreditation)</w:t>
            </w:r>
          </w:p>
        </w:tc>
        <w:tc>
          <w:tcPr>
            <w:tcW w:w="3504" w:type="dxa"/>
            <w:shd w:val="clear" w:color="auto" w:fill="auto"/>
          </w:tcPr>
          <w:p w14:paraId="73E35FEA" w14:textId="34A1F499" w:rsidR="00EC293C" w:rsidRPr="00EC293C" w:rsidRDefault="00EC293C" w:rsidP="00EC293C">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g</w:t>
            </w:r>
            <w:r w:rsidRPr="00EC293C">
              <w:rPr>
                <w:rFonts w:ascii="Calibri" w:eastAsia="Calibri" w:hAnsi="Calibri" w:cs="Calibri"/>
                <w:color w:val="000000"/>
                <w:sz w:val="22"/>
                <w:szCs w:val="22"/>
              </w:rPr>
              <w:t xml:space="preserve">. Validation of Identity Credentials and Authorization Credentials, in addition to the information contained in the request, facilitate the decision of the authorization provider to accept or reject the Authorization of an SSAD request. For the avoidance of doubt, the presence of these credentials alone DOES NOT result in or mandate an automatic access / disclosure authorization. However, the ability to automate access/disclosure authorization decision making is possible under certain </w:t>
            </w:r>
            <w:r w:rsidRPr="00EC293C">
              <w:rPr>
                <w:rFonts w:ascii="Calibri" w:eastAsia="Calibri" w:hAnsi="Calibri" w:cs="Calibri"/>
                <w:i/>
                <w:iCs/>
                <w:color w:val="000000"/>
                <w:sz w:val="22"/>
                <w:szCs w:val="22"/>
              </w:rPr>
              <w:t>circumstances</w:t>
            </w:r>
            <w:r w:rsidRPr="00EC293C">
              <w:rPr>
                <w:rFonts w:ascii="Calibri" w:eastAsia="Calibri" w:hAnsi="Calibri" w:cs="Calibri"/>
                <w:color w:val="000000"/>
                <w:sz w:val="22"/>
                <w:szCs w:val="22"/>
              </w:rPr>
              <w:t>.</w:t>
            </w:r>
          </w:p>
        </w:tc>
        <w:tc>
          <w:tcPr>
            <w:tcW w:w="3657" w:type="dxa"/>
            <w:shd w:val="clear" w:color="auto" w:fill="auto"/>
          </w:tcPr>
          <w:p w14:paraId="74E38F69" w14:textId="2030EF94" w:rsidR="00EC293C" w:rsidRPr="00FB0B79" w:rsidRDefault="00EC293C" w:rsidP="00FB0B79">
            <w:pPr>
              <w:rPr>
                <w:rFonts w:asciiTheme="minorHAnsi" w:hAnsiTheme="minorHAnsi" w:cstheme="minorHAnsi"/>
                <w:sz w:val="22"/>
                <w:szCs w:val="22"/>
              </w:rPr>
            </w:pPr>
            <w:r w:rsidRPr="00EC293C">
              <w:rPr>
                <w:rFonts w:asciiTheme="minorHAnsi" w:hAnsiTheme="minorHAnsi" w:cstheme="minorHAnsi"/>
                <w:sz w:val="22"/>
                <w:szCs w:val="22"/>
              </w:rPr>
              <w:t>Suggest "preferable where lawful" (BC / IPC)</w:t>
            </w:r>
          </w:p>
        </w:tc>
        <w:tc>
          <w:tcPr>
            <w:tcW w:w="3422" w:type="dxa"/>
            <w:shd w:val="clear" w:color="auto" w:fill="auto"/>
          </w:tcPr>
          <w:p w14:paraId="5901B5A4" w14:textId="77777777" w:rsidR="00EC293C" w:rsidRDefault="00EC293C" w:rsidP="009953C2">
            <w:pPr>
              <w:rPr>
                <w:rFonts w:asciiTheme="minorHAnsi" w:hAnsiTheme="minorHAnsi" w:cstheme="minorHAnsi"/>
                <w:sz w:val="22"/>
                <w:szCs w:val="22"/>
              </w:rPr>
            </w:pPr>
          </w:p>
        </w:tc>
      </w:tr>
      <w:tr w:rsidR="00C60B34" w:rsidRPr="005B2D14" w14:paraId="256BC33F" w14:textId="77777777" w:rsidTr="009953C2">
        <w:tc>
          <w:tcPr>
            <w:tcW w:w="641" w:type="dxa"/>
            <w:shd w:val="clear" w:color="auto" w:fill="auto"/>
          </w:tcPr>
          <w:p w14:paraId="41BA6EB6" w14:textId="77777777" w:rsidR="00FB0B79" w:rsidRDefault="00FB0B79"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283623AB" w14:textId="436BA9AE" w:rsidR="00FB0B79" w:rsidRDefault="00FB0B79" w:rsidP="009953C2">
            <w:pPr>
              <w:rPr>
                <w:rFonts w:asciiTheme="minorHAnsi" w:hAnsiTheme="minorHAnsi" w:cstheme="minorHAnsi"/>
                <w:sz w:val="22"/>
                <w:szCs w:val="22"/>
              </w:rPr>
            </w:pPr>
            <w:r>
              <w:rPr>
                <w:rFonts w:asciiTheme="minorHAnsi" w:hAnsiTheme="minorHAnsi" w:cstheme="minorHAnsi"/>
                <w:sz w:val="22"/>
                <w:szCs w:val="22"/>
              </w:rPr>
              <w:t>18 (Accreditation)</w:t>
            </w:r>
          </w:p>
        </w:tc>
        <w:tc>
          <w:tcPr>
            <w:tcW w:w="3504" w:type="dxa"/>
            <w:shd w:val="clear" w:color="auto" w:fill="auto"/>
          </w:tcPr>
          <w:p w14:paraId="0494DBAF" w14:textId="57DF9B64" w:rsidR="00FB0B79" w:rsidRPr="00FB0B79" w:rsidRDefault="00FB0B79" w:rsidP="00FB0B79">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h. </w:t>
            </w:r>
            <w:r w:rsidRPr="00FB0B79">
              <w:rPr>
                <w:rFonts w:ascii="Calibri" w:hAnsi="Calibri" w:cs="Calibri"/>
                <w:color w:val="000000"/>
                <w:sz w:val="22"/>
                <w:szCs w:val="22"/>
              </w:rPr>
              <w:t xml:space="preserve">Defines a base line “code of conduct” that establishes a set of rules that </w:t>
            </w:r>
            <w:r w:rsidRPr="00FB0B79">
              <w:rPr>
                <w:rFonts w:ascii="Calibri" w:hAnsi="Calibri" w:cs="Calibri"/>
                <w:i/>
                <w:iCs/>
                <w:color w:val="000000"/>
                <w:sz w:val="22"/>
                <w:szCs w:val="22"/>
              </w:rPr>
              <w:t>contribute to the proper application of data protection laws - including the GDPR</w:t>
            </w:r>
            <w:r w:rsidRPr="00FB0B79">
              <w:rPr>
                <w:rFonts w:ascii="Calibri" w:hAnsi="Calibri" w:cs="Calibri"/>
                <w:color w:val="000000"/>
                <w:sz w:val="22"/>
                <w:szCs w:val="22"/>
              </w:rPr>
              <w:t xml:space="preserve"> - for the ICANN community, including:</w:t>
            </w:r>
          </w:p>
          <w:p w14:paraId="5DBC741B" w14:textId="77777777" w:rsidR="00FB0B79" w:rsidRPr="00FB0B79" w:rsidRDefault="00FB0B79" w:rsidP="00FB0B79">
            <w:pPr>
              <w:pStyle w:val="NormalWeb"/>
              <w:numPr>
                <w:ilvl w:val="0"/>
                <w:numId w:val="7"/>
              </w:numPr>
              <w:spacing w:before="0" w:beforeAutospacing="0" w:after="0" w:afterAutospacing="0"/>
              <w:ind w:left="371" w:hanging="371"/>
              <w:textAlignment w:val="baseline"/>
              <w:rPr>
                <w:rFonts w:ascii="Calibri" w:hAnsi="Calibri" w:cs="Calibri"/>
                <w:color w:val="000000"/>
                <w:sz w:val="22"/>
                <w:szCs w:val="22"/>
              </w:rPr>
            </w:pPr>
            <w:r w:rsidRPr="00FB0B79">
              <w:rPr>
                <w:rFonts w:ascii="Calibri" w:hAnsi="Calibri" w:cs="Calibri"/>
                <w:color w:val="000000"/>
                <w:sz w:val="22"/>
                <w:szCs w:val="22"/>
              </w:rPr>
              <w:t>A clear and concise explanatory statement.</w:t>
            </w:r>
          </w:p>
          <w:p w14:paraId="21BF1E1B" w14:textId="77777777" w:rsidR="00FB0B79" w:rsidRPr="00FB0B79" w:rsidRDefault="00FB0B79" w:rsidP="00FB0B79">
            <w:pPr>
              <w:pStyle w:val="NormalWeb"/>
              <w:numPr>
                <w:ilvl w:val="1"/>
                <w:numId w:val="7"/>
              </w:numPr>
              <w:spacing w:before="0" w:beforeAutospacing="0" w:after="0" w:afterAutospacing="0"/>
              <w:textAlignment w:val="baseline"/>
              <w:rPr>
                <w:rFonts w:ascii="Calibri" w:hAnsi="Calibri" w:cs="Calibri"/>
                <w:color w:val="000000"/>
                <w:sz w:val="22"/>
                <w:szCs w:val="22"/>
              </w:rPr>
            </w:pPr>
            <w:r w:rsidRPr="00FB0B79">
              <w:rPr>
                <w:rFonts w:ascii="Calibri" w:hAnsi="Calibri" w:cs="Calibri"/>
                <w:color w:val="000000"/>
                <w:sz w:val="22"/>
                <w:szCs w:val="22"/>
              </w:rPr>
              <w:t>A defined scope that determines the processing operations covered (the focus for SSAD would be on the Disclosure operation.)</w:t>
            </w:r>
          </w:p>
          <w:p w14:paraId="3BF2B3AC" w14:textId="77777777" w:rsidR="00FB0B79" w:rsidRPr="00FB0B79" w:rsidRDefault="00FB0B79" w:rsidP="00FB0B79">
            <w:pPr>
              <w:pStyle w:val="NormalWeb"/>
              <w:numPr>
                <w:ilvl w:val="1"/>
                <w:numId w:val="7"/>
              </w:numPr>
              <w:spacing w:before="0" w:beforeAutospacing="0" w:after="0" w:afterAutospacing="0"/>
              <w:textAlignment w:val="baseline"/>
              <w:rPr>
                <w:rFonts w:ascii="Calibri" w:hAnsi="Calibri" w:cs="Calibri"/>
                <w:color w:val="000000"/>
                <w:sz w:val="22"/>
                <w:szCs w:val="22"/>
              </w:rPr>
            </w:pPr>
            <w:r w:rsidRPr="00FB0B79">
              <w:rPr>
                <w:rFonts w:ascii="Calibri" w:hAnsi="Calibri" w:cs="Calibri"/>
                <w:color w:val="000000"/>
                <w:sz w:val="22"/>
                <w:szCs w:val="22"/>
              </w:rPr>
              <w:t>Mechanism that allow for the monitoring of compliance with the provisions. </w:t>
            </w:r>
          </w:p>
          <w:p w14:paraId="68E39A5C" w14:textId="77777777" w:rsidR="00FB0B79" w:rsidRPr="00FB0B79" w:rsidRDefault="00FB0B79" w:rsidP="00FB0B79">
            <w:pPr>
              <w:pStyle w:val="NormalWeb"/>
              <w:numPr>
                <w:ilvl w:val="1"/>
                <w:numId w:val="7"/>
              </w:numPr>
              <w:spacing w:before="0" w:beforeAutospacing="0" w:after="0" w:afterAutospacing="0"/>
              <w:textAlignment w:val="baseline"/>
              <w:rPr>
                <w:rFonts w:ascii="Calibri" w:hAnsi="Calibri" w:cs="Calibri"/>
                <w:color w:val="000000"/>
                <w:sz w:val="22"/>
                <w:szCs w:val="22"/>
              </w:rPr>
            </w:pPr>
            <w:r w:rsidRPr="00FB0B79">
              <w:rPr>
                <w:rFonts w:ascii="Calibri" w:hAnsi="Calibri" w:cs="Calibri"/>
                <w:color w:val="000000"/>
                <w:sz w:val="22"/>
                <w:szCs w:val="22"/>
              </w:rPr>
              <w:t xml:space="preserve">Identification of an </w:t>
            </w:r>
            <w:r w:rsidRPr="00FB0B79">
              <w:rPr>
                <w:rFonts w:ascii="Calibri" w:hAnsi="Calibri" w:cs="Calibri"/>
                <w:i/>
                <w:iCs/>
                <w:color w:val="000000"/>
                <w:sz w:val="22"/>
                <w:szCs w:val="22"/>
              </w:rPr>
              <w:t>Accreditation Body Auditor</w:t>
            </w:r>
            <w:r w:rsidRPr="00FB0B79">
              <w:rPr>
                <w:rFonts w:ascii="Calibri" w:hAnsi="Calibri" w:cs="Calibri"/>
                <w:color w:val="000000"/>
                <w:sz w:val="22"/>
                <w:szCs w:val="22"/>
              </w:rPr>
              <w:t xml:space="preserve"> </w:t>
            </w:r>
            <w:r w:rsidRPr="00FB0B79">
              <w:rPr>
                <w:rFonts w:ascii="Calibri" w:hAnsi="Calibri" w:cs="Calibri"/>
                <w:color w:val="000000"/>
                <w:sz w:val="22"/>
                <w:szCs w:val="22"/>
              </w:rPr>
              <w:lastRenderedPageBreak/>
              <w:t>(a.k.a. monitoring body) and definition of mechanism(s) which enable that body to carry out its functions.</w:t>
            </w:r>
          </w:p>
          <w:p w14:paraId="7EA5A332" w14:textId="77777777" w:rsidR="00FB0B79" w:rsidRPr="00FB0B79" w:rsidRDefault="00FB0B79" w:rsidP="00FB0B79">
            <w:pPr>
              <w:pStyle w:val="NormalWeb"/>
              <w:numPr>
                <w:ilvl w:val="1"/>
                <w:numId w:val="7"/>
              </w:numPr>
              <w:spacing w:before="0" w:beforeAutospacing="0" w:after="0" w:afterAutospacing="0"/>
              <w:textAlignment w:val="baseline"/>
              <w:rPr>
                <w:rFonts w:ascii="Calibri" w:hAnsi="Calibri" w:cs="Calibri"/>
                <w:color w:val="000000"/>
                <w:sz w:val="22"/>
                <w:szCs w:val="22"/>
              </w:rPr>
            </w:pPr>
            <w:r w:rsidRPr="00FB0B79">
              <w:rPr>
                <w:rFonts w:ascii="Calibri" w:hAnsi="Calibri" w:cs="Calibri"/>
                <w:color w:val="000000"/>
                <w:sz w:val="22"/>
                <w:szCs w:val="22"/>
              </w:rPr>
              <w:t>Description as to the extent a “consultation” with stakeholders has been carried out. </w:t>
            </w:r>
          </w:p>
          <w:p w14:paraId="40033202" w14:textId="3C78BC9A" w:rsidR="00FB0B79" w:rsidRPr="00FB0B79" w:rsidRDefault="00FB0B79" w:rsidP="009953C2">
            <w:pPr>
              <w:pStyle w:val="NormalWeb"/>
              <w:numPr>
                <w:ilvl w:val="1"/>
                <w:numId w:val="7"/>
              </w:numPr>
              <w:spacing w:before="0" w:beforeAutospacing="0" w:after="0" w:afterAutospacing="0"/>
              <w:textAlignment w:val="baseline"/>
              <w:rPr>
                <w:rFonts w:ascii="Calibri" w:hAnsi="Calibri" w:cs="Calibri"/>
                <w:color w:val="000000"/>
                <w:sz w:val="22"/>
                <w:szCs w:val="22"/>
              </w:rPr>
            </w:pPr>
            <w:r w:rsidRPr="00FB0B79">
              <w:rPr>
                <w:rFonts w:ascii="Calibri" w:hAnsi="Calibri" w:cs="Calibri"/>
                <w:color w:val="000000"/>
                <w:sz w:val="22"/>
                <w:szCs w:val="22"/>
              </w:rPr>
              <w:t>Etc.  </w:t>
            </w:r>
          </w:p>
        </w:tc>
        <w:tc>
          <w:tcPr>
            <w:tcW w:w="3657" w:type="dxa"/>
            <w:shd w:val="clear" w:color="auto" w:fill="auto"/>
          </w:tcPr>
          <w:p w14:paraId="565C8043" w14:textId="77777777" w:rsidR="00FB0B79" w:rsidRPr="00FB0B79" w:rsidRDefault="00FB0B79" w:rsidP="00FB0B79">
            <w:pPr>
              <w:rPr>
                <w:rFonts w:asciiTheme="minorHAnsi" w:hAnsiTheme="minorHAnsi" w:cstheme="minorHAnsi"/>
                <w:sz w:val="22"/>
                <w:szCs w:val="22"/>
              </w:rPr>
            </w:pPr>
            <w:r w:rsidRPr="00FB0B79">
              <w:rPr>
                <w:rFonts w:asciiTheme="minorHAnsi" w:hAnsiTheme="minorHAnsi" w:cstheme="minorHAnsi"/>
                <w:sz w:val="22"/>
                <w:szCs w:val="22"/>
              </w:rPr>
              <w:lastRenderedPageBreak/>
              <w:t xml:space="preserve">Several team members have asked for our report to be agnostic to any specific data protection law, but reviewing the report in its entirety, we should be clear that the recommendations are a response to the regulatory challenges posed by the GDPR. </w:t>
            </w:r>
            <w:proofErr w:type="gramStart"/>
            <w:r w:rsidRPr="00FB0B79">
              <w:rPr>
                <w:rFonts w:asciiTheme="minorHAnsi" w:hAnsiTheme="minorHAnsi" w:cstheme="minorHAnsi"/>
                <w:sz w:val="22"/>
                <w:szCs w:val="22"/>
              </w:rPr>
              <w:t>This manifests</w:t>
            </w:r>
            <w:proofErr w:type="gramEnd"/>
            <w:r w:rsidRPr="00FB0B79">
              <w:rPr>
                <w:rFonts w:asciiTheme="minorHAnsi" w:hAnsiTheme="minorHAnsi" w:cstheme="minorHAnsi"/>
                <w:sz w:val="22"/>
                <w:szCs w:val="22"/>
              </w:rPr>
              <w:t xml:space="preserve"> itself in many areas, such as legal basis and reference to the EDPB. Therefore, it appears disingenuous to make the report appear to work for multiple data protection laws without further explanation. Thus, we should state that the recommendations shall contribute to the proper application of the GDPR and – by doing so – likely </w:t>
            </w:r>
            <w:r w:rsidRPr="00FB0B79">
              <w:rPr>
                <w:rFonts w:asciiTheme="minorHAnsi" w:hAnsiTheme="minorHAnsi" w:cstheme="minorHAnsi"/>
                <w:sz w:val="22"/>
                <w:szCs w:val="22"/>
              </w:rPr>
              <w:lastRenderedPageBreak/>
              <w:t xml:space="preserve">to a huge number of other data protection laws. </w:t>
            </w:r>
          </w:p>
          <w:p w14:paraId="55A25D3A" w14:textId="69D01E51" w:rsidR="00FB0B79" w:rsidRPr="00FB0B79" w:rsidRDefault="00FB0B79" w:rsidP="009953C2">
            <w:pPr>
              <w:rPr>
                <w:rFonts w:asciiTheme="minorHAnsi" w:hAnsiTheme="minorHAnsi" w:cstheme="minorHAnsi"/>
                <w:sz w:val="22"/>
                <w:szCs w:val="22"/>
              </w:rPr>
            </w:pPr>
            <w:r w:rsidRPr="00FB0B79">
              <w:rPr>
                <w:rFonts w:asciiTheme="minorHAnsi" w:hAnsiTheme="minorHAnsi" w:cstheme="minorHAnsi"/>
                <w:sz w:val="22"/>
                <w:szCs w:val="22"/>
              </w:rPr>
              <w:t xml:space="preserve">Further, in the same paragraph reference is made to an Accreditation Body Auditor (a.k.a. monitoring body). We suggest </w:t>
            </w:r>
            <w:proofErr w:type="gramStart"/>
            <w:r w:rsidRPr="00FB0B79">
              <w:rPr>
                <w:rFonts w:asciiTheme="minorHAnsi" w:hAnsiTheme="minorHAnsi" w:cstheme="minorHAnsi"/>
                <w:sz w:val="22"/>
                <w:szCs w:val="22"/>
              </w:rPr>
              <w:t>to delete</w:t>
            </w:r>
            <w:proofErr w:type="gramEnd"/>
            <w:r w:rsidRPr="00FB0B79">
              <w:rPr>
                <w:rFonts w:asciiTheme="minorHAnsi" w:hAnsiTheme="minorHAnsi" w:cstheme="minorHAnsi"/>
                <w:sz w:val="22"/>
                <w:szCs w:val="22"/>
              </w:rPr>
              <w:t xml:space="preserve"> the addition in brackets and ensure we do not introduce two terms for the same function and stick to Accreditation Body Auditor throughout the report. (ISPCP)</w:t>
            </w:r>
          </w:p>
        </w:tc>
        <w:tc>
          <w:tcPr>
            <w:tcW w:w="3422" w:type="dxa"/>
            <w:shd w:val="clear" w:color="auto" w:fill="auto"/>
          </w:tcPr>
          <w:p w14:paraId="50DF667E" w14:textId="77777777" w:rsidR="00FB0B79" w:rsidRDefault="00FB0B79" w:rsidP="009953C2">
            <w:pPr>
              <w:rPr>
                <w:rFonts w:asciiTheme="minorHAnsi" w:hAnsiTheme="minorHAnsi" w:cstheme="minorHAnsi"/>
                <w:sz w:val="22"/>
                <w:szCs w:val="22"/>
              </w:rPr>
            </w:pPr>
          </w:p>
        </w:tc>
      </w:tr>
      <w:tr w:rsidR="00C60B34" w:rsidRPr="005B2D14" w14:paraId="05C11FD3" w14:textId="77777777" w:rsidTr="009953C2">
        <w:tc>
          <w:tcPr>
            <w:tcW w:w="641" w:type="dxa"/>
            <w:shd w:val="clear" w:color="auto" w:fill="auto"/>
          </w:tcPr>
          <w:p w14:paraId="004D9E11" w14:textId="77777777" w:rsidR="00FB0B79" w:rsidRDefault="00FB0B79"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3CB5A3C7" w14:textId="2700A13E" w:rsidR="00FB0B79" w:rsidRDefault="00FB0B79" w:rsidP="009953C2">
            <w:pPr>
              <w:rPr>
                <w:rFonts w:asciiTheme="minorHAnsi" w:hAnsiTheme="minorHAnsi" w:cstheme="minorHAnsi"/>
                <w:sz w:val="22"/>
                <w:szCs w:val="22"/>
              </w:rPr>
            </w:pPr>
            <w:r>
              <w:rPr>
                <w:rFonts w:asciiTheme="minorHAnsi" w:hAnsiTheme="minorHAnsi" w:cstheme="minorHAnsi"/>
                <w:sz w:val="22"/>
                <w:szCs w:val="22"/>
              </w:rPr>
              <w:t>19 (Accreditation)</w:t>
            </w:r>
          </w:p>
        </w:tc>
        <w:tc>
          <w:tcPr>
            <w:tcW w:w="3504" w:type="dxa"/>
            <w:shd w:val="clear" w:color="auto" w:fill="auto"/>
          </w:tcPr>
          <w:p w14:paraId="031DED2D" w14:textId="5C1202FF" w:rsidR="00FB0B79" w:rsidRPr="00FB0B79" w:rsidRDefault="00FB0B79" w:rsidP="00FB0B79">
            <w:pPr>
              <w:rPr>
                <w:rFonts w:ascii="Calibri" w:hAnsi="Calibri" w:cs="Calibri"/>
                <w:color w:val="000000"/>
                <w:sz w:val="22"/>
                <w:szCs w:val="22"/>
              </w:rPr>
            </w:pPr>
            <w:r w:rsidRPr="00FB0B79">
              <w:rPr>
                <w:rFonts w:ascii="Calibri" w:hAnsi="Calibri" w:cs="Calibri"/>
                <w:color w:val="000000"/>
                <w:sz w:val="22"/>
                <w:szCs w:val="22"/>
              </w:rPr>
              <w:t>j) MUST define a dispute resolution and complaints process. </w:t>
            </w:r>
          </w:p>
          <w:p w14:paraId="1F58EC94" w14:textId="77777777" w:rsidR="00FB0B79" w:rsidRDefault="00FB0B79" w:rsidP="00FB0B79">
            <w:pPr>
              <w:pStyle w:val="NormalWeb"/>
              <w:spacing w:before="0" w:beforeAutospacing="0" w:after="0" w:afterAutospacing="0"/>
              <w:textAlignment w:val="baseline"/>
              <w:rPr>
                <w:rFonts w:ascii="Calibri" w:hAnsi="Calibri" w:cs="Calibri"/>
                <w:color w:val="000000"/>
                <w:sz w:val="22"/>
                <w:szCs w:val="22"/>
              </w:rPr>
            </w:pPr>
          </w:p>
        </w:tc>
        <w:tc>
          <w:tcPr>
            <w:tcW w:w="3657" w:type="dxa"/>
            <w:shd w:val="clear" w:color="auto" w:fill="auto"/>
          </w:tcPr>
          <w:p w14:paraId="478B6848" w14:textId="77777777" w:rsidR="00FB0B79" w:rsidRPr="00FB0B79" w:rsidRDefault="00FB0B79" w:rsidP="00FB0B79">
            <w:pPr>
              <w:rPr>
                <w:rFonts w:asciiTheme="minorHAnsi" w:hAnsiTheme="minorHAnsi" w:cstheme="minorHAnsi"/>
                <w:sz w:val="22"/>
                <w:szCs w:val="22"/>
              </w:rPr>
            </w:pPr>
            <w:r w:rsidRPr="00FB0B79">
              <w:rPr>
                <w:rFonts w:asciiTheme="minorHAnsi" w:hAnsiTheme="minorHAnsi" w:cstheme="minorHAnsi"/>
                <w:sz w:val="22"/>
                <w:szCs w:val="22"/>
              </w:rPr>
              <w:t>Add</w:t>
            </w:r>
            <w:proofErr w:type="gramStart"/>
            <w:r w:rsidRPr="00FB0B79">
              <w:rPr>
                <w:rFonts w:asciiTheme="minorHAnsi" w:hAnsiTheme="minorHAnsi" w:cstheme="minorHAnsi"/>
                <w:sz w:val="22"/>
                <w:szCs w:val="22"/>
              </w:rPr>
              <w:t>: ”to</w:t>
            </w:r>
            <w:proofErr w:type="gramEnd"/>
            <w:r w:rsidRPr="00FB0B79">
              <w:rPr>
                <w:rFonts w:asciiTheme="minorHAnsi" w:hAnsiTheme="minorHAnsi" w:cstheme="minorHAnsi"/>
                <w:sz w:val="22"/>
                <w:szCs w:val="22"/>
              </w:rPr>
              <w:t xml:space="preserve"> challenge actions taken by the Accreditation Authority” to clarify the scope of the dispute resolution and complaints process.</w:t>
            </w:r>
          </w:p>
          <w:p w14:paraId="31789F1E" w14:textId="5B3D23B5" w:rsidR="00FB0B79" w:rsidRPr="00FB0B79" w:rsidRDefault="00FB0B79" w:rsidP="00FB0B79">
            <w:pPr>
              <w:rPr>
                <w:rFonts w:asciiTheme="minorHAnsi" w:hAnsiTheme="minorHAnsi" w:cstheme="minorHAnsi"/>
                <w:sz w:val="22"/>
                <w:szCs w:val="22"/>
              </w:rPr>
            </w:pPr>
            <w:r>
              <w:rPr>
                <w:rFonts w:asciiTheme="minorHAnsi" w:hAnsiTheme="minorHAnsi" w:cstheme="minorHAnsi"/>
                <w:sz w:val="22"/>
                <w:szCs w:val="22"/>
              </w:rPr>
              <w:t>(ISPCP)</w:t>
            </w:r>
          </w:p>
        </w:tc>
        <w:tc>
          <w:tcPr>
            <w:tcW w:w="3422" w:type="dxa"/>
            <w:shd w:val="clear" w:color="auto" w:fill="auto"/>
          </w:tcPr>
          <w:p w14:paraId="7B7D01F5" w14:textId="77777777" w:rsidR="00FB0B79" w:rsidRDefault="00FB0B79" w:rsidP="009953C2">
            <w:pPr>
              <w:rPr>
                <w:rFonts w:asciiTheme="minorHAnsi" w:hAnsiTheme="minorHAnsi" w:cstheme="minorHAnsi"/>
                <w:sz w:val="22"/>
                <w:szCs w:val="22"/>
              </w:rPr>
            </w:pPr>
          </w:p>
        </w:tc>
      </w:tr>
      <w:tr w:rsidR="00C60B34" w:rsidRPr="005B2D14" w14:paraId="747CD5E5" w14:textId="77777777" w:rsidTr="009953C2">
        <w:tc>
          <w:tcPr>
            <w:tcW w:w="641" w:type="dxa"/>
            <w:shd w:val="clear" w:color="auto" w:fill="auto"/>
          </w:tcPr>
          <w:p w14:paraId="7B4E16D4" w14:textId="77C754F1" w:rsidR="009953C2"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7DCECC95" w14:textId="61C2EE23" w:rsidR="009953C2" w:rsidRDefault="009953C2" w:rsidP="009953C2">
            <w:pPr>
              <w:rPr>
                <w:rFonts w:asciiTheme="minorHAnsi" w:hAnsiTheme="minorHAnsi" w:cstheme="minorHAnsi"/>
                <w:sz w:val="22"/>
                <w:szCs w:val="22"/>
              </w:rPr>
            </w:pPr>
            <w:r>
              <w:rPr>
                <w:rFonts w:asciiTheme="minorHAnsi" w:hAnsiTheme="minorHAnsi" w:cstheme="minorHAnsi"/>
                <w:sz w:val="22"/>
                <w:szCs w:val="22"/>
              </w:rPr>
              <w:t>20 (Accreditation)</w:t>
            </w:r>
          </w:p>
        </w:tc>
        <w:tc>
          <w:tcPr>
            <w:tcW w:w="3504" w:type="dxa"/>
            <w:shd w:val="clear" w:color="auto" w:fill="auto"/>
          </w:tcPr>
          <w:p w14:paraId="018B5CDB" w14:textId="1AD46CA3" w:rsidR="009953C2" w:rsidRPr="003215F7" w:rsidRDefault="009953C2" w:rsidP="009953C2">
            <w:pPr>
              <w:rPr>
                <w:sz w:val="22"/>
                <w:szCs w:val="22"/>
              </w:rPr>
            </w:pPr>
            <w:r w:rsidRPr="003215F7">
              <w:rPr>
                <w:rFonts w:ascii="Calibri" w:hAnsi="Calibri" w:cs="Calibri"/>
                <w:color w:val="000000"/>
                <w:sz w:val="22"/>
                <w:szCs w:val="22"/>
              </w:rPr>
              <w:t xml:space="preserve">t) Will not be restricted in the number of SSAD requests that can be submitted at a time, except where the accredited entity poses a demonstrable threat to the SSAD. It is understood that possible limitations in SSAD’s response capacity and speed may apply. For further details see the response requirements preliminary recommendation. </w:t>
            </w:r>
          </w:p>
        </w:tc>
        <w:tc>
          <w:tcPr>
            <w:tcW w:w="3657" w:type="dxa"/>
            <w:shd w:val="clear" w:color="auto" w:fill="auto"/>
          </w:tcPr>
          <w:p w14:paraId="34AC1E6F" w14:textId="77777777" w:rsidR="009953C2" w:rsidRPr="003215F7" w:rsidRDefault="009953C2" w:rsidP="009953C2">
            <w:pPr>
              <w:rPr>
                <w:rFonts w:asciiTheme="minorHAnsi" w:hAnsiTheme="minorHAnsi" w:cstheme="minorHAnsi"/>
                <w:sz w:val="22"/>
                <w:szCs w:val="22"/>
              </w:rPr>
            </w:pPr>
            <w:r w:rsidRPr="003215F7">
              <w:rPr>
                <w:rFonts w:asciiTheme="minorHAnsi" w:hAnsiTheme="minorHAnsi" w:cstheme="minorHAnsi"/>
                <w:sz w:val="22"/>
                <w:szCs w:val="22"/>
              </w:rPr>
              <w:t>NCSG has a problem with this, and several other similar assertions that seem to blur the line between bulk access and individual requests. In what sense is "each and every unique request for RDS data" being processed when thousands of them are submitted at the same time? We believe that assumptions about automatic access and disclosure are being insinuated into the draft report in a number of ways, and we want it to be known that we will resist that.</w:t>
            </w:r>
          </w:p>
          <w:p w14:paraId="2D8E4A5A" w14:textId="77777777" w:rsidR="009953C2" w:rsidRDefault="009953C2" w:rsidP="009953C2">
            <w:pPr>
              <w:rPr>
                <w:rFonts w:asciiTheme="minorHAnsi" w:hAnsiTheme="minorHAnsi" w:cstheme="minorHAnsi"/>
                <w:sz w:val="22"/>
                <w:szCs w:val="22"/>
              </w:rPr>
            </w:pPr>
            <w:r w:rsidRPr="003215F7">
              <w:rPr>
                <w:rFonts w:asciiTheme="minorHAnsi" w:hAnsiTheme="minorHAnsi" w:cstheme="minorHAnsi"/>
                <w:sz w:val="22"/>
                <w:szCs w:val="22"/>
              </w:rPr>
              <w:t>(NCSG)</w:t>
            </w:r>
          </w:p>
          <w:p w14:paraId="6388D4AC" w14:textId="669779B6" w:rsidR="00EC293C" w:rsidRDefault="00EC293C" w:rsidP="009953C2">
            <w:pPr>
              <w:rPr>
                <w:rFonts w:asciiTheme="minorHAnsi" w:hAnsiTheme="minorHAnsi" w:cstheme="minorHAnsi"/>
                <w:sz w:val="22"/>
                <w:szCs w:val="22"/>
              </w:rPr>
            </w:pPr>
          </w:p>
          <w:p w14:paraId="198E5ABF" w14:textId="77777777" w:rsidR="00EC293C" w:rsidRPr="00EC293C" w:rsidRDefault="00EC293C" w:rsidP="00EC293C">
            <w:pPr>
              <w:rPr>
                <w:rFonts w:asciiTheme="minorHAnsi" w:hAnsiTheme="minorHAnsi" w:cstheme="minorHAnsi"/>
                <w:sz w:val="22"/>
                <w:szCs w:val="22"/>
              </w:rPr>
            </w:pPr>
            <w:r w:rsidRPr="00EC293C">
              <w:rPr>
                <w:rFonts w:asciiTheme="minorHAnsi" w:hAnsiTheme="minorHAnsi" w:cstheme="minorHAnsi"/>
                <w:sz w:val="22"/>
                <w:szCs w:val="22"/>
              </w:rPr>
              <w:t xml:space="preserve">I don’t understand the concern about this language. This merely says that multiple requests may be SUBMITTED </w:t>
            </w:r>
            <w:r w:rsidRPr="00EC293C">
              <w:rPr>
                <w:rFonts w:asciiTheme="minorHAnsi" w:hAnsiTheme="minorHAnsi" w:cstheme="minorHAnsi"/>
                <w:sz w:val="22"/>
                <w:szCs w:val="22"/>
              </w:rPr>
              <w:lastRenderedPageBreak/>
              <w:t xml:space="preserve">together. Elsewhere, this policy requires each request to be evaluated on its own merits. </w:t>
            </w:r>
          </w:p>
          <w:p w14:paraId="053C1FFE" w14:textId="77777777" w:rsidR="00EC293C" w:rsidRPr="00EC293C" w:rsidRDefault="00EC293C" w:rsidP="00EC293C">
            <w:pPr>
              <w:rPr>
                <w:rFonts w:asciiTheme="minorHAnsi" w:hAnsiTheme="minorHAnsi" w:cstheme="minorHAnsi"/>
                <w:sz w:val="22"/>
                <w:szCs w:val="22"/>
              </w:rPr>
            </w:pPr>
          </w:p>
          <w:p w14:paraId="6EA3F523" w14:textId="0C7C8123" w:rsidR="00EC293C" w:rsidRPr="00EC293C" w:rsidRDefault="00EC293C" w:rsidP="00EC293C">
            <w:pPr>
              <w:rPr>
                <w:rFonts w:asciiTheme="minorHAnsi" w:hAnsiTheme="minorHAnsi" w:cstheme="minorHAnsi"/>
                <w:sz w:val="22"/>
                <w:szCs w:val="22"/>
              </w:rPr>
            </w:pPr>
            <w:r w:rsidRPr="00EC293C">
              <w:rPr>
                <w:rFonts w:asciiTheme="minorHAnsi" w:hAnsiTheme="minorHAnsi" w:cstheme="minorHAnsi"/>
                <w:sz w:val="22"/>
                <w:szCs w:val="22"/>
              </w:rPr>
              <w:t xml:space="preserve">We have agreed that prohibitions on “bulk access” are based on its definition in the 2013 RAA. </w:t>
            </w:r>
            <w:r>
              <w:rPr>
                <w:rFonts w:asciiTheme="minorHAnsi" w:hAnsiTheme="minorHAnsi" w:cstheme="minorHAnsi"/>
                <w:sz w:val="22"/>
                <w:szCs w:val="22"/>
              </w:rPr>
              <w:t>(IPC)</w:t>
            </w:r>
          </w:p>
          <w:p w14:paraId="66DAB96C" w14:textId="77777777" w:rsidR="00EC293C" w:rsidRDefault="00EC293C" w:rsidP="009953C2">
            <w:pPr>
              <w:rPr>
                <w:rFonts w:asciiTheme="minorHAnsi" w:hAnsiTheme="minorHAnsi" w:cstheme="minorHAnsi"/>
                <w:sz w:val="22"/>
                <w:szCs w:val="22"/>
              </w:rPr>
            </w:pPr>
          </w:p>
          <w:p w14:paraId="5A75E040" w14:textId="4E8C80F1" w:rsidR="00EC293C" w:rsidRPr="003215F7" w:rsidRDefault="00EC293C" w:rsidP="009953C2">
            <w:pPr>
              <w:rPr>
                <w:rFonts w:asciiTheme="minorHAnsi" w:hAnsiTheme="minorHAnsi" w:cstheme="minorHAnsi"/>
                <w:sz w:val="22"/>
                <w:szCs w:val="22"/>
              </w:rPr>
            </w:pPr>
            <w:r>
              <w:rPr>
                <w:rFonts w:asciiTheme="minorHAnsi" w:hAnsiTheme="minorHAnsi" w:cstheme="minorHAnsi"/>
                <w:sz w:val="22"/>
                <w:szCs w:val="22"/>
              </w:rPr>
              <w:t>S</w:t>
            </w:r>
            <w:r w:rsidRPr="00EC293C">
              <w:rPr>
                <w:rFonts w:asciiTheme="minorHAnsi" w:hAnsiTheme="minorHAnsi" w:cstheme="minorHAnsi"/>
                <w:sz w:val="22"/>
                <w:szCs w:val="22"/>
              </w:rPr>
              <w:t>uggest changing to "submitted during a specific period of time" to recognize that RDAP is the most likely protocol and that each request will be a discrete event occuring in in a series. (BC)</w:t>
            </w:r>
          </w:p>
        </w:tc>
        <w:tc>
          <w:tcPr>
            <w:tcW w:w="3422" w:type="dxa"/>
            <w:shd w:val="clear" w:color="auto" w:fill="auto"/>
          </w:tcPr>
          <w:p w14:paraId="7728D4E9" w14:textId="77777777" w:rsidR="009953C2" w:rsidRDefault="009953C2" w:rsidP="009953C2">
            <w:pPr>
              <w:rPr>
                <w:rFonts w:asciiTheme="minorHAnsi" w:hAnsiTheme="minorHAnsi" w:cstheme="minorHAnsi"/>
                <w:sz w:val="22"/>
                <w:szCs w:val="22"/>
              </w:rPr>
            </w:pPr>
          </w:p>
        </w:tc>
      </w:tr>
      <w:tr w:rsidR="00C60B34" w:rsidRPr="005B2D14" w14:paraId="7E080743" w14:textId="77777777" w:rsidTr="009953C2">
        <w:tc>
          <w:tcPr>
            <w:tcW w:w="641" w:type="dxa"/>
            <w:shd w:val="clear" w:color="auto" w:fill="auto"/>
          </w:tcPr>
          <w:p w14:paraId="56E4A50C" w14:textId="77777777" w:rsidR="00FB0B79" w:rsidRDefault="00FB0B79"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1C9C94F4" w14:textId="479173EE" w:rsidR="00FB0B79" w:rsidRDefault="00FB0B79" w:rsidP="009953C2">
            <w:pPr>
              <w:rPr>
                <w:rFonts w:asciiTheme="minorHAnsi" w:hAnsiTheme="minorHAnsi" w:cstheme="minorHAnsi"/>
                <w:sz w:val="22"/>
                <w:szCs w:val="22"/>
              </w:rPr>
            </w:pPr>
            <w:r>
              <w:rPr>
                <w:rFonts w:asciiTheme="minorHAnsi" w:hAnsiTheme="minorHAnsi" w:cstheme="minorHAnsi"/>
                <w:sz w:val="22"/>
                <w:szCs w:val="22"/>
              </w:rPr>
              <w:t>20 (Accreditation)</w:t>
            </w:r>
          </w:p>
        </w:tc>
        <w:tc>
          <w:tcPr>
            <w:tcW w:w="3504" w:type="dxa"/>
            <w:shd w:val="clear" w:color="auto" w:fill="auto"/>
          </w:tcPr>
          <w:p w14:paraId="270FF2F8" w14:textId="77777777" w:rsidR="00C924B8" w:rsidRPr="00C924B8" w:rsidRDefault="00C924B8" w:rsidP="00C924B8">
            <w:pPr>
              <w:rPr>
                <w:rFonts w:asciiTheme="minorHAnsi" w:hAnsiTheme="minorHAnsi" w:cstheme="minorHAnsi"/>
                <w:sz w:val="22"/>
                <w:szCs w:val="22"/>
              </w:rPr>
            </w:pPr>
            <w:r w:rsidRPr="00C924B8">
              <w:rPr>
                <w:rFonts w:asciiTheme="minorHAnsi" w:hAnsiTheme="minorHAnsi" w:cstheme="minorHAnsi"/>
                <w:sz w:val="22"/>
                <w:szCs w:val="22"/>
              </w:rPr>
              <w:t>The accreditation service should be part of a cost-recovery system. For further details, see the financial sustainability preliminary recommendation. </w:t>
            </w:r>
          </w:p>
          <w:p w14:paraId="3E0B1514" w14:textId="77777777" w:rsidR="00FB0B79" w:rsidRPr="003215F7" w:rsidRDefault="00FB0B79" w:rsidP="009953C2">
            <w:pPr>
              <w:rPr>
                <w:rFonts w:ascii="Calibri" w:hAnsi="Calibri" w:cs="Calibri"/>
                <w:color w:val="000000"/>
                <w:sz w:val="22"/>
                <w:szCs w:val="22"/>
              </w:rPr>
            </w:pPr>
          </w:p>
        </w:tc>
        <w:tc>
          <w:tcPr>
            <w:tcW w:w="3657" w:type="dxa"/>
            <w:shd w:val="clear" w:color="auto" w:fill="auto"/>
          </w:tcPr>
          <w:p w14:paraId="4A348232" w14:textId="3C888377" w:rsidR="00FB0B79" w:rsidRPr="003215F7" w:rsidRDefault="00FB0B79" w:rsidP="009953C2">
            <w:pPr>
              <w:rPr>
                <w:rFonts w:asciiTheme="minorHAnsi" w:hAnsiTheme="minorHAnsi" w:cstheme="minorHAnsi"/>
                <w:sz w:val="22"/>
                <w:szCs w:val="22"/>
              </w:rPr>
            </w:pPr>
            <w:r w:rsidRPr="00FB0B79">
              <w:rPr>
                <w:rFonts w:asciiTheme="minorHAnsi" w:hAnsiTheme="minorHAnsi" w:cstheme="minorHAnsi"/>
                <w:sz w:val="22"/>
                <w:szCs w:val="22"/>
              </w:rPr>
              <w:t xml:space="preserve">The accreditation service will be a service that is financially sustainable. </w:t>
            </w:r>
            <w:proofErr w:type="spellStart"/>
            <w:proofErr w:type="gramStart"/>
            <w:r w:rsidRPr="00FB0B79">
              <w:rPr>
                <w:rFonts w:asciiTheme="minorHAnsi" w:hAnsiTheme="minorHAnsi" w:cstheme="minorHAnsi"/>
                <w:sz w:val="22"/>
                <w:szCs w:val="22"/>
              </w:rPr>
              <w:t>Fur</w:t>
            </w:r>
            <w:proofErr w:type="spellEnd"/>
            <w:r w:rsidRPr="00FB0B79">
              <w:rPr>
                <w:rFonts w:asciiTheme="minorHAnsi" w:hAnsiTheme="minorHAnsi" w:cstheme="minorHAnsi"/>
                <w:sz w:val="22"/>
                <w:szCs w:val="22"/>
              </w:rPr>
              <w:t xml:space="preserve"> further details,</w:t>
            </w:r>
            <w:proofErr w:type="gramEnd"/>
            <w:r w:rsidRPr="00FB0B79">
              <w:rPr>
                <w:rFonts w:asciiTheme="minorHAnsi" w:hAnsiTheme="minorHAnsi" w:cstheme="minorHAnsi"/>
                <w:sz w:val="22"/>
                <w:szCs w:val="22"/>
              </w:rPr>
              <w:t xml:space="preserve"> see the financial sustainability preliminary recommendation. The reason for the request for change is that the system will likely not only be designed to recover </w:t>
            </w:r>
            <w:proofErr w:type="gramStart"/>
            <w:r w:rsidRPr="00FB0B79">
              <w:rPr>
                <w:rFonts w:asciiTheme="minorHAnsi" w:hAnsiTheme="minorHAnsi" w:cstheme="minorHAnsi"/>
                <w:sz w:val="22"/>
                <w:szCs w:val="22"/>
              </w:rPr>
              <w:t>cost, but</w:t>
            </w:r>
            <w:proofErr w:type="gramEnd"/>
            <w:r w:rsidRPr="00FB0B79">
              <w:rPr>
                <w:rFonts w:asciiTheme="minorHAnsi" w:hAnsiTheme="minorHAnsi" w:cstheme="minorHAnsi"/>
                <w:sz w:val="22"/>
                <w:szCs w:val="22"/>
              </w:rPr>
              <w:t xml:space="preserve"> may also include a component to cover legal risk for the parties involved. </w:t>
            </w:r>
            <w:r>
              <w:rPr>
                <w:rFonts w:asciiTheme="minorHAnsi" w:hAnsiTheme="minorHAnsi" w:cstheme="minorHAnsi"/>
                <w:sz w:val="22"/>
                <w:szCs w:val="22"/>
              </w:rPr>
              <w:t>(ISPCP)</w:t>
            </w:r>
          </w:p>
        </w:tc>
        <w:tc>
          <w:tcPr>
            <w:tcW w:w="3422" w:type="dxa"/>
            <w:shd w:val="clear" w:color="auto" w:fill="auto"/>
          </w:tcPr>
          <w:p w14:paraId="5B73A183" w14:textId="77777777" w:rsidR="00FB0B79" w:rsidRDefault="00FB0B79" w:rsidP="009953C2">
            <w:pPr>
              <w:rPr>
                <w:rFonts w:asciiTheme="minorHAnsi" w:hAnsiTheme="minorHAnsi" w:cstheme="minorHAnsi"/>
                <w:sz w:val="22"/>
                <w:szCs w:val="22"/>
              </w:rPr>
            </w:pPr>
          </w:p>
        </w:tc>
      </w:tr>
      <w:tr w:rsidR="00C60B34" w:rsidRPr="005B2D14" w14:paraId="0C5923E7" w14:textId="77777777" w:rsidTr="009953C2">
        <w:tc>
          <w:tcPr>
            <w:tcW w:w="641" w:type="dxa"/>
            <w:shd w:val="clear" w:color="auto" w:fill="auto"/>
          </w:tcPr>
          <w:p w14:paraId="442FA6A5" w14:textId="205ACED8" w:rsidR="009953C2"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7318EC58" w14:textId="1906D18D" w:rsidR="009953C2" w:rsidRDefault="009953C2" w:rsidP="009953C2">
            <w:pPr>
              <w:rPr>
                <w:rFonts w:asciiTheme="minorHAnsi" w:hAnsiTheme="minorHAnsi" w:cstheme="minorHAnsi"/>
                <w:sz w:val="22"/>
                <w:szCs w:val="22"/>
              </w:rPr>
            </w:pPr>
            <w:r>
              <w:rPr>
                <w:rFonts w:asciiTheme="minorHAnsi" w:hAnsiTheme="minorHAnsi" w:cstheme="minorHAnsi"/>
                <w:sz w:val="22"/>
                <w:szCs w:val="22"/>
              </w:rPr>
              <w:t>21 (Accreditation)</w:t>
            </w:r>
          </w:p>
        </w:tc>
        <w:tc>
          <w:tcPr>
            <w:tcW w:w="3504" w:type="dxa"/>
            <w:shd w:val="clear" w:color="auto" w:fill="auto"/>
          </w:tcPr>
          <w:p w14:paraId="1E2FD518" w14:textId="16C196D6" w:rsidR="009953C2" w:rsidRPr="003215F7" w:rsidRDefault="009953C2" w:rsidP="009953C2">
            <w:r w:rsidRPr="003215F7">
              <w:rPr>
                <w:rFonts w:ascii="Calibri" w:hAnsi="Calibri" w:cs="Calibri"/>
                <w:color w:val="000000"/>
                <w:sz w:val="22"/>
                <w:szCs w:val="22"/>
              </w:rPr>
              <w:t xml:space="preserve">Logged data shall only be disclosed, or otherwise made available for review, by the Accreditation Authority or Identity Provider, where disclosure is considered necessary to a) fulfill or meet an applicable legal obligation of the Accreditation Authority or </w:t>
            </w:r>
            <w:r w:rsidRPr="003215F7">
              <w:rPr>
                <w:rFonts w:ascii="Calibri" w:hAnsi="Calibri" w:cs="Calibri"/>
                <w:i/>
                <w:iCs/>
                <w:color w:val="000000"/>
                <w:sz w:val="22"/>
                <w:szCs w:val="22"/>
              </w:rPr>
              <w:t>Identity Provider; b) carry out an audit under this policy or;</w:t>
            </w:r>
            <w:r w:rsidRPr="003215F7">
              <w:rPr>
                <w:rFonts w:ascii="Calibri" w:hAnsi="Calibri" w:cs="Calibri"/>
                <w:color w:val="000000"/>
                <w:sz w:val="22"/>
                <w:szCs w:val="22"/>
              </w:rPr>
              <w:t xml:space="preserve"> c) to </w:t>
            </w:r>
            <w:r w:rsidRPr="003215F7">
              <w:rPr>
                <w:rFonts w:ascii="Calibri" w:hAnsi="Calibri" w:cs="Calibri"/>
                <w:color w:val="000000"/>
                <w:sz w:val="22"/>
                <w:szCs w:val="22"/>
              </w:rPr>
              <w:lastRenderedPageBreak/>
              <w:t>support the reasonable functioning of SSAD and the accreditation policy.</w:t>
            </w:r>
            <w:r w:rsidRPr="003215F7">
              <w:rPr>
                <w:rFonts w:ascii="MS Gothic" w:eastAsia="MS Gothic" w:hAnsi="MS Gothic" w:cs="MS Gothic" w:hint="eastAsia"/>
                <w:color w:val="000000"/>
                <w:sz w:val="22"/>
                <w:szCs w:val="22"/>
              </w:rPr>
              <w:t> </w:t>
            </w:r>
          </w:p>
        </w:tc>
        <w:tc>
          <w:tcPr>
            <w:tcW w:w="3657" w:type="dxa"/>
            <w:shd w:val="clear" w:color="auto" w:fill="auto"/>
          </w:tcPr>
          <w:p w14:paraId="2C0ECD91" w14:textId="4D23DA59" w:rsidR="009953C2" w:rsidRPr="003215F7" w:rsidRDefault="009953C2" w:rsidP="009953C2">
            <w:pPr>
              <w:rPr>
                <w:rFonts w:asciiTheme="minorHAnsi" w:hAnsiTheme="minorHAnsi" w:cstheme="minorHAnsi"/>
                <w:sz w:val="22"/>
                <w:szCs w:val="22"/>
              </w:rPr>
            </w:pPr>
            <w:r w:rsidRPr="003215F7">
              <w:rPr>
                <w:rFonts w:asciiTheme="minorHAnsi" w:hAnsiTheme="minorHAnsi" w:cstheme="minorHAnsi"/>
                <w:sz w:val="22"/>
                <w:szCs w:val="22"/>
              </w:rPr>
              <w:lastRenderedPageBreak/>
              <w:t>This language is not legible (looks like one text on top of another). (GAC)</w:t>
            </w:r>
          </w:p>
        </w:tc>
        <w:tc>
          <w:tcPr>
            <w:tcW w:w="3422" w:type="dxa"/>
            <w:shd w:val="clear" w:color="auto" w:fill="auto"/>
          </w:tcPr>
          <w:p w14:paraId="4EF0F0F7" w14:textId="77777777" w:rsidR="009953C2" w:rsidRDefault="009953C2" w:rsidP="009953C2">
            <w:pPr>
              <w:rPr>
                <w:rFonts w:asciiTheme="minorHAnsi" w:hAnsiTheme="minorHAnsi" w:cstheme="minorHAnsi"/>
                <w:sz w:val="22"/>
                <w:szCs w:val="22"/>
              </w:rPr>
            </w:pPr>
          </w:p>
        </w:tc>
      </w:tr>
      <w:tr w:rsidR="00C60B34" w:rsidRPr="005B2D14" w14:paraId="17D6A2B9" w14:textId="77777777" w:rsidTr="009953C2">
        <w:tc>
          <w:tcPr>
            <w:tcW w:w="641" w:type="dxa"/>
            <w:shd w:val="clear" w:color="auto" w:fill="auto"/>
          </w:tcPr>
          <w:p w14:paraId="22186FA2" w14:textId="41E58D97" w:rsidR="009953C2"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1E7F5DAA" w14:textId="59B50126" w:rsidR="009953C2" w:rsidRDefault="009953C2" w:rsidP="009953C2">
            <w:pPr>
              <w:rPr>
                <w:rFonts w:asciiTheme="minorHAnsi" w:hAnsiTheme="minorHAnsi" w:cstheme="minorHAnsi"/>
                <w:sz w:val="22"/>
                <w:szCs w:val="22"/>
              </w:rPr>
            </w:pPr>
            <w:r>
              <w:rPr>
                <w:rFonts w:asciiTheme="minorHAnsi" w:hAnsiTheme="minorHAnsi" w:cstheme="minorHAnsi"/>
                <w:sz w:val="22"/>
                <w:szCs w:val="22"/>
              </w:rPr>
              <w:t>22 (Purposes)</w:t>
            </w:r>
          </w:p>
        </w:tc>
        <w:tc>
          <w:tcPr>
            <w:tcW w:w="3504" w:type="dxa"/>
            <w:shd w:val="clear" w:color="auto" w:fill="auto"/>
          </w:tcPr>
          <w:p w14:paraId="78E7AB0F" w14:textId="77777777" w:rsidR="009953C2" w:rsidRPr="003215F7" w:rsidRDefault="009953C2" w:rsidP="009953C2">
            <w:pPr>
              <w:rPr>
                <w:rFonts w:ascii="Calibri" w:hAnsi="Calibri" w:cs="Calibri"/>
                <w:color w:val="000000"/>
                <w:sz w:val="22"/>
                <w:szCs w:val="22"/>
              </w:rPr>
            </w:pPr>
            <w:r>
              <w:rPr>
                <w:rFonts w:ascii="Calibri" w:hAnsi="Calibri" w:cs="Calibri"/>
                <w:color w:val="000000"/>
                <w:sz w:val="22"/>
                <w:szCs w:val="22"/>
              </w:rPr>
              <w:t xml:space="preserve">Preliminary Recommendation #4 - </w:t>
            </w:r>
            <w:r w:rsidRPr="003215F7">
              <w:rPr>
                <w:rFonts w:ascii="Calibri" w:hAnsi="Calibri" w:cs="Calibri"/>
                <w:color w:val="000000"/>
                <w:sz w:val="22"/>
                <w:szCs w:val="22"/>
              </w:rPr>
              <w:t>Third Party Purposes/Justifications</w:t>
            </w:r>
          </w:p>
          <w:p w14:paraId="173904FF" w14:textId="6A9A4FAA" w:rsidR="009953C2" w:rsidRPr="003215F7" w:rsidRDefault="009953C2" w:rsidP="009953C2">
            <w:pPr>
              <w:rPr>
                <w:rFonts w:ascii="Calibri" w:hAnsi="Calibri" w:cs="Calibri"/>
                <w:color w:val="000000"/>
                <w:sz w:val="22"/>
                <w:szCs w:val="22"/>
              </w:rPr>
            </w:pPr>
          </w:p>
        </w:tc>
        <w:tc>
          <w:tcPr>
            <w:tcW w:w="3657" w:type="dxa"/>
            <w:shd w:val="clear" w:color="auto" w:fill="auto"/>
          </w:tcPr>
          <w:p w14:paraId="018173FF" w14:textId="13E8AF3D" w:rsidR="009953C2" w:rsidRPr="003215F7" w:rsidRDefault="009953C2" w:rsidP="009953C2">
            <w:pPr>
              <w:rPr>
                <w:rFonts w:asciiTheme="minorHAnsi" w:hAnsiTheme="minorHAnsi" w:cstheme="minorHAnsi"/>
                <w:sz w:val="22"/>
                <w:szCs w:val="22"/>
              </w:rPr>
            </w:pPr>
            <w:r w:rsidRPr="003215F7">
              <w:rPr>
                <w:rFonts w:asciiTheme="minorHAnsi" w:hAnsiTheme="minorHAnsi" w:cstheme="minorHAnsi"/>
                <w:sz w:val="22"/>
                <w:szCs w:val="22"/>
              </w:rPr>
              <w:t>As noted in our calls, using the term "purposes" here is confusing at best and misleading at worst. These are justifications, not purposes. We'd like for this heading to read "Third Party Justifications." (NCSG)</w:t>
            </w:r>
          </w:p>
        </w:tc>
        <w:tc>
          <w:tcPr>
            <w:tcW w:w="3422" w:type="dxa"/>
            <w:shd w:val="clear" w:color="auto" w:fill="auto"/>
          </w:tcPr>
          <w:p w14:paraId="5E4BAA71" w14:textId="77777777" w:rsidR="009953C2" w:rsidRDefault="009953C2" w:rsidP="009953C2">
            <w:pPr>
              <w:rPr>
                <w:rFonts w:asciiTheme="minorHAnsi" w:hAnsiTheme="minorHAnsi" w:cstheme="minorHAnsi"/>
                <w:sz w:val="22"/>
                <w:szCs w:val="22"/>
              </w:rPr>
            </w:pPr>
          </w:p>
        </w:tc>
      </w:tr>
      <w:tr w:rsidR="00C60B34" w:rsidRPr="005B2D14" w14:paraId="17E28101" w14:textId="77777777" w:rsidTr="009953C2">
        <w:tc>
          <w:tcPr>
            <w:tcW w:w="641" w:type="dxa"/>
            <w:shd w:val="clear" w:color="auto" w:fill="auto"/>
          </w:tcPr>
          <w:p w14:paraId="3248C378" w14:textId="77777777" w:rsidR="00C924B8" w:rsidRDefault="00C924B8"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2C7FA577" w14:textId="48E6E589" w:rsidR="00C924B8" w:rsidRDefault="00C924B8" w:rsidP="009953C2">
            <w:pPr>
              <w:rPr>
                <w:rFonts w:asciiTheme="minorHAnsi" w:hAnsiTheme="minorHAnsi" w:cstheme="minorHAnsi"/>
                <w:sz w:val="22"/>
                <w:szCs w:val="22"/>
              </w:rPr>
            </w:pPr>
            <w:r>
              <w:rPr>
                <w:rFonts w:asciiTheme="minorHAnsi" w:hAnsiTheme="minorHAnsi" w:cstheme="minorHAnsi"/>
                <w:sz w:val="22"/>
                <w:szCs w:val="22"/>
              </w:rPr>
              <w:t>22 (Purposes)</w:t>
            </w:r>
          </w:p>
        </w:tc>
        <w:tc>
          <w:tcPr>
            <w:tcW w:w="3504" w:type="dxa"/>
            <w:shd w:val="clear" w:color="auto" w:fill="auto"/>
          </w:tcPr>
          <w:p w14:paraId="37FB9C06" w14:textId="0CF02408" w:rsidR="00C924B8" w:rsidRDefault="002C4A96" w:rsidP="009953C2">
            <w:pPr>
              <w:rPr>
                <w:rFonts w:ascii="Calibri" w:hAnsi="Calibri" w:cs="Calibri"/>
                <w:color w:val="000000"/>
                <w:sz w:val="22"/>
                <w:szCs w:val="22"/>
              </w:rPr>
            </w:pPr>
            <w:sdt>
              <w:sdtPr>
                <w:rPr>
                  <w:rFonts w:ascii="Calibri" w:hAnsi="Calibri" w:cs="Calibri"/>
                  <w:color w:val="000000"/>
                  <w:sz w:val="22"/>
                  <w:szCs w:val="22"/>
                </w:rPr>
                <w:tag w:val="goog_rdk_15"/>
                <w:id w:val="-1207631361"/>
              </w:sdtPr>
              <w:sdtEndPr/>
              <w:sdtContent/>
            </w:sdt>
            <w:r w:rsidR="006A2661" w:rsidRPr="006A2661">
              <w:rPr>
                <w:rFonts w:ascii="Calibri" w:hAnsi="Calibri" w:cs="Calibri"/>
                <w:color w:val="000000"/>
                <w:sz w:val="22"/>
                <w:szCs w:val="22"/>
              </w:rPr>
              <w:t xml:space="preserve">As identified in the preliminary recommendation relating to criteria and content of requests, each request must include information about the legal rights of the requestor specific to the request and/or specific rationale and/or justification for the request, e.g. What is the basis or reason for request; Why is it necessary for the requestor to ask for this data? </w:t>
            </w:r>
            <w:r w:rsidR="006A2661" w:rsidRPr="006A2661">
              <w:rPr>
                <w:rFonts w:ascii="Calibri" w:hAnsi="Calibri" w:cs="Calibri"/>
                <w:i/>
                <w:iCs/>
                <w:color w:val="000000"/>
                <w:sz w:val="22"/>
                <w:szCs w:val="22"/>
              </w:rPr>
              <w:t>The EPDP Team expects that over time, the entity responsible for receiving requests will be able to identify certain patterns that could result in the development of a preset list of rationales and/or justifications that a requestor can select from, while always maintaining the option for the requestor to provide this information in free form”.</w:t>
            </w:r>
          </w:p>
        </w:tc>
        <w:tc>
          <w:tcPr>
            <w:tcW w:w="3657" w:type="dxa"/>
            <w:shd w:val="clear" w:color="auto" w:fill="auto"/>
          </w:tcPr>
          <w:p w14:paraId="4EF92CF0" w14:textId="7B6FC9AC" w:rsidR="00C924B8" w:rsidRDefault="00C924B8" w:rsidP="009953C2">
            <w:pPr>
              <w:rPr>
                <w:rFonts w:asciiTheme="minorHAnsi" w:hAnsiTheme="minorHAnsi" w:cstheme="minorHAnsi"/>
                <w:sz w:val="22"/>
                <w:szCs w:val="22"/>
              </w:rPr>
            </w:pPr>
            <w:r w:rsidRPr="00C924B8">
              <w:rPr>
                <w:rFonts w:asciiTheme="minorHAnsi" w:hAnsiTheme="minorHAnsi" w:cstheme="minorHAnsi"/>
                <w:sz w:val="22"/>
                <w:szCs w:val="22"/>
              </w:rPr>
              <w:t xml:space="preserve">This section requires further discussion. We recommend to not include the section until it is further matured. </w:t>
            </w:r>
            <w:r>
              <w:rPr>
                <w:rFonts w:asciiTheme="minorHAnsi" w:hAnsiTheme="minorHAnsi" w:cstheme="minorHAnsi"/>
                <w:sz w:val="22"/>
                <w:szCs w:val="22"/>
              </w:rPr>
              <w:t>(ISPCP)</w:t>
            </w:r>
          </w:p>
          <w:p w14:paraId="0A98D85A" w14:textId="24B0BAC1" w:rsidR="006A2661" w:rsidRDefault="006A2661" w:rsidP="009953C2">
            <w:pPr>
              <w:rPr>
                <w:rFonts w:asciiTheme="minorHAnsi" w:hAnsiTheme="minorHAnsi" w:cstheme="minorHAnsi"/>
                <w:sz w:val="22"/>
                <w:szCs w:val="22"/>
              </w:rPr>
            </w:pPr>
          </w:p>
          <w:p w14:paraId="77A0963B" w14:textId="64421B46" w:rsidR="006A2661" w:rsidRDefault="006A2661" w:rsidP="006A2661">
            <w:pPr>
              <w:rPr>
                <w:rFonts w:asciiTheme="minorHAnsi" w:hAnsiTheme="minorHAnsi" w:cstheme="minorHAnsi"/>
                <w:sz w:val="22"/>
                <w:szCs w:val="22"/>
              </w:rPr>
            </w:pPr>
            <w:r w:rsidRPr="006A2661">
              <w:rPr>
                <w:rFonts w:asciiTheme="minorHAnsi" w:hAnsiTheme="minorHAnsi" w:cstheme="minorHAnsi"/>
                <w:sz w:val="22"/>
                <w:szCs w:val="22"/>
              </w:rPr>
              <w:t>NCSG is not entirely comfortable with this.</w:t>
            </w:r>
            <w:r>
              <w:rPr>
                <w:rFonts w:asciiTheme="minorHAnsi" w:hAnsiTheme="minorHAnsi" w:cstheme="minorHAnsi"/>
                <w:sz w:val="22"/>
                <w:szCs w:val="22"/>
              </w:rPr>
              <w:t xml:space="preserve"> </w:t>
            </w:r>
            <w:r w:rsidRPr="006A2661">
              <w:rPr>
                <w:rFonts w:asciiTheme="minorHAnsi" w:hAnsiTheme="minorHAnsi" w:cstheme="minorHAnsi"/>
                <w:sz w:val="22"/>
                <w:szCs w:val="22"/>
              </w:rPr>
              <w:t xml:space="preserve">This language might be acceptable if it makes some reference to Preliminary Recommendation #6 below (Auth provider MUST review every request on its merits...") </w:t>
            </w:r>
            <w:r>
              <w:rPr>
                <w:rFonts w:asciiTheme="minorHAnsi" w:hAnsiTheme="minorHAnsi" w:cstheme="minorHAnsi"/>
                <w:sz w:val="22"/>
                <w:szCs w:val="22"/>
              </w:rPr>
              <w:t>(</w:t>
            </w:r>
            <w:r w:rsidRPr="006A2661">
              <w:rPr>
                <w:rFonts w:asciiTheme="minorHAnsi" w:hAnsiTheme="minorHAnsi" w:cstheme="minorHAnsi"/>
                <w:sz w:val="22"/>
                <w:szCs w:val="22"/>
              </w:rPr>
              <w:t>NCSG)</w:t>
            </w:r>
          </w:p>
          <w:p w14:paraId="3CFAE84A" w14:textId="77777777" w:rsidR="006A2661" w:rsidRDefault="006A2661" w:rsidP="006A2661">
            <w:pPr>
              <w:rPr>
                <w:rFonts w:asciiTheme="minorHAnsi" w:hAnsiTheme="minorHAnsi" w:cstheme="minorHAnsi"/>
                <w:sz w:val="22"/>
                <w:szCs w:val="22"/>
              </w:rPr>
            </w:pPr>
          </w:p>
          <w:p w14:paraId="76916368" w14:textId="151E0D8F" w:rsidR="006A2661" w:rsidRPr="006A2661" w:rsidRDefault="006A2661" w:rsidP="006A2661">
            <w:pPr>
              <w:rPr>
                <w:rFonts w:asciiTheme="minorHAnsi" w:hAnsiTheme="minorHAnsi" w:cstheme="minorHAnsi"/>
                <w:sz w:val="22"/>
                <w:szCs w:val="22"/>
              </w:rPr>
            </w:pPr>
            <w:r w:rsidRPr="006A2661">
              <w:rPr>
                <w:rFonts w:asciiTheme="minorHAnsi" w:hAnsiTheme="minorHAnsi" w:cstheme="minorHAnsi"/>
                <w:sz w:val="22"/>
                <w:szCs w:val="22"/>
              </w:rPr>
              <w:t>IPC supports this kind of flexibility, to allow adaptation of the SSAD on the basis of experience. However, we expect we’ll oppose eventual adoption by the EPDP of its final report if it does not provide a list of purposes identified as legitimate. (IPC)</w:t>
            </w:r>
          </w:p>
          <w:p w14:paraId="2AF95196" w14:textId="77777777" w:rsidR="006A2661" w:rsidRDefault="006A2661" w:rsidP="009953C2">
            <w:pPr>
              <w:rPr>
                <w:rFonts w:asciiTheme="minorHAnsi" w:hAnsiTheme="minorHAnsi" w:cstheme="minorHAnsi"/>
                <w:sz w:val="22"/>
                <w:szCs w:val="22"/>
              </w:rPr>
            </w:pPr>
          </w:p>
          <w:p w14:paraId="045CE953" w14:textId="77777777" w:rsidR="006A2661" w:rsidRDefault="006A2661" w:rsidP="009953C2">
            <w:pPr>
              <w:rPr>
                <w:rFonts w:asciiTheme="minorHAnsi" w:hAnsiTheme="minorHAnsi" w:cstheme="minorHAnsi"/>
                <w:sz w:val="22"/>
                <w:szCs w:val="22"/>
              </w:rPr>
            </w:pPr>
          </w:p>
          <w:p w14:paraId="4A9D6B32" w14:textId="483DC289" w:rsidR="006A2661" w:rsidRPr="003215F7" w:rsidRDefault="006A2661" w:rsidP="009953C2">
            <w:pPr>
              <w:rPr>
                <w:rFonts w:asciiTheme="minorHAnsi" w:hAnsiTheme="minorHAnsi" w:cstheme="minorHAnsi"/>
                <w:sz w:val="22"/>
                <w:szCs w:val="22"/>
              </w:rPr>
            </w:pPr>
          </w:p>
        </w:tc>
        <w:tc>
          <w:tcPr>
            <w:tcW w:w="3422" w:type="dxa"/>
            <w:shd w:val="clear" w:color="auto" w:fill="auto"/>
          </w:tcPr>
          <w:p w14:paraId="14262EEA" w14:textId="77777777" w:rsidR="00C924B8" w:rsidRDefault="00C924B8" w:rsidP="009953C2">
            <w:pPr>
              <w:rPr>
                <w:rFonts w:asciiTheme="minorHAnsi" w:hAnsiTheme="minorHAnsi" w:cstheme="minorHAnsi"/>
                <w:sz w:val="22"/>
                <w:szCs w:val="22"/>
              </w:rPr>
            </w:pPr>
          </w:p>
        </w:tc>
      </w:tr>
      <w:tr w:rsidR="00F26DBD" w:rsidRPr="005B2D14" w14:paraId="2B1E480B" w14:textId="77777777" w:rsidTr="009953C2">
        <w:tc>
          <w:tcPr>
            <w:tcW w:w="641" w:type="dxa"/>
            <w:shd w:val="clear" w:color="auto" w:fill="auto"/>
          </w:tcPr>
          <w:p w14:paraId="62C11A91" w14:textId="2B07964B" w:rsidR="009953C2"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252521A4" w14:textId="262486C3" w:rsidR="009953C2" w:rsidRDefault="009953C2" w:rsidP="009953C2">
            <w:pPr>
              <w:rPr>
                <w:rFonts w:asciiTheme="minorHAnsi" w:hAnsiTheme="minorHAnsi" w:cstheme="minorHAnsi"/>
                <w:sz w:val="22"/>
                <w:szCs w:val="22"/>
              </w:rPr>
            </w:pPr>
            <w:r>
              <w:rPr>
                <w:rFonts w:asciiTheme="minorHAnsi" w:hAnsiTheme="minorHAnsi" w:cstheme="minorHAnsi"/>
                <w:sz w:val="22"/>
                <w:szCs w:val="22"/>
              </w:rPr>
              <w:t>22 (Purposes)</w:t>
            </w:r>
          </w:p>
        </w:tc>
        <w:tc>
          <w:tcPr>
            <w:tcW w:w="3504" w:type="dxa"/>
            <w:shd w:val="clear" w:color="auto" w:fill="auto"/>
          </w:tcPr>
          <w:p w14:paraId="1C8858D0" w14:textId="0F5CC863" w:rsidR="009953C2" w:rsidRPr="006A2661" w:rsidRDefault="009953C2" w:rsidP="009953C2">
            <w:pPr>
              <w:rPr>
                <w:rFonts w:ascii="Calibri" w:hAnsi="Calibri" w:cs="Calibri"/>
                <w:color w:val="000000"/>
                <w:sz w:val="22"/>
                <w:szCs w:val="22"/>
              </w:rPr>
            </w:pPr>
            <w:r w:rsidRPr="006A2661">
              <w:rPr>
                <w:rFonts w:ascii="Calibri" w:hAnsi="Calibri" w:cs="Calibri"/>
                <w:color w:val="000000"/>
                <w:sz w:val="22"/>
                <w:szCs w:val="22"/>
              </w:rPr>
              <w:t xml:space="preserve">Comment to section: To be further considered by EPDP Team. </w:t>
            </w:r>
            <w:r w:rsidRPr="006A2661">
              <w:rPr>
                <w:rFonts w:ascii="Calibri" w:hAnsi="Calibri" w:cs="Calibri"/>
                <w:color w:val="000000"/>
                <w:sz w:val="22"/>
                <w:szCs w:val="22"/>
              </w:rPr>
              <w:lastRenderedPageBreak/>
              <w:t>Proposed language by BC: “The EPDP recognizes that third parties may submit data disclosure requests for the following specific purposes: (</w:t>
            </w:r>
            <w:proofErr w:type="spellStart"/>
            <w:r w:rsidRPr="006A2661">
              <w:rPr>
                <w:rFonts w:ascii="Calibri" w:hAnsi="Calibri" w:cs="Calibri"/>
                <w:color w:val="000000"/>
                <w:sz w:val="22"/>
                <w:szCs w:val="22"/>
              </w:rPr>
              <w:t>i</w:t>
            </w:r>
            <w:proofErr w:type="spellEnd"/>
            <w:r w:rsidRPr="006A2661">
              <w:rPr>
                <w:rFonts w:ascii="Calibri" w:hAnsi="Calibri" w:cs="Calibri"/>
                <w:color w:val="000000"/>
                <w:sz w:val="22"/>
                <w:szCs w:val="22"/>
              </w:rPr>
              <w:t>) criminal law enforcement, national or public security, (ii) non law enforcement investigations and civil claims, including, intellectual property infringement and UDRP and URS claims, (iii) contacting registrants, (iv) consumer protection, abuse prevention, digital service provider (DSP) and network security, or (v) Registered name holder consent or contract.”</w:t>
            </w:r>
          </w:p>
        </w:tc>
        <w:tc>
          <w:tcPr>
            <w:tcW w:w="3657" w:type="dxa"/>
            <w:shd w:val="clear" w:color="auto" w:fill="auto"/>
          </w:tcPr>
          <w:p w14:paraId="4FE0660D" w14:textId="2B8F6BC9" w:rsidR="009953C2" w:rsidRPr="003215F7" w:rsidRDefault="009953C2" w:rsidP="009953C2">
            <w:pPr>
              <w:rPr>
                <w:rFonts w:asciiTheme="minorHAnsi" w:hAnsiTheme="minorHAnsi" w:cstheme="minorHAnsi"/>
                <w:sz w:val="22"/>
                <w:szCs w:val="22"/>
              </w:rPr>
            </w:pPr>
            <w:r w:rsidRPr="003215F7">
              <w:rPr>
                <w:rFonts w:asciiTheme="minorHAnsi" w:hAnsiTheme="minorHAnsi" w:cstheme="minorHAnsi"/>
                <w:sz w:val="22"/>
                <w:szCs w:val="22"/>
              </w:rPr>
              <w:lastRenderedPageBreak/>
              <w:t xml:space="preserve">We (NCSG) will have to oppose this language. The inclusion of these </w:t>
            </w:r>
            <w:r w:rsidRPr="003215F7">
              <w:rPr>
                <w:rFonts w:asciiTheme="minorHAnsi" w:hAnsiTheme="minorHAnsi" w:cstheme="minorHAnsi"/>
                <w:sz w:val="22"/>
                <w:szCs w:val="22"/>
              </w:rPr>
              <w:lastRenderedPageBreak/>
              <w:t>"specific purposes" seems to imply that any request that invokes them is legitimate and legal. Some of these purposes (e.g., contacting registrants) clearly will not justify disclosure in most cases. (NCSG)</w:t>
            </w:r>
          </w:p>
          <w:p w14:paraId="35C3DAEF" w14:textId="77777777" w:rsidR="009953C2" w:rsidRPr="003215F7" w:rsidRDefault="009953C2" w:rsidP="009953C2">
            <w:pPr>
              <w:rPr>
                <w:rFonts w:asciiTheme="minorHAnsi" w:hAnsiTheme="minorHAnsi" w:cstheme="minorHAnsi"/>
                <w:sz w:val="22"/>
                <w:szCs w:val="22"/>
              </w:rPr>
            </w:pPr>
          </w:p>
        </w:tc>
        <w:tc>
          <w:tcPr>
            <w:tcW w:w="3422" w:type="dxa"/>
            <w:shd w:val="clear" w:color="auto" w:fill="auto"/>
          </w:tcPr>
          <w:p w14:paraId="35B2E595" w14:textId="77777777" w:rsidR="009953C2" w:rsidRDefault="009953C2" w:rsidP="009953C2">
            <w:pPr>
              <w:rPr>
                <w:rFonts w:asciiTheme="minorHAnsi" w:hAnsiTheme="minorHAnsi" w:cstheme="minorHAnsi"/>
                <w:sz w:val="22"/>
                <w:szCs w:val="22"/>
              </w:rPr>
            </w:pPr>
          </w:p>
        </w:tc>
      </w:tr>
      <w:tr w:rsidR="006A2661" w:rsidRPr="005B2D14" w14:paraId="12E36A80" w14:textId="77777777" w:rsidTr="009953C2">
        <w:tc>
          <w:tcPr>
            <w:tcW w:w="641" w:type="dxa"/>
            <w:shd w:val="clear" w:color="auto" w:fill="auto"/>
          </w:tcPr>
          <w:p w14:paraId="08E8F00D" w14:textId="77777777" w:rsidR="006A2661" w:rsidRDefault="006A2661"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6B4DD778" w14:textId="26067115" w:rsidR="006A2661" w:rsidRDefault="006A2661" w:rsidP="009953C2">
            <w:pPr>
              <w:rPr>
                <w:rFonts w:asciiTheme="minorHAnsi" w:hAnsiTheme="minorHAnsi" w:cstheme="minorHAnsi"/>
                <w:sz w:val="22"/>
                <w:szCs w:val="22"/>
              </w:rPr>
            </w:pPr>
            <w:r>
              <w:rPr>
                <w:rFonts w:asciiTheme="minorHAnsi" w:hAnsiTheme="minorHAnsi" w:cstheme="minorHAnsi"/>
                <w:sz w:val="22"/>
                <w:szCs w:val="22"/>
              </w:rPr>
              <w:t>22 (Receipt of Acknowledgement)</w:t>
            </w:r>
          </w:p>
        </w:tc>
        <w:tc>
          <w:tcPr>
            <w:tcW w:w="3504" w:type="dxa"/>
            <w:shd w:val="clear" w:color="auto" w:fill="auto"/>
          </w:tcPr>
          <w:p w14:paraId="24501201" w14:textId="1DB4B7C7" w:rsidR="006A2661" w:rsidRPr="006A2661" w:rsidRDefault="006A2661" w:rsidP="0020531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Receipt of Acknowledgement</w:t>
            </w:r>
          </w:p>
        </w:tc>
        <w:tc>
          <w:tcPr>
            <w:tcW w:w="3657" w:type="dxa"/>
            <w:shd w:val="clear" w:color="auto" w:fill="auto"/>
          </w:tcPr>
          <w:p w14:paraId="2ECF6A22" w14:textId="7B45D496" w:rsidR="006A2661" w:rsidRPr="00205315" w:rsidRDefault="006A2661" w:rsidP="009953C2">
            <w:pPr>
              <w:rPr>
                <w:rFonts w:asciiTheme="minorHAnsi" w:hAnsiTheme="minorHAnsi" w:cstheme="minorHAnsi"/>
                <w:sz w:val="22"/>
                <w:szCs w:val="22"/>
              </w:rPr>
            </w:pPr>
            <w:r w:rsidRPr="006A2661">
              <w:rPr>
                <w:rFonts w:asciiTheme="minorHAnsi" w:hAnsiTheme="minorHAnsi" w:cstheme="minorHAnsi"/>
                <w:sz w:val="22"/>
                <w:szCs w:val="22"/>
              </w:rPr>
              <w:t>Replace with “Acknowledgement of receipt” (IPC)</w:t>
            </w:r>
          </w:p>
        </w:tc>
        <w:tc>
          <w:tcPr>
            <w:tcW w:w="3422" w:type="dxa"/>
            <w:shd w:val="clear" w:color="auto" w:fill="auto"/>
          </w:tcPr>
          <w:p w14:paraId="662775E9" w14:textId="77777777" w:rsidR="006A2661" w:rsidRDefault="006A2661" w:rsidP="009953C2">
            <w:pPr>
              <w:rPr>
                <w:rFonts w:asciiTheme="minorHAnsi" w:hAnsiTheme="minorHAnsi" w:cstheme="minorHAnsi"/>
                <w:sz w:val="22"/>
                <w:szCs w:val="22"/>
              </w:rPr>
            </w:pPr>
          </w:p>
        </w:tc>
      </w:tr>
      <w:tr w:rsidR="00205315" w:rsidRPr="005B2D14" w14:paraId="146F2C09" w14:textId="77777777" w:rsidTr="009953C2">
        <w:tc>
          <w:tcPr>
            <w:tcW w:w="641" w:type="dxa"/>
            <w:shd w:val="clear" w:color="auto" w:fill="auto"/>
          </w:tcPr>
          <w:p w14:paraId="16B073F5" w14:textId="77777777" w:rsidR="00205315" w:rsidRDefault="00205315"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0A5D36BB" w14:textId="3BB47B3B" w:rsidR="00205315" w:rsidRDefault="00205315" w:rsidP="009953C2">
            <w:pPr>
              <w:rPr>
                <w:rFonts w:asciiTheme="minorHAnsi" w:hAnsiTheme="minorHAnsi" w:cstheme="minorHAnsi"/>
                <w:sz w:val="22"/>
                <w:szCs w:val="22"/>
              </w:rPr>
            </w:pPr>
            <w:r>
              <w:rPr>
                <w:rFonts w:asciiTheme="minorHAnsi" w:hAnsiTheme="minorHAnsi" w:cstheme="minorHAnsi"/>
                <w:sz w:val="22"/>
                <w:szCs w:val="22"/>
              </w:rPr>
              <w:t>22 (Receipt of Acknowledgement)</w:t>
            </w:r>
          </w:p>
        </w:tc>
        <w:tc>
          <w:tcPr>
            <w:tcW w:w="3504" w:type="dxa"/>
            <w:shd w:val="clear" w:color="auto" w:fill="auto"/>
          </w:tcPr>
          <w:p w14:paraId="35094FCE" w14:textId="1D0B627C" w:rsidR="00205315" w:rsidRPr="00205315" w:rsidRDefault="00205315" w:rsidP="00205315">
            <w:pPr>
              <w:pStyle w:val="NormalWeb"/>
              <w:spacing w:before="0" w:beforeAutospacing="0" w:after="0" w:afterAutospacing="0"/>
              <w:rPr>
                <w:sz w:val="22"/>
                <w:szCs w:val="22"/>
              </w:rPr>
            </w:pPr>
            <w:r w:rsidRPr="00205315">
              <w:rPr>
                <w:rFonts w:ascii="Calibri" w:hAnsi="Calibri" w:cs="Calibri"/>
                <w:i/>
                <w:iCs/>
                <w:color w:val="000000"/>
                <w:sz w:val="22"/>
                <w:szCs w:val="22"/>
              </w:rPr>
              <w:t>The EPDP Team recommends that, consistent with the EPDP Phase 1 recommendations, the response time for acknowledging receipt of a SSAD request should be without undue delay, but not more than two (2) business days from receipt, unless (</w:t>
            </w:r>
            <w:proofErr w:type="spellStart"/>
            <w:r w:rsidRPr="00205315">
              <w:rPr>
                <w:rFonts w:ascii="Calibri" w:hAnsi="Calibri" w:cs="Calibri"/>
                <w:i/>
                <w:iCs/>
                <w:color w:val="000000"/>
                <w:sz w:val="22"/>
                <w:szCs w:val="22"/>
              </w:rPr>
              <w:t>i</w:t>
            </w:r>
            <w:proofErr w:type="spellEnd"/>
            <w:r w:rsidRPr="00205315">
              <w:rPr>
                <w:rFonts w:ascii="Calibri" w:hAnsi="Calibri" w:cs="Calibri"/>
                <w:i/>
                <w:iCs/>
                <w:color w:val="000000"/>
                <w:sz w:val="22"/>
                <w:szCs w:val="22"/>
              </w:rPr>
              <w:t>) shown circumstances do not make this possible or</w:t>
            </w:r>
            <w:r w:rsidRPr="00205315">
              <w:rPr>
                <w:rFonts w:ascii="Calibri" w:hAnsi="Calibri" w:cs="Calibri"/>
                <w:color w:val="000000"/>
                <w:sz w:val="22"/>
                <w:szCs w:val="22"/>
              </w:rPr>
              <w:t xml:space="preserve"> (ii) the SSAD is implemented using technologies which allow instantaneous responses to disclosure requests, in which case, the acknowledgement of receipt must be instantaneous. </w:t>
            </w:r>
          </w:p>
        </w:tc>
        <w:tc>
          <w:tcPr>
            <w:tcW w:w="3657" w:type="dxa"/>
            <w:shd w:val="clear" w:color="auto" w:fill="auto"/>
          </w:tcPr>
          <w:p w14:paraId="414765F1" w14:textId="02F825B9" w:rsidR="00205315" w:rsidRPr="00205315" w:rsidRDefault="00205315" w:rsidP="009953C2">
            <w:pPr>
              <w:rPr>
                <w:rFonts w:asciiTheme="minorHAnsi" w:hAnsiTheme="minorHAnsi" w:cstheme="minorHAnsi"/>
                <w:sz w:val="22"/>
                <w:szCs w:val="22"/>
              </w:rPr>
            </w:pPr>
            <w:r w:rsidRPr="00205315">
              <w:rPr>
                <w:rFonts w:asciiTheme="minorHAnsi" w:hAnsiTheme="minorHAnsi" w:cstheme="minorHAnsi"/>
                <w:sz w:val="22"/>
                <w:szCs w:val="22"/>
              </w:rPr>
              <w:t>"Urgent" requests (circumstances that pose an imminent threat to life, serious bodily injury, critical infrastructure ((online and offline)) or child exploitation) require a different system. Consider ensuring that normal business hours are prominently posted on the relevant web site along with a dedicated contact number for the exclusive use of urgent requesters to contact the potential disclosing party and notify them of the request. We should also consider how urgent requests should be handled after normal business hours.</w:t>
            </w:r>
            <w:r>
              <w:rPr>
                <w:rFonts w:asciiTheme="minorHAnsi" w:hAnsiTheme="minorHAnsi" w:cstheme="minorHAnsi"/>
                <w:sz w:val="22"/>
                <w:szCs w:val="22"/>
              </w:rPr>
              <w:t xml:space="preserve"> (GAC)</w:t>
            </w:r>
          </w:p>
        </w:tc>
        <w:tc>
          <w:tcPr>
            <w:tcW w:w="3422" w:type="dxa"/>
            <w:shd w:val="clear" w:color="auto" w:fill="auto"/>
          </w:tcPr>
          <w:p w14:paraId="6B1EB769" w14:textId="77777777" w:rsidR="00205315" w:rsidRDefault="00205315" w:rsidP="009953C2">
            <w:pPr>
              <w:rPr>
                <w:rFonts w:asciiTheme="minorHAnsi" w:hAnsiTheme="minorHAnsi" w:cstheme="minorHAnsi"/>
                <w:sz w:val="22"/>
                <w:szCs w:val="22"/>
              </w:rPr>
            </w:pPr>
          </w:p>
        </w:tc>
      </w:tr>
      <w:tr w:rsidR="00C60B34" w:rsidRPr="005B2D14" w14:paraId="71147DDB" w14:textId="77777777" w:rsidTr="00C924B8">
        <w:tc>
          <w:tcPr>
            <w:tcW w:w="641" w:type="dxa"/>
            <w:tcBorders>
              <w:bottom w:val="single" w:sz="4" w:space="0" w:color="auto"/>
            </w:tcBorders>
            <w:shd w:val="clear" w:color="auto" w:fill="auto"/>
          </w:tcPr>
          <w:p w14:paraId="1710AAAE" w14:textId="4A18D36C" w:rsidR="009953C2" w:rsidRDefault="009953C2" w:rsidP="009953C2">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shd w:val="clear" w:color="auto" w:fill="auto"/>
          </w:tcPr>
          <w:p w14:paraId="75708251" w14:textId="7A8C1E20" w:rsidR="009953C2" w:rsidRDefault="009953C2" w:rsidP="009953C2">
            <w:pPr>
              <w:rPr>
                <w:rFonts w:asciiTheme="minorHAnsi" w:hAnsiTheme="minorHAnsi" w:cstheme="minorHAnsi"/>
                <w:sz w:val="22"/>
                <w:szCs w:val="22"/>
              </w:rPr>
            </w:pPr>
            <w:r>
              <w:rPr>
                <w:rFonts w:asciiTheme="minorHAnsi" w:hAnsiTheme="minorHAnsi" w:cstheme="minorHAnsi"/>
                <w:sz w:val="22"/>
                <w:szCs w:val="22"/>
              </w:rPr>
              <w:t>22 (Authorization Provider)</w:t>
            </w:r>
          </w:p>
        </w:tc>
        <w:tc>
          <w:tcPr>
            <w:tcW w:w="3504" w:type="dxa"/>
            <w:tcBorders>
              <w:bottom w:val="single" w:sz="4" w:space="0" w:color="auto"/>
            </w:tcBorders>
            <w:shd w:val="clear" w:color="auto" w:fill="auto"/>
          </w:tcPr>
          <w:p w14:paraId="78444499" w14:textId="5F9B0867" w:rsidR="009953C2" w:rsidRPr="003215F7" w:rsidRDefault="009953C2" w:rsidP="009953C2">
            <w:r>
              <w:rPr>
                <w:rFonts w:asciiTheme="minorHAnsi" w:hAnsiTheme="minorHAnsi" w:cstheme="minorHAnsi"/>
                <w:sz w:val="22"/>
                <w:szCs w:val="22"/>
              </w:rPr>
              <w:t xml:space="preserve">1. </w:t>
            </w:r>
            <w:r w:rsidRPr="003215F7">
              <w:rPr>
                <w:rFonts w:asciiTheme="minorHAnsi" w:hAnsiTheme="minorHAnsi" w:cstheme="minorHAnsi"/>
                <w:sz w:val="22"/>
                <w:szCs w:val="22"/>
              </w:rPr>
              <w:t>The authorization provider MUST review every request on its merits and MUST NOT disclose data on the basis of accredited user category alone. For the avoidance of doubt, automated review is not explicitly prohibited where it is both legally and technically permissible</w:t>
            </w:r>
          </w:p>
        </w:tc>
        <w:tc>
          <w:tcPr>
            <w:tcW w:w="3657" w:type="dxa"/>
            <w:tcBorders>
              <w:bottom w:val="single" w:sz="4" w:space="0" w:color="auto"/>
            </w:tcBorders>
            <w:shd w:val="clear" w:color="auto" w:fill="auto"/>
          </w:tcPr>
          <w:p w14:paraId="3CACCEE8" w14:textId="77777777" w:rsidR="009953C2" w:rsidRDefault="009953C2" w:rsidP="009953C2">
            <w:pPr>
              <w:rPr>
                <w:rFonts w:asciiTheme="minorHAnsi" w:hAnsiTheme="minorHAnsi" w:cstheme="minorHAnsi"/>
                <w:sz w:val="22"/>
                <w:szCs w:val="22"/>
              </w:rPr>
            </w:pPr>
            <w:r w:rsidRPr="003215F7">
              <w:rPr>
                <w:rFonts w:asciiTheme="minorHAnsi" w:hAnsiTheme="minorHAnsi" w:cstheme="minorHAnsi"/>
                <w:sz w:val="22"/>
                <w:szCs w:val="22"/>
              </w:rPr>
              <w:t>Regarding the proposed language in Section 1, could a computer confirm whether or not all the requirements for a request are met and, if so, automatically arrange for the release the data, or does each request have to be reviewed for substance? Does this section simply mean that the authorization provider MUST NOT disclose data on the basis that the requestor is accredited in a specific user category? (ICANN Org Liaisons)</w:t>
            </w:r>
          </w:p>
          <w:p w14:paraId="73F50794" w14:textId="77777777" w:rsidR="009140DA" w:rsidRDefault="009140DA" w:rsidP="009953C2"/>
          <w:p w14:paraId="6E08A66D" w14:textId="070D87AE" w:rsidR="009140DA" w:rsidRPr="009140DA" w:rsidRDefault="009140DA" w:rsidP="009953C2">
            <w:pPr>
              <w:rPr>
                <w:rFonts w:asciiTheme="minorHAnsi" w:hAnsiTheme="minorHAnsi" w:cstheme="minorHAnsi"/>
                <w:sz w:val="22"/>
                <w:szCs w:val="22"/>
              </w:rPr>
            </w:pPr>
            <w:r w:rsidRPr="009140DA">
              <w:rPr>
                <w:rFonts w:asciiTheme="minorHAnsi" w:hAnsiTheme="minorHAnsi" w:cstheme="minorHAnsi"/>
                <w:sz w:val="22"/>
                <w:szCs w:val="22"/>
              </w:rPr>
              <w:t xml:space="preserve">A computer could confirm whether the requirements are met or </w:t>
            </w:r>
            <w:proofErr w:type="gramStart"/>
            <w:r w:rsidRPr="009140DA">
              <w:rPr>
                <w:rFonts w:asciiTheme="minorHAnsi" w:hAnsiTheme="minorHAnsi" w:cstheme="minorHAnsi"/>
                <w:sz w:val="22"/>
                <w:szCs w:val="22"/>
              </w:rPr>
              <w:t>not</w:t>
            </w:r>
            <w:proofErr w:type="gramEnd"/>
            <w:r w:rsidRPr="009140DA">
              <w:rPr>
                <w:rFonts w:asciiTheme="minorHAnsi" w:hAnsiTheme="minorHAnsi" w:cstheme="minorHAnsi"/>
                <w:sz w:val="22"/>
                <w:szCs w:val="22"/>
              </w:rPr>
              <w:t xml:space="preserve"> but this does not mean that the data could be automatically released. There is a difference between automated review and automatic disclosure and </w:t>
            </w:r>
            <w:proofErr w:type="gramStart"/>
            <w:r w:rsidRPr="009140DA">
              <w:rPr>
                <w:rFonts w:asciiTheme="minorHAnsi" w:hAnsiTheme="minorHAnsi" w:cstheme="minorHAnsi"/>
                <w:sz w:val="22"/>
                <w:szCs w:val="22"/>
              </w:rPr>
              <w:t>yes</w:t>
            </w:r>
            <w:proofErr w:type="gramEnd"/>
            <w:r w:rsidRPr="009140DA">
              <w:rPr>
                <w:rFonts w:asciiTheme="minorHAnsi" w:hAnsiTheme="minorHAnsi" w:cstheme="minorHAnsi"/>
                <w:sz w:val="22"/>
                <w:szCs w:val="22"/>
              </w:rPr>
              <w:t xml:space="preserve"> the authorization provider should not release the data based ONLY on the specific category of the requester.</w:t>
            </w:r>
            <w:r>
              <w:rPr>
                <w:rFonts w:asciiTheme="minorHAnsi" w:hAnsiTheme="minorHAnsi" w:cstheme="minorHAnsi"/>
                <w:sz w:val="22"/>
                <w:szCs w:val="22"/>
              </w:rPr>
              <w:t xml:space="preserve"> (ALAC)</w:t>
            </w:r>
          </w:p>
        </w:tc>
        <w:tc>
          <w:tcPr>
            <w:tcW w:w="3422" w:type="dxa"/>
            <w:tcBorders>
              <w:bottom w:val="single" w:sz="4" w:space="0" w:color="auto"/>
            </w:tcBorders>
            <w:shd w:val="clear" w:color="auto" w:fill="auto"/>
          </w:tcPr>
          <w:p w14:paraId="5CE5A5BF" w14:textId="77777777" w:rsidR="009953C2" w:rsidRDefault="009953C2" w:rsidP="009953C2">
            <w:pPr>
              <w:rPr>
                <w:rFonts w:asciiTheme="minorHAnsi" w:hAnsiTheme="minorHAnsi" w:cstheme="minorHAnsi"/>
                <w:sz w:val="22"/>
                <w:szCs w:val="22"/>
              </w:rPr>
            </w:pPr>
          </w:p>
        </w:tc>
      </w:tr>
      <w:tr w:rsidR="00C60B34" w:rsidRPr="005B2D14" w14:paraId="71279FD4" w14:textId="77777777" w:rsidTr="00C924B8">
        <w:tc>
          <w:tcPr>
            <w:tcW w:w="641" w:type="dxa"/>
            <w:shd w:val="clear" w:color="auto" w:fill="70AD47" w:themeFill="accent6"/>
          </w:tcPr>
          <w:p w14:paraId="0DBDD173" w14:textId="77777777" w:rsidR="00C924B8" w:rsidRDefault="00C924B8" w:rsidP="009953C2">
            <w:pPr>
              <w:pStyle w:val="ListParagraph"/>
              <w:numPr>
                <w:ilvl w:val="0"/>
                <w:numId w:val="2"/>
              </w:numPr>
              <w:rPr>
                <w:rFonts w:asciiTheme="minorHAnsi" w:hAnsiTheme="minorHAnsi" w:cstheme="minorHAnsi"/>
                <w:sz w:val="22"/>
                <w:szCs w:val="22"/>
              </w:rPr>
            </w:pPr>
          </w:p>
        </w:tc>
        <w:tc>
          <w:tcPr>
            <w:tcW w:w="1726" w:type="dxa"/>
            <w:shd w:val="clear" w:color="auto" w:fill="70AD47" w:themeFill="accent6"/>
          </w:tcPr>
          <w:p w14:paraId="4618D489" w14:textId="4D50EE7B" w:rsidR="00C924B8" w:rsidRDefault="00C924B8" w:rsidP="009953C2">
            <w:pPr>
              <w:rPr>
                <w:rFonts w:asciiTheme="minorHAnsi" w:hAnsiTheme="minorHAnsi" w:cstheme="minorHAnsi"/>
                <w:sz w:val="22"/>
                <w:szCs w:val="22"/>
              </w:rPr>
            </w:pPr>
            <w:r>
              <w:rPr>
                <w:rFonts w:asciiTheme="minorHAnsi" w:hAnsiTheme="minorHAnsi" w:cstheme="minorHAnsi"/>
                <w:sz w:val="22"/>
                <w:szCs w:val="22"/>
              </w:rPr>
              <w:t>22-23 (Authorization Provider)</w:t>
            </w:r>
          </w:p>
        </w:tc>
        <w:tc>
          <w:tcPr>
            <w:tcW w:w="3504" w:type="dxa"/>
            <w:shd w:val="clear" w:color="auto" w:fill="70AD47" w:themeFill="accent6"/>
          </w:tcPr>
          <w:p w14:paraId="419E689B" w14:textId="0EF904BD" w:rsidR="00C924B8" w:rsidRPr="00C924B8" w:rsidRDefault="00C924B8" w:rsidP="009953C2">
            <w:pPr>
              <w:rPr>
                <w:rFonts w:ascii="Calibri" w:hAnsi="Calibri" w:cs="Calibri"/>
                <w:color w:val="000000"/>
                <w:sz w:val="22"/>
                <w:szCs w:val="22"/>
              </w:rPr>
            </w:pPr>
            <w:r>
              <w:rPr>
                <w:rFonts w:ascii="Calibri" w:hAnsi="Calibri" w:cs="Calibri"/>
                <w:color w:val="000000"/>
                <w:sz w:val="22"/>
                <w:szCs w:val="22"/>
              </w:rPr>
              <w:t>2. T</w:t>
            </w:r>
            <w:r w:rsidRPr="00C924B8">
              <w:rPr>
                <w:rFonts w:ascii="Calibri" w:hAnsi="Calibri" w:cs="Calibri"/>
                <w:color w:val="000000"/>
                <w:sz w:val="22"/>
                <w:szCs w:val="22"/>
              </w:rPr>
              <w:t xml:space="preserve">he authorization provider MUST confirm that all required information as per </w:t>
            </w:r>
            <w:hyperlink r:id="rId8" w:history="1">
              <w:r w:rsidRPr="00C924B8">
                <w:rPr>
                  <w:sz w:val="22"/>
                  <w:szCs w:val="22"/>
                </w:rPr>
                <w:t>building block a) ‘criteria and content of requests’</w:t>
              </w:r>
            </w:hyperlink>
            <w:r w:rsidRPr="00C924B8">
              <w:rPr>
                <w:rFonts w:ascii="Calibri" w:hAnsi="Calibri" w:cs="Calibri"/>
                <w:color w:val="000000"/>
                <w:sz w:val="22"/>
                <w:szCs w:val="22"/>
              </w:rPr>
              <w:t xml:space="preserve"> is provided. Should the authorization provider determine that the request is incomplete, the authorization provider must reply to the requestor with an incomplete request response, detailing which required data is </w:t>
            </w:r>
            <w:r w:rsidRPr="00C924B8">
              <w:rPr>
                <w:rFonts w:ascii="Calibri" w:hAnsi="Calibri" w:cs="Calibri"/>
                <w:color w:val="000000"/>
                <w:sz w:val="22"/>
                <w:szCs w:val="22"/>
              </w:rPr>
              <w:lastRenderedPageBreak/>
              <w:t>missing, and provide an opportunity for the requestor to amend its request. [Note: this confirmation could also be the responsibility of the central gateway manager if the manager is not the same entity as the authorization provider.</w:t>
            </w:r>
          </w:p>
        </w:tc>
        <w:tc>
          <w:tcPr>
            <w:tcW w:w="3657" w:type="dxa"/>
            <w:shd w:val="clear" w:color="auto" w:fill="70AD47" w:themeFill="accent6"/>
          </w:tcPr>
          <w:p w14:paraId="751FDE2B" w14:textId="0A5666BA" w:rsidR="00C924B8" w:rsidRPr="00C924B8" w:rsidRDefault="00C924B8" w:rsidP="009953C2">
            <w:r w:rsidRPr="00C924B8">
              <w:rPr>
                <w:rFonts w:asciiTheme="minorHAnsi" w:hAnsiTheme="minorHAnsi" w:cstheme="minorHAnsi"/>
                <w:sz w:val="22"/>
                <w:szCs w:val="22"/>
              </w:rPr>
              <w:lastRenderedPageBreak/>
              <w:t>Section 2 makes reference to building block a and Section 4 makes reference to preliminary recommendations 3 and 5. The reference to the building block needs to be removed and the preliminary recommendations do not match this report.  (ISPCP)</w:t>
            </w:r>
          </w:p>
        </w:tc>
        <w:tc>
          <w:tcPr>
            <w:tcW w:w="3422" w:type="dxa"/>
            <w:shd w:val="clear" w:color="auto" w:fill="70AD47" w:themeFill="accent6"/>
          </w:tcPr>
          <w:p w14:paraId="629B0BFC" w14:textId="63A44D4F" w:rsidR="00C924B8" w:rsidRDefault="00C924B8" w:rsidP="009953C2">
            <w:pPr>
              <w:rPr>
                <w:rFonts w:asciiTheme="minorHAnsi" w:hAnsiTheme="minorHAnsi" w:cstheme="minorHAnsi"/>
                <w:sz w:val="22"/>
                <w:szCs w:val="22"/>
              </w:rPr>
            </w:pPr>
            <w:r>
              <w:rPr>
                <w:rFonts w:asciiTheme="minorHAnsi" w:hAnsiTheme="minorHAnsi" w:cstheme="minorHAnsi"/>
                <w:sz w:val="22"/>
                <w:szCs w:val="22"/>
              </w:rPr>
              <w:t>Staff support to update this section and remove the reference to building block and confirm # of preliminary recommendations referenced.</w:t>
            </w:r>
          </w:p>
        </w:tc>
      </w:tr>
      <w:tr w:rsidR="00F26DBD" w:rsidRPr="005B2D14" w14:paraId="5F2C8B5D" w14:textId="77777777" w:rsidTr="009953C2">
        <w:tc>
          <w:tcPr>
            <w:tcW w:w="641" w:type="dxa"/>
            <w:shd w:val="clear" w:color="auto" w:fill="auto"/>
          </w:tcPr>
          <w:p w14:paraId="2B77119D" w14:textId="158D8638" w:rsidR="009953C2"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11EB8722" w14:textId="1FC2A0DD" w:rsidR="009953C2" w:rsidRDefault="009953C2" w:rsidP="009953C2">
            <w:pPr>
              <w:rPr>
                <w:rFonts w:asciiTheme="minorHAnsi" w:hAnsiTheme="minorHAnsi" w:cstheme="minorHAnsi"/>
                <w:sz w:val="22"/>
                <w:szCs w:val="22"/>
              </w:rPr>
            </w:pPr>
            <w:r>
              <w:rPr>
                <w:rFonts w:asciiTheme="minorHAnsi" w:hAnsiTheme="minorHAnsi" w:cstheme="minorHAnsi"/>
                <w:sz w:val="22"/>
                <w:szCs w:val="22"/>
              </w:rPr>
              <w:t>23 (Authorization Provider)</w:t>
            </w:r>
          </w:p>
        </w:tc>
        <w:tc>
          <w:tcPr>
            <w:tcW w:w="3504" w:type="dxa"/>
            <w:shd w:val="clear" w:color="auto" w:fill="auto"/>
          </w:tcPr>
          <w:p w14:paraId="13ABE7B0" w14:textId="312D7E5D" w:rsidR="009953C2" w:rsidRPr="003215F7" w:rsidRDefault="009953C2" w:rsidP="009953C2">
            <w:pPr>
              <w:rPr>
                <w:sz w:val="22"/>
                <w:szCs w:val="22"/>
              </w:rPr>
            </w:pPr>
            <w:r w:rsidRPr="003215F7">
              <w:rPr>
                <w:rFonts w:asciiTheme="minorHAnsi" w:hAnsiTheme="minorHAnsi" w:cstheme="minorHAnsi"/>
                <w:sz w:val="22"/>
                <w:szCs w:val="22"/>
              </w:rPr>
              <w:t xml:space="preserve">3. </w:t>
            </w:r>
            <w:r w:rsidRPr="003215F7">
              <w:rPr>
                <w:rFonts w:ascii="Calibri" w:hAnsi="Calibri" w:cs="Calibri"/>
                <w:color w:val="000000"/>
                <w:sz w:val="22"/>
                <w:szCs w:val="22"/>
              </w:rPr>
              <w:t>While the requestor will have the ability to identify the lawful basis under which it expects the authorization provider to disclose the data requested, the authorization provider must make the final determination of the appropriate lawful basis.</w:t>
            </w:r>
          </w:p>
        </w:tc>
        <w:tc>
          <w:tcPr>
            <w:tcW w:w="3657" w:type="dxa"/>
            <w:shd w:val="clear" w:color="auto" w:fill="auto"/>
          </w:tcPr>
          <w:p w14:paraId="44E41797" w14:textId="5B567307" w:rsidR="009953C2" w:rsidRPr="003215F7" w:rsidRDefault="009953C2" w:rsidP="009953C2">
            <w:pPr>
              <w:rPr>
                <w:rFonts w:asciiTheme="minorHAnsi" w:hAnsiTheme="minorHAnsi" w:cstheme="minorHAnsi"/>
                <w:sz w:val="22"/>
                <w:szCs w:val="22"/>
              </w:rPr>
            </w:pPr>
            <w:r w:rsidRPr="003215F7">
              <w:rPr>
                <w:rFonts w:asciiTheme="minorHAnsi" w:hAnsiTheme="minorHAnsi" w:cstheme="minorHAnsi"/>
                <w:sz w:val="22"/>
                <w:szCs w:val="22"/>
              </w:rPr>
              <w:t>In Section 3, whose “appropriate lawful basis” is the authorization provider required to determine? If this is a party other than the authorization provider, how would the authorization provider be expected to make this determination?</w:t>
            </w:r>
            <w:r>
              <w:rPr>
                <w:rFonts w:asciiTheme="minorHAnsi" w:hAnsiTheme="minorHAnsi" w:cstheme="minorHAnsi"/>
                <w:sz w:val="22"/>
                <w:szCs w:val="22"/>
              </w:rPr>
              <w:t xml:space="preserve"> (ICANN Org Liaisons)</w:t>
            </w:r>
          </w:p>
        </w:tc>
        <w:tc>
          <w:tcPr>
            <w:tcW w:w="3422" w:type="dxa"/>
            <w:shd w:val="clear" w:color="auto" w:fill="auto"/>
          </w:tcPr>
          <w:p w14:paraId="7D69CEB9" w14:textId="77777777" w:rsidR="009953C2" w:rsidRDefault="009953C2" w:rsidP="009953C2">
            <w:pPr>
              <w:rPr>
                <w:rFonts w:asciiTheme="minorHAnsi" w:hAnsiTheme="minorHAnsi" w:cstheme="minorHAnsi"/>
                <w:sz w:val="22"/>
                <w:szCs w:val="22"/>
              </w:rPr>
            </w:pPr>
          </w:p>
        </w:tc>
      </w:tr>
      <w:tr w:rsidR="006A2661" w:rsidRPr="005B2D14" w14:paraId="7EAB367D" w14:textId="77777777" w:rsidTr="009953C2">
        <w:tc>
          <w:tcPr>
            <w:tcW w:w="641" w:type="dxa"/>
            <w:shd w:val="clear" w:color="auto" w:fill="auto"/>
          </w:tcPr>
          <w:p w14:paraId="3AFC1D2C" w14:textId="77777777" w:rsidR="006A2661" w:rsidRDefault="006A2661"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74F7EE28" w14:textId="2FD2BA96" w:rsidR="006A2661" w:rsidRDefault="006A2661" w:rsidP="009953C2">
            <w:pPr>
              <w:rPr>
                <w:rFonts w:asciiTheme="minorHAnsi" w:hAnsiTheme="minorHAnsi" w:cstheme="minorHAnsi"/>
                <w:sz w:val="22"/>
                <w:szCs w:val="22"/>
              </w:rPr>
            </w:pPr>
            <w:r>
              <w:rPr>
                <w:rFonts w:asciiTheme="minorHAnsi" w:hAnsiTheme="minorHAnsi" w:cstheme="minorHAnsi"/>
                <w:sz w:val="22"/>
                <w:szCs w:val="22"/>
              </w:rPr>
              <w:t>23 (Authorization Provider)</w:t>
            </w:r>
          </w:p>
        </w:tc>
        <w:tc>
          <w:tcPr>
            <w:tcW w:w="3504" w:type="dxa"/>
            <w:shd w:val="clear" w:color="auto" w:fill="auto"/>
          </w:tcPr>
          <w:p w14:paraId="6CF6A161" w14:textId="77777777" w:rsidR="006A2661" w:rsidRPr="006A2661" w:rsidRDefault="006A2661" w:rsidP="006A2661">
            <w:pPr>
              <w:pStyle w:val="NormalWeb"/>
              <w:spacing w:before="0" w:beforeAutospacing="0" w:after="0" w:afterAutospacing="0"/>
              <w:textAlignment w:val="baseline"/>
              <w:rPr>
                <w:rFonts w:ascii="Calibri" w:hAnsi="Calibri" w:cs="Calibri"/>
                <w:color w:val="000000"/>
                <w:sz w:val="22"/>
                <w:szCs w:val="22"/>
              </w:rPr>
            </w:pPr>
            <w:r w:rsidRPr="006A2661">
              <w:rPr>
                <w:rFonts w:ascii="Calibri" w:hAnsi="Calibri" w:cs="Calibri"/>
                <w:color w:val="000000"/>
                <w:sz w:val="22"/>
                <w:szCs w:val="22"/>
              </w:rPr>
              <w:t>4. The authorization provider should make a threshold determination (without processing the underlying data) about whether the requestor has established an interest in the disclosure of personal data. The determination should consider the elements:</w:t>
            </w:r>
          </w:p>
          <w:p w14:paraId="4C99EE2A" w14:textId="77777777" w:rsidR="006A2661" w:rsidRPr="006A2661" w:rsidRDefault="006A2661" w:rsidP="006A2661">
            <w:pPr>
              <w:pStyle w:val="NormalWeb"/>
              <w:numPr>
                <w:ilvl w:val="1"/>
                <w:numId w:val="22"/>
              </w:numPr>
              <w:spacing w:before="0" w:beforeAutospacing="0" w:after="0" w:afterAutospacing="0"/>
              <w:ind w:left="324" w:hanging="324"/>
              <w:textAlignment w:val="baseline"/>
              <w:rPr>
                <w:rFonts w:ascii="Calibri" w:hAnsi="Calibri" w:cs="Calibri"/>
                <w:color w:val="000000"/>
                <w:sz w:val="22"/>
                <w:szCs w:val="22"/>
              </w:rPr>
            </w:pPr>
            <w:r w:rsidRPr="006A2661">
              <w:rPr>
                <w:rFonts w:ascii="Calibri" w:hAnsi="Calibri" w:cs="Calibri"/>
                <w:color w:val="000000"/>
                <w:sz w:val="22"/>
                <w:szCs w:val="22"/>
              </w:rPr>
              <w:t>Is the identity of the requestor clear/verified?</w:t>
            </w:r>
          </w:p>
          <w:p w14:paraId="485298B3" w14:textId="77777777" w:rsidR="006A2661" w:rsidRPr="006A2661" w:rsidRDefault="006A2661" w:rsidP="006A2661">
            <w:pPr>
              <w:pStyle w:val="NormalWeb"/>
              <w:numPr>
                <w:ilvl w:val="1"/>
                <w:numId w:val="22"/>
              </w:numPr>
              <w:spacing w:before="0" w:beforeAutospacing="0" w:after="0" w:afterAutospacing="0"/>
              <w:ind w:left="324" w:hanging="324"/>
              <w:textAlignment w:val="baseline"/>
              <w:rPr>
                <w:rFonts w:ascii="Calibri" w:hAnsi="Calibri" w:cs="Calibri"/>
                <w:color w:val="000000"/>
                <w:sz w:val="22"/>
                <w:szCs w:val="22"/>
              </w:rPr>
            </w:pPr>
            <w:r w:rsidRPr="006A2661">
              <w:rPr>
                <w:rFonts w:ascii="Calibri" w:hAnsi="Calibri" w:cs="Calibri"/>
                <w:color w:val="000000"/>
                <w:sz w:val="22"/>
                <w:szCs w:val="22"/>
              </w:rPr>
              <w:t>Has the requestor provided a legitimate interest or other lawful basis in processing the data?</w:t>
            </w:r>
          </w:p>
          <w:p w14:paraId="673041E9" w14:textId="77777777" w:rsidR="006A2661" w:rsidRDefault="006A2661" w:rsidP="006A2661">
            <w:pPr>
              <w:pStyle w:val="NormalWeb"/>
              <w:numPr>
                <w:ilvl w:val="0"/>
                <w:numId w:val="23"/>
              </w:numPr>
              <w:spacing w:before="0" w:beforeAutospacing="0" w:after="0" w:afterAutospacing="0"/>
              <w:ind w:left="324" w:hanging="270"/>
              <w:textAlignment w:val="baseline"/>
              <w:rPr>
                <w:rFonts w:ascii="Calibri" w:hAnsi="Calibri" w:cs="Calibri"/>
                <w:color w:val="000000"/>
                <w:sz w:val="22"/>
                <w:szCs w:val="22"/>
              </w:rPr>
            </w:pPr>
            <w:r w:rsidRPr="006A2661">
              <w:rPr>
                <w:rFonts w:ascii="Calibri" w:hAnsi="Calibri" w:cs="Calibri"/>
                <w:color w:val="000000"/>
                <w:sz w:val="22"/>
                <w:szCs w:val="22"/>
              </w:rPr>
              <w:t>Are the data elements requested necessary to the requestor’s stated purpose?</w:t>
            </w:r>
          </w:p>
          <w:p w14:paraId="68712B38" w14:textId="77777777" w:rsidR="006A2661" w:rsidRDefault="006A2661" w:rsidP="006A2661">
            <w:pPr>
              <w:pStyle w:val="NormalWeb"/>
              <w:numPr>
                <w:ilvl w:val="1"/>
                <w:numId w:val="23"/>
              </w:numPr>
              <w:spacing w:before="0" w:beforeAutospacing="0" w:after="0" w:afterAutospacing="0"/>
              <w:textAlignment w:val="baseline"/>
              <w:rPr>
                <w:rFonts w:ascii="Calibri" w:hAnsi="Calibri" w:cs="Calibri"/>
                <w:color w:val="000000"/>
                <w:sz w:val="22"/>
                <w:szCs w:val="22"/>
              </w:rPr>
            </w:pPr>
            <w:r w:rsidRPr="006A2661">
              <w:rPr>
                <w:rFonts w:ascii="Calibri" w:hAnsi="Calibri" w:cs="Calibri"/>
                <w:color w:val="000000"/>
                <w:sz w:val="22"/>
                <w:szCs w:val="22"/>
              </w:rPr>
              <w:lastRenderedPageBreak/>
              <w:t>Necessary means more than desirable but less than indispensable or absolutely necessary.</w:t>
            </w:r>
          </w:p>
          <w:p w14:paraId="6EFA14DA" w14:textId="77777777" w:rsidR="006A2661" w:rsidRDefault="006A2661" w:rsidP="006A2661">
            <w:pPr>
              <w:pStyle w:val="NormalWeb"/>
              <w:numPr>
                <w:ilvl w:val="0"/>
                <w:numId w:val="23"/>
              </w:numPr>
              <w:spacing w:before="0" w:beforeAutospacing="0" w:after="0" w:afterAutospacing="0"/>
              <w:ind w:left="324" w:hanging="270"/>
              <w:textAlignment w:val="baseline"/>
              <w:rPr>
                <w:rFonts w:ascii="Calibri" w:hAnsi="Calibri" w:cs="Calibri"/>
                <w:color w:val="000000"/>
                <w:sz w:val="22"/>
                <w:szCs w:val="22"/>
              </w:rPr>
            </w:pPr>
            <w:r w:rsidRPr="006A2661">
              <w:rPr>
                <w:rFonts w:ascii="Calibri" w:hAnsi="Calibri" w:cs="Calibri"/>
                <w:color w:val="000000"/>
                <w:sz w:val="22"/>
                <w:szCs w:val="22"/>
              </w:rPr>
              <w:t xml:space="preserve">Using the guidance provided in </w:t>
            </w:r>
            <w:r w:rsidRPr="006A2661">
              <w:rPr>
                <w:rFonts w:ascii="Calibri" w:hAnsi="Calibri" w:cs="Calibri"/>
                <w:i/>
                <w:iCs/>
                <w:color w:val="000000"/>
                <w:sz w:val="22"/>
                <w:szCs w:val="22"/>
              </w:rPr>
              <w:t xml:space="preserve">Preliminary Recommendation 3 (User Groups) </w:t>
            </w:r>
            <w:r w:rsidRPr="006A2661">
              <w:rPr>
                <w:rFonts w:ascii="Calibri" w:hAnsi="Calibri" w:cs="Calibri"/>
                <w:color w:val="000000"/>
                <w:sz w:val="22"/>
                <w:szCs w:val="22"/>
              </w:rPr>
              <w:t>and/or 5 (Purposes)</w:t>
            </w:r>
            <w:r w:rsidRPr="006A2661">
              <w:rPr>
                <w:rFonts w:ascii="Calibri" w:hAnsi="Calibri" w:cs="Calibri"/>
                <w:i/>
                <w:iCs/>
                <w:color w:val="000000"/>
                <w:sz w:val="22"/>
                <w:szCs w:val="22"/>
              </w:rPr>
              <w:t xml:space="preserve"> </w:t>
            </w:r>
            <w:r w:rsidRPr="006A2661">
              <w:rPr>
                <w:rFonts w:ascii="Calibri" w:hAnsi="Calibri" w:cs="Calibri"/>
                <w:color w:val="000000"/>
                <w:sz w:val="22"/>
                <w:szCs w:val="22"/>
              </w:rPr>
              <w:t>about the usefulness and n</w:t>
            </w:r>
            <w:r w:rsidRPr="006A2661">
              <w:rPr>
                <w:rFonts w:ascii="Calibri" w:hAnsi="Calibri" w:cs="Calibri"/>
                <w:i/>
                <w:iCs/>
                <w:color w:val="000000"/>
                <w:sz w:val="22"/>
                <w:szCs w:val="22"/>
              </w:rPr>
              <w:t>ecessity</w:t>
            </w:r>
            <w:r w:rsidRPr="006A2661">
              <w:rPr>
                <w:rFonts w:ascii="Calibri" w:hAnsi="Calibri" w:cs="Calibri"/>
                <w:color w:val="000000"/>
                <w:sz w:val="22"/>
                <w:szCs w:val="22"/>
              </w:rPr>
              <w:t xml:space="preserve"> of data elements, the authorization provider should determine whether Are the data elements requested are </w:t>
            </w:r>
            <w:r w:rsidRPr="006A2661">
              <w:rPr>
                <w:rFonts w:ascii="Calibri" w:hAnsi="Calibri" w:cs="Calibri"/>
                <w:i/>
                <w:iCs/>
                <w:color w:val="000000"/>
                <w:sz w:val="22"/>
                <w:szCs w:val="22"/>
              </w:rPr>
              <w:t>limited and reasonable</w:t>
            </w:r>
            <w:r w:rsidRPr="006A2661">
              <w:rPr>
                <w:rFonts w:ascii="Calibri" w:hAnsi="Calibri" w:cs="Calibri"/>
                <w:color w:val="000000"/>
                <w:sz w:val="22"/>
                <w:szCs w:val="22"/>
              </w:rPr>
              <w:t xml:space="preserve"> to achieve the requestor’s stated purpose?</w:t>
            </w:r>
          </w:p>
          <w:p w14:paraId="17D0E6C8" w14:textId="77777777" w:rsidR="006A2661" w:rsidRDefault="006A2661" w:rsidP="006A2661">
            <w:pPr>
              <w:pStyle w:val="NormalWeb"/>
              <w:numPr>
                <w:ilvl w:val="1"/>
                <w:numId w:val="23"/>
              </w:numPr>
              <w:spacing w:before="0" w:beforeAutospacing="0" w:after="0" w:afterAutospacing="0"/>
              <w:textAlignment w:val="baseline"/>
              <w:rPr>
                <w:rFonts w:ascii="Calibri" w:hAnsi="Calibri" w:cs="Calibri"/>
                <w:color w:val="000000"/>
                <w:sz w:val="22"/>
                <w:szCs w:val="22"/>
              </w:rPr>
            </w:pPr>
            <w:r w:rsidRPr="006A2661">
              <w:rPr>
                <w:rFonts w:ascii="Calibri" w:hAnsi="Calibri" w:cs="Calibri"/>
                <w:color w:val="000000"/>
                <w:sz w:val="22"/>
                <w:szCs w:val="22"/>
              </w:rPr>
              <w:t>Each request should be evaluated individually (i.e. each submission should contain a request for data related to a single domain. If a submission relates to multiple domains, each must be evaluated individually.).</w:t>
            </w:r>
          </w:p>
          <w:p w14:paraId="4AC903E8" w14:textId="77777777" w:rsidR="006A2661" w:rsidRDefault="006A2661" w:rsidP="006A2661">
            <w:pPr>
              <w:pStyle w:val="NormalWeb"/>
              <w:numPr>
                <w:ilvl w:val="1"/>
                <w:numId w:val="23"/>
              </w:numPr>
              <w:spacing w:before="0" w:beforeAutospacing="0" w:after="0" w:afterAutospacing="0"/>
              <w:textAlignment w:val="baseline"/>
              <w:rPr>
                <w:rFonts w:ascii="Calibri" w:hAnsi="Calibri" w:cs="Calibri"/>
                <w:color w:val="000000"/>
                <w:sz w:val="22"/>
                <w:szCs w:val="22"/>
              </w:rPr>
            </w:pPr>
            <w:r w:rsidRPr="006A2661">
              <w:rPr>
                <w:rFonts w:ascii="Calibri" w:hAnsi="Calibri" w:cs="Calibri"/>
                <w:color w:val="000000"/>
                <w:sz w:val="22"/>
                <w:szCs w:val="22"/>
              </w:rPr>
              <w:t>In addition, each data element in a request should be evaluated individually.</w:t>
            </w:r>
          </w:p>
          <w:p w14:paraId="6678782E" w14:textId="4C94CA00" w:rsidR="00E941FD" w:rsidRPr="006A2661" w:rsidRDefault="00E941FD" w:rsidP="00E941FD">
            <w:pPr>
              <w:pStyle w:val="NormalWeb"/>
              <w:pBdr>
                <w:top w:val="nil"/>
                <w:left w:val="nil"/>
                <w:bottom w:val="nil"/>
                <w:right w:val="nil"/>
                <w:between w:val="nil"/>
              </w:pBdr>
              <w:spacing w:before="0" w:beforeAutospacing="0" w:after="0" w:afterAutospacing="0"/>
              <w:textAlignment w:val="baseline"/>
              <w:rPr>
                <w:rFonts w:ascii="Calibri" w:hAnsi="Calibri" w:cs="Calibri"/>
                <w:color w:val="000000"/>
                <w:sz w:val="22"/>
                <w:szCs w:val="22"/>
              </w:rPr>
            </w:pPr>
            <w:r w:rsidRPr="00E941FD">
              <w:rPr>
                <w:rFonts w:ascii="Calibri" w:hAnsi="Calibri" w:cs="Calibri"/>
                <w:color w:val="000000"/>
                <w:sz w:val="22"/>
                <w:szCs w:val="22"/>
              </w:rPr>
              <w:t xml:space="preserve">If the answer to any of the above questions is no, the authorization provider may deny the request, or </w:t>
            </w:r>
            <w:r w:rsidRPr="00E941FD">
              <w:rPr>
                <w:rFonts w:ascii="Calibri" w:hAnsi="Calibri" w:cs="Calibri"/>
                <w:color w:val="000000"/>
                <w:sz w:val="22"/>
                <w:szCs w:val="22"/>
              </w:rPr>
              <w:lastRenderedPageBreak/>
              <w:t>require further information from the requestor before proceeding to paragraph 6 below.</w:t>
            </w:r>
          </w:p>
        </w:tc>
        <w:tc>
          <w:tcPr>
            <w:tcW w:w="3657" w:type="dxa"/>
            <w:shd w:val="clear" w:color="auto" w:fill="auto"/>
          </w:tcPr>
          <w:p w14:paraId="34BA6E22" w14:textId="77777777" w:rsidR="006A2661" w:rsidRPr="006A2661" w:rsidRDefault="006A2661" w:rsidP="009953C2">
            <w:pPr>
              <w:rPr>
                <w:rFonts w:asciiTheme="minorHAnsi" w:hAnsiTheme="minorHAnsi" w:cstheme="minorHAnsi"/>
                <w:sz w:val="22"/>
                <w:szCs w:val="22"/>
              </w:rPr>
            </w:pPr>
            <w:r w:rsidRPr="006A2661">
              <w:rPr>
                <w:rFonts w:asciiTheme="minorHAnsi" w:hAnsiTheme="minorHAnsi" w:cstheme="minorHAnsi"/>
                <w:sz w:val="22"/>
                <w:szCs w:val="22"/>
              </w:rPr>
              <w:lastRenderedPageBreak/>
              <w:t>Ref to User Groups - Delete for accuracy since this is gone. We agreed to deletion User Groups only if Purposes is sufficiently explicit. (IPC)</w:t>
            </w:r>
          </w:p>
          <w:p w14:paraId="32725BA2" w14:textId="77777777" w:rsidR="006A2661" w:rsidRPr="006A2661" w:rsidRDefault="006A2661" w:rsidP="009953C2">
            <w:pPr>
              <w:rPr>
                <w:rFonts w:asciiTheme="minorHAnsi" w:hAnsiTheme="minorHAnsi" w:cstheme="minorHAnsi"/>
                <w:sz w:val="22"/>
                <w:szCs w:val="22"/>
              </w:rPr>
            </w:pPr>
          </w:p>
          <w:p w14:paraId="0B38ACDC" w14:textId="24E00740" w:rsidR="006A2661" w:rsidRDefault="006A2661" w:rsidP="006A2661">
            <w:pPr>
              <w:rPr>
                <w:rFonts w:asciiTheme="minorHAnsi" w:hAnsiTheme="minorHAnsi" w:cstheme="minorHAnsi"/>
                <w:sz w:val="22"/>
                <w:szCs w:val="22"/>
              </w:rPr>
            </w:pPr>
            <w:r w:rsidRPr="006A2661">
              <w:rPr>
                <w:rFonts w:asciiTheme="minorHAnsi" w:hAnsiTheme="minorHAnsi" w:cstheme="minorHAnsi"/>
                <w:sz w:val="22"/>
                <w:szCs w:val="22"/>
              </w:rPr>
              <w:t>‘Usefulness and necessity of data elements’ - At it stands, Rec#3 provides no such guidance. This shows why not using the User Groups we had developed, and not providing a list of purposes identified as legitimate, makes no sense: without them, the authorization provider(s) has/have to develop, and regularly update, by itself/themselves expertise on the data elements that are necessary for various types of requestors/purposes.</w:t>
            </w:r>
            <w:r>
              <w:rPr>
                <w:rFonts w:asciiTheme="minorHAnsi" w:hAnsiTheme="minorHAnsi" w:cstheme="minorHAnsi"/>
                <w:sz w:val="22"/>
                <w:szCs w:val="22"/>
              </w:rPr>
              <w:t xml:space="preserve"> (IPC)</w:t>
            </w:r>
          </w:p>
          <w:p w14:paraId="4182F8CB" w14:textId="588F55B7" w:rsidR="006A2661" w:rsidRDefault="006A2661" w:rsidP="006A2661">
            <w:pPr>
              <w:rPr>
                <w:rFonts w:asciiTheme="minorHAnsi" w:hAnsiTheme="minorHAnsi" w:cstheme="minorHAnsi"/>
                <w:sz w:val="22"/>
                <w:szCs w:val="22"/>
              </w:rPr>
            </w:pPr>
          </w:p>
          <w:p w14:paraId="0DD842BF" w14:textId="021DC4B4" w:rsidR="006A2661" w:rsidRDefault="006A2661" w:rsidP="006A2661">
            <w:pPr>
              <w:rPr>
                <w:rFonts w:asciiTheme="minorHAnsi" w:hAnsiTheme="minorHAnsi" w:cstheme="minorHAnsi"/>
                <w:sz w:val="22"/>
                <w:szCs w:val="22"/>
              </w:rPr>
            </w:pPr>
            <w:r w:rsidRPr="006A2661">
              <w:rPr>
                <w:rFonts w:asciiTheme="minorHAnsi" w:hAnsiTheme="minorHAnsi" w:cstheme="minorHAnsi"/>
                <w:sz w:val="22"/>
                <w:szCs w:val="22"/>
              </w:rPr>
              <w:t>Q: We should clarify the distinction between “necessary” (previous bullet) and “limited and reasonable.” (IPC)</w:t>
            </w:r>
          </w:p>
          <w:p w14:paraId="4B0FDA59" w14:textId="3A387892" w:rsidR="006A2661" w:rsidRDefault="006A2661" w:rsidP="006A2661">
            <w:pPr>
              <w:rPr>
                <w:rFonts w:asciiTheme="minorHAnsi" w:hAnsiTheme="minorHAnsi" w:cstheme="minorHAnsi"/>
                <w:sz w:val="22"/>
                <w:szCs w:val="22"/>
              </w:rPr>
            </w:pPr>
          </w:p>
          <w:p w14:paraId="0CC0DA23" w14:textId="2065E830" w:rsidR="006A2661" w:rsidRPr="006A2661" w:rsidRDefault="006A2661" w:rsidP="006A2661">
            <w:pPr>
              <w:rPr>
                <w:rFonts w:asciiTheme="minorHAnsi" w:hAnsiTheme="minorHAnsi" w:cstheme="minorHAnsi"/>
                <w:sz w:val="22"/>
                <w:szCs w:val="22"/>
              </w:rPr>
            </w:pPr>
            <w:r w:rsidRPr="006A2661">
              <w:rPr>
                <w:rFonts w:asciiTheme="minorHAnsi" w:hAnsiTheme="minorHAnsi" w:cstheme="minorHAnsi"/>
                <w:sz w:val="22"/>
                <w:szCs w:val="22"/>
              </w:rPr>
              <w:t>I prefer "limited and reasonable", and would be fine with "proportional".  We've seen repeated confusion regarding "necessary" in spite of clarification in B&amp;B 13Feb2019 3.6/7/8 (BC)</w:t>
            </w:r>
          </w:p>
          <w:p w14:paraId="23764EFC" w14:textId="7E70F356" w:rsidR="006A2661" w:rsidRDefault="006A2661" w:rsidP="006A2661">
            <w:pPr>
              <w:rPr>
                <w:rFonts w:asciiTheme="minorHAnsi" w:hAnsiTheme="minorHAnsi" w:cstheme="minorHAnsi"/>
                <w:sz w:val="22"/>
                <w:szCs w:val="22"/>
              </w:rPr>
            </w:pPr>
          </w:p>
          <w:p w14:paraId="4E3437EE" w14:textId="5032647C" w:rsidR="00E941FD" w:rsidRPr="006A2661" w:rsidRDefault="00E941FD" w:rsidP="006A2661">
            <w:pPr>
              <w:rPr>
                <w:rFonts w:asciiTheme="minorHAnsi" w:hAnsiTheme="minorHAnsi" w:cstheme="minorHAnsi"/>
                <w:sz w:val="22"/>
                <w:szCs w:val="22"/>
              </w:rPr>
            </w:pPr>
            <w:r>
              <w:rPr>
                <w:rFonts w:asciiTheme="minorHAnsi" w:hAnsiTheme="minorHAnsi" w:cstheme="minorHAnsi"/>
                <w:sz w:val="22"/>
                <w:szCs w:val="22"/>
              </w:rPr>
              <w:t xml:space="preserve">‘deny the request’ - </w:t>
            </w:r>
            <w:r w:rsidRPr="00E941FD">
              <w:rPr>
                <w:rFonts w:asciiTheme="minorHAnsi" w:hAnsiTheme="minorHAnsi" w:cstheme="minorHAnsi"/>
                <w:sz w:val="22"/>
                <w:szCs w:val="22"/>
              </w:rPr>
              <w:t>Add: “or may deny the request for those data elements which have not been deemed necessary”</w:t>
            </w:r>
            <w:r>
              <w:rPr>
                <w:rFonts w:asciiTheme="minorHAnsi" w:hAnsiTheme="minorHAnsi" w:cstheme="minorHAnsi"/>
                <w:sz w:val="22"/>
                <w:szCs w:val="22"/>
              </w:rPr>
              <w:t xml:space="preserve"> (IPC)</w:t>
            </w:r>
          </w:p>
          <w:p w14:paraId="36A75C18" w14:textId="184C1E09" w:rsidR="006A2661" w:rsidRPr="006A2661" w:rsidRDefault="006A2661" w:rsidP="009953C2">
            <w:pPr>
              <w:rPr>
                <w:rFonts w:asciiTheme="minorHAnsi" w:hAnsiTheme="minorHAnsi" w:cstheme="minorHAnsi"/>
                <w:b/>
                <w:bCs/>
                <w:sz w:val="22"/>
                <w:szCs w:val="22"/>
              </w:rPr>
            </w:pPr>
          </w:p>
        </w:tc>
        <w:tc>
          <w:tcPr>
            <w:tcW w:w="3422" w:type="dxa"/>
            <w:shd w:val="clear" w:color="auto" w:fill="auto"/>
          </w:tcPr>
          <w:p w14:paraId="4D84E753" w14:textId="77777777" w:rsidR="006A2661" w:rsidRDefault="006A2661" w:rsidP="009953C2">
            <w:pPr>
              <w:rPr>
                <w:rFonts w:asciiTheme="minorHAnsi" w:hAnsiTheme="minorHAnsi" w:cstheme="minorHAnsi"/>
                <w:sz w:val="22"/>
                <w:szCs w:val="22"/>
              </w:rPr>
            </w:pPr>
          </w:p>
        </w:tc>
      </w:tr>
      <w:tr w:rsidR="006A2661" w:rsidRPr="005B2D14" w14:paraId="6E1E58CF" w14:textId="77777777" w:rsidTr="009953C2">
        <w:tc>
          <w:tcPr>
            <w:tcW w:w="641" w:type="dxa"/>
            <w:shd w:val="clear" w:color="auto" w:fill="auto"/>
          </w:tcPr>
          <w:p w14:paraId="1BC606F5" w14:textId="77777777" w:rsidR="00FA4A7A" w:rsidRDefault="00FA4A7A"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1705A0F3" w14:textId="1114718A" w:rsidR="00FA4A7A" w:rsidRDefault="00FA4A7A" w:rsidP="009953C2">
            <w:pPr>
              <w:rPr>
                <w:rFonts w:asciiTheme="minorHAnsi" w:hAnsiTheme="minorHAnsi" w:cstheme="minorHAnsi"/>
                <w:sz w:val="22"/>
                <w:szCs w:val="22"/>
              </w:rPr>
            </w:pPr>
            <w:r>
              <w:rPr>
                <w:rFonts w:asciiTheme="minorHAnsi" w:hAnsiTheme="minorHAnsi" w:cstheme="minorHAnsi"/>
                <w:sz w:val="22"/>
                <w:szCs w:val="22"/>
              </w:rPr>
              <w:t>23 (Authorization Provider)</w:t>
            </w:r>
          </w:p>
        </w:tc>
        <w:tc>
          <w:tcPr>
            <w:tcW w:w="3504" w:type="dxa"/>
            <w:shd w:val="clear" w:color="auto" w:fill="auto"/>
          </w:tcPr>
          <w:p w14:paraId="5E502D27" w14:textId="62F83FEA" w:rsidR="00FA4A7A" w:rsidRPr="00FA4A7A" w:rsidRDefault="00FA4A7A" w:rsidP="00FA4A7A">
            <w:pPr>
              <w:pStyle w:val="NormalWeb"/>
              <w:spacing w:before="0" w:beforeAutospacing="0" w:after="0" w:afterAutospacing="0"/>
              <w:textAlignment w:val="baseline"/>
              <w:rPr>
                <w:rFonts w:ascii="Calibri" w:hAnsi="Calibri" w:cs="Calibri"/>
                <w:color w:val="000000"/>
                <w:sz w:val="22"/>
                <w:szCs w:val="22"/>
              </w:rPr>
            </w:pPr>
            <w:r w:rsidRPr="00FA4A7A">
              <w:rPr>
                <w:rFonts w:ascii="Calibri" w:hAnsi="Calibri" w:cs="Calibri"/>
                <w:color w:val="000000"/>
                <w:sz w:val="22"/>
                <w:szCs w:val="22"/>
              </w:rPr>
              <w:t>5. The authorization provider may evaluate the underlying data requested once the validity of the request is determined under paragraph 4 above. The purpose of paragraph 5 is to determine whether the paragraph 6 [meaningful human review] is required. The authorization provider’s review of the underlying data should assess at least:</w:t>
            </w:r>
          </w:p>
          <w:p w14:paraId="44E122FC" w14:textId="77777777" w:rsidR="00FA4A7A" w:rsidRPr="00FA4A7A" w:rsidRDefault="00FA4A7A" w:rsidP="00FA4A7A">
            <w:pPr>
              <w:pStyle w:val="NormalWeb"/>
              <w:numPr>
                <w:ilvl w:val="0"/>
                <w:numId w:val="9"/>
              </w:numPr>
              <w:spacing w:before="0" w:beforeAutospacing="0" w:after="0" w:afterAutospacing="0"/>
              <w:ind w:left="281" w:hanging="270"/>
              <w:textAlignment w:val="baseline"/>
              <w:rPr>
                <w:rFonts w:ascii="Calibri" w:hAnsi="Calibri" w:cs="Calibri"/>
                <w:color w:val="000000"/>
                <w:sz w:val="22"/>
                <w:szCs w:val="22"/>
              </w:rPr>
            </w:pPr>
            <w:r w:rsidRPr="00FA4A7A">
              <w:rPr>
                <w:rFonts w:ascii="Calibri" w:hAnsi="Calibri" w:cs="Calibri"/>
                <w:color w:val="000000"/>
                <w:sz w:val="22"/>
                <w:szCs w:val="22"/>
              </w:rPr>
              <w:t>Does the data requested contain personal data?</w:t>
            </w:r>
          </w:p>
          <w:p w14:paraId="27835825" w14:textId="77777777" w:rsidR="00FA4A7A" w:rsidRPr="00FA4A7A" w:rsidRDefault="00FA4A7A" w:rsidP="00FA4A7A">
            <w:pPr>
              <w:pStyle w:val="NormalWeb"/>
              <w:numPr>
                <w:ilvl w:val="1"/>
                <w:numId w:val="10"/>
              </w:numPr>
              <w:spacing w:before="0" w:beforeAutospacing="0" w:after="0" w:afterAutospacing="0"/>
              <w:ind w:left="551" w:hanging="270"/>
              <w:textAlignment w:val="baseline"/>
              <w:rPr>
                <w:rFonts w:ascii="Calibri" w:hAnsi="Calibri" w:cs="Calibri"/>
                <w:color w:val="000000"/>
                <w:sz w:val="22"/>
                <w:szCs w:val="22"/>
              </w:rPr>
            </w:pPr>
            <w:r w:rsidRPr="00FA4A7A">
              <w:rPr>
                <w:rFonts w:ascii="Calibri" w:hAnsi="Calibri" w:cs="Calibri"/>
                <w:color w:val="000000"/>
                <w:sz w:val="22"/>
                <w:szCs w:val="22"/>
              </w:rPr>
              <w:t>If no personal data, no further balancing required.</w:t>
            </w:r>
          </w:p>
          <w:p w14:paraId="4DFC49BE" w14:textId="5790D090" w:rsidR="00FA4A7A" w:rsidRPr="00FA4A7A" w:rsidRDefault="00FA4A7A" w:rsidP="009953C2">
            <w:pPr>
              <w:pStyle w:val="NormalWeb"/>
              <w:numPr>
                <w:ilvl w:val="1"/>
                <w:numId w:val="10"/>
              </w:numPr>
              <w:spacing w:before="0" w:beforeAutospacing="0" w:after="0" w:afterAutospacing="0"/>
              <w:ind w:left="551" w:hanging="270"/>
              <w:textAlignment w:val="baseline"/>
              <w:rPr>
                <w:rFonts w:ascii="Calibri" w:hAnsi="Calibri" w:cs="Calibri"/>
                <w:i/>
                <w:iCs/>
                <w:color w:val="000000"/>
                <w:sz w:val="22"/>
                <w:szCs w:val="22"/>
              </w:rPr>
            </w:pPr>
            <w:r w:rsidRPr="00FA4A7A">
              <w:rPr>
                <w:rFonts w:ascii="Calibri" w:hAnsi="Calibri" w:cs="Calibri"/>
                <w:i/>
                <w:iCs/>
                <w:color w:val="000000"/>
                <w:sz w:val="22"/>
                <w:szCs w:val="22"/>
              </w:rPr>
              <w:t>If the requested data contains personal data the authorization provider should consider if the balancing test, similar to the requirements under GDPR’s 6.1.f, as described in paragraph 6 below is applicable and proceed accordingly.</w:t>
            </w:r>
          </w:p>
        </w:tc>
        <w:tc>
          <w:tcPr>
            <w:tcW w:w="3657" w:type="dxa"/>
            <w:shd w:val="clear" w:color="auto" w:fill="auto"/>
          </w:tcPr>
          <w:p w14:paraId="7F1859F6" w14:textId="77777777" w:rsidR="00FA4A7A" w:rsidRDefault="00FA4A7A" w:rsidP="009953C2">
            <w:pPr>
              <w:rPr>
                <w:rFonts w:asciiTheme="minorHAnsi" w:hAnsiTheme="minorHAnsi" w:cstheme="minorHAnsi"/>
                <w:sz w:val="22"/>
                <w:szCs w:val="22"/>
              </w:rPr>
            </w:pPr>
            <w:r w:rsidRPr="00FA4A7A">
              <w:rPr>
                <w:rFonts w:asciiTheme="minorHAnsi" w:hAnsiTheme="minorHAnsi" w:cstheme="minorHAnsi"/>
                <w:sz w:val="22"/>
                <w:szCs w:val="22"/>
              </w:rPr>
              <w:t xml:space="preserve">Section 5, second bullet point: Replace current language with: If the requested data contains personal data, the authorization provider must establish the presence of a legal basis for disclosure according to Art. 6 of the GDPR. </w:t>
            </w:r>
            <w:r>
              <w:rPr>
                <w:rFonts w:asciiTheme="minorHAnsi" w:hAnsiTheme="minorHAnsi" w:cstheme="minorHAnsi"/>
                <w:sz w:val="22"/>
                <w:szCs w:val="22"/>
              </w:rPr>
              <w:t>(ISPCP)</w:t>
            </w:r>
          </w:p>
          <w:p w14:paraId="0C00D250" w14:textId="77777777" w:rsidR="00FA4A7A" w:rsidRDefault="00FA4A7A" w:rsidP="009953C2">
            <w:pPr>
              <w:rPr>
                <w:rFonts w:asciiTheme="minorHAnsi" w:hAnsiTheme="minorHAnsi" w:cstheme="minorHAnsi"/>
                <w:sz w:val="22"/>
                <w:szCs w:val="22"/>
              </w:rPr>
            </w:pPr>
          </w:p>
          <w:p w14:paraId="033DDA16" w14:textId="3C3780A1" w:rsidR="00FA4A7A" w:rsidRPr="00FA4A7A" w:rsidRDefault="00FA4A7A" w:rsidP="00FA4A7A">
            <w:pPr>
              <w:rPr>
                <w:rFonts w:asciiTheme="minorHAnsi" w:hAnsiTheme="minorHAnsi" w:cstheme="minorHAnsi"/>
                <w:sz w:val="22"/>
                <w:szCs w:val="22"/>
              </w:rPr>
            </w:pPr>
            <w:r w:rsidRPr="00FA4A7A">
              <w:rPr>
                <w:rFonts w:asciiTheme="minorHAnsi" w:hAnsiTheme="minorHAnsi" w:cstheme="minorHAnsi"/>
                <w:sz w:val="22"/>
                <w:szCs w:val="22"/>
              </w:rPr>
              <w:t xml:space="preserve">What about the other Art. 6 lawful bases which do not require a balancing </w:t>
            </w:r>
            <w:proofErr w:type="gramStart"/>
            <w:r w:rsidRPr="00FA4A7A">
              <w:rPr>
                <w:rFonts w:asciiTheme="minorHAnsi" w:hAnsiTheme="minorHAnsi" w:cstheme="minorHAnsi"/>
                <w:sz w:val="22"/>
                <w:szCs w:val="22"/>
              </w:rPr>
              <w:t>test ?</w:t>
            </w:r>
            <w:proofErr w:type="gramEnd"/>
            <w:r w:rsidRPr="00FA4A7A">
              <w:rPr>
                <w:rFonts w:asciiTheme="minorHAnsi" w:hAnsiTheme="minorHAnsi" w:cstheme="minorHAnsi"/>
                <w:sz w:val="22"/>
                <w:szCs w:val="22"/>
              </w:rPr>
              <w:t xml:space="preserve"> Do we need to add what factors the Authorization Provider should consider for these other bases? This language seems to imply that the balancing test applies to all requests.</w:t>
            </w:r>
            <w:r>
              <w:rPr>
                <w:rFonts w:asciiTheme="minorHAnsi" w:hAnsiTheme="minorHAnsi" w:cstheme="minorHAnsi"/>
                <w:sz w:val="22"/>
                <w:szCs w:val="22"/>
              </w:rPr>
              <w:t xml:space="preserve"> (GAC)</w:t>
            </w:r>
          </w:p>
          <w:p w14:paraId="62A5D217" w14:textId="6440260E" w:rsidR="00FA4A7A" w:rsidRPr="00AF7278" w:rsidRDefault="00FA4A7A" w:rsidP="009953C2">
            <w:pPr>
              <w:rPr>
                <w:rFonts w:asciiTheme="minorHAnsi" w:hAnsiTheme="minorHAnsi" w:cstheme="minorHAnsi"/>
                <w:sz w:val="22"/>
                <w:szCs w:val="22"/>
              </w:rPr>
            </w:pPr>
          </w:p>
        </w:tc>
        <w:tc>
          <w:tcPr>
            <w:tcW w:w="3422" w:type="dxa"/>
            <w:shd w:val="clear" w:color="auto" w:fill="auto"/>
          </w:tcPr>
          <w:p w14:paraId="0E79B4EB" w14:textId="77777777" w:rsidR="00FA4A7A" w:rsidRDefault="00FA4A7A" w:rsidP="009953C2">
            <w:pPr>
              <w:rPr>
                <w:rFonts w:asciiTheme="minorHAnsi" w:hAnsiTheme="minorHAnsi" w:cstheme="minorHAnsi"/>
                <w:sz w:val="22"/>
                <w:szCs w:val="22"/>
              </w:rPr>
            </w:pPr>
          </w:p>
        </w:tc>
      </w:tr>
      <w:tr w:rsidR="00F26DBD" w:rsidRPr="005B2D14" w14:paraId="1CD6BA0F" w14:textId="77777777" w:rsidTr="009953C2">
        <w:tc>
          <w:tcPr>
            <w:tcW w:w="641" w:type="dxa"/>
            <w:shd w:val="clear" w:color="auto" w:fill="auto"/>
          </w:tcPr>
          <w:p w14:paraId="1806EA5B" w14:textId="231FC8C5" w:rsidR="009953C2" w:rsidRDefault="009953C2" w:rsidP="009953C2">
            <w:pPr>
              <w:pStyle w:val="ListParagraph"/>
              <w:numPr>
                <w:ilvl w:val="0"/>
                <w:numId w:val="2"/>
              </w:numPr>
              <w:rPr>
                <w:rFonts w:asciiTheme="minorHAnsi" w:hAnsiTheme="minorHAnsi" w:cstheme="minorHAnsi"/>
                <w:sz w:val="22"/>
                <w:szCs w:val="22"/>
              </w:rPr>
            </w:pPr>
          </w:p>
        </w:tc>
        <w:tc>
          <w:tcPr>
            <w:tcW w:w="1726" w:type="dxa"/>
            <w:shd w:val="clear" w:color="auto" w:fill="auto"/>
          </w:tcPr>
          <w:p w14:paraId="5C5959E2" w14:textId="129217C0" w:rsidR="009953C2" w:rsidRDefault="009953C2" w:rsidP="009953C2">
            <w:pPr>
              <w:rPr>
                <w:rFonts w:asciiTheme="minorHAnsi" w:hAnsiTheme="minorHAnsi" w:cstheme="minorHAnsi"/>
                <w:sz w:val="22"/>
                <w:szCs w:val="22"/>
              </w:rPr>
            </w:pPr>
            <w:r>
              <w:rPr>
                <w:rFonts w:asciiTheme="minorHAnsi" w:hAnsiTheme="minorHAnsi" w:cstheme="minorHAnsi"/>
                <w:sz w:val="22"/>
                <w:szCs w:val="22"/>
              </w:rPr>
              <w:t>23-24 (Authorization Provider)</w:t>
            </w:r>
          </w:p>
        </w:tc>
        <w:tc>
          <w:tcPr>
            <w:tcW w:w="3504" w:type="dxa"/>
            <w:shd w:val="clear" w:color="auto" w:fill="auto"/>
          </w:tcPr>
          <w:p w14:paraId="4F121E78" w14:textId="77777777" w:rsidR="009953C2" w:rsidRPr="0026769E" w:rsidRDefault="009953C2" w:rsidP="009953C2">
            <w:pPr>
              <w:rPr>
                <w:rFonts w:asciiTheme="minorHAnsi" w:hAnsiTheme="minorHAnsi" w:cstheme="minorHAnsi"/>
                <w:color w:val="000000"/>
                <w:sz w:val="22"/>
                <w:szCs w:val="22"/>
              </w:rPr>
            </w:pPr>
            <w:r w:rsidRPr="0026769E">
              <w:rPr>
                <w:rFonts w:asciiTheme="minorHAnsi" w:hAnsiTheme="minorHAnsi" w:cstheme="minorHAnsi"/>
                <w:i/>
                <w:iCs/>
                <w:color w:val="000000"/>
                <w:sz w:val="22"/>
                <w:szCs w:val="22"/>
              </w:rPr>
              <w:t>6. The</w:t>
            </w:r>
            <w:r w:rsidRPr="0026769E">
              <w:rPr>
                <w:rFonts w:asciiTheme="minorHAnsi" w:hAnsiTheme="minorHAnsi" w:cstheme="minorHAnsi"/>
                <w:color w:val="000000"/>
                <w:sz w:val="22"/>
                <w:szCs w:val="22"/>
              </w:rPr>
              <w:t xml:space="preserve"> authorization provider should evaluate at least the following factors to determine whether the legitimate interest of the requestor is not outweighed by the interests or fundamental rights </w:t>
            </w:r>
            <w:r w:rsidRPr="0026769E">
              <w:rPr>
                <w:rFonts w:asciiTheme="minorHAnsi" w:hAnsiTheme="minorHAnsi" w:cstheme="minorHAnsi"/>
                <w:color w:val="000000"/>
                <w:sz w:val="22"/>
                <w:szCs w:val="22"/>
              </w:rPr>
              <w:lastRenderedPageBreak/>
              <w:t>and freedoms of the data subject. No single factor is determinative; instead the authorization provider should consider the totality of the circumstances outlined below:</w:t>
            </w:r>
          </w:p>
          <w:p w14:paraId="6000C67C" w14:textId="77777777" w:rsidR="0026769E" w:rsidRPr="0026769E" w:rsidRDefault="0026769E" w:rsidP="009953C2">
            <w:pPr>
              <w:rPr>
                <w:rFonts w:asciiTheme="minorHAnsi" w:hAnsiTheme="minorHAnsi" w:cstheme="minorHAnsi"/>
                <w:sz w:val="22"/>
                <w:szCs w:val="22"/>
              </w:rPr>
            </w:pPr>
          </w:p>
          <w:p w14:paraId="4607D1B8" w14:textId="77777777" w:rsidR="0026769E" w:rsidRDefault="0026769E" w:rsidP="0026769E">
            <w:pPr>
              <w:numPr>
                <w:ilvl w:val="0"/>
                <w:numId w:val="25"/>
              </w:numPr>
              <w:pBdr>
                <w:top w:val="nil"/>
                <w:left w:val="nil"/>
                <w:bottom w:val="nil"/>
                <w:right w:val="nil"/>
                <w:between w:val="nil"/>
              </w:pBdr>
              <w:ind w:left="324" w:hanging="324"/>
              <w:rPr>
                <w:rFonts w:asciiTheme="minorHAnsi" w:eastAsia="Calibri" w:hAnsiTheme="minorHAnsi" w:cstheme="minorHAnsi"/>
                <w:color w:val="000000"/>
                <w:sz w:val="22"/>
                <w:szCs w:val="22"/>
              </w:rPr>
            </w:pPr>
            <w:r w:rsidRPr="0026769E">
              <w:rPr>
                <w:rFonts w:asciiTheme="minorHAnsi" w:eastAsia="Calibri" w:hAnsiTheme="minorHAnsi" w:cstheme="minorHAnsi"/>
                <w:b/>
                <w:color w:val="000000"/>
                <w:sz w:val="22"/>
                <w:szCs w:val="22"/>
              </w:rPr>
              <w:t>Assessment of impact</w:t>
            </w:r>
            <w:r w:rsidRPr="0026769E">
              <w:rPr>
                <w:rFonts w:asciiTheme="minorHAnsi" w:eastAsia="Calibri" w:hAnsiTheme="minorHAnsi" w:cstheme="minorHAnsi"/>
                <w:color w:val="000000"/>
                <w:sz w:val="22"/>
                <w:szCs w:val="22"/>
              </w:rPr>
              <w:t>. Consider the direct impact on data subjects as well as any broader possible consequences of the data processing (e.g., triggering legal proceedings). Whenever the circumstances of the disclosure request or the nature of the data to be disclosed suggest an increased risk</w:t>
            </w:r>
            <w:r w:rsidRPr="0026769E">
              <w:rPr>
                <w:rFonts w:asciiTheme="minorHAnsi" w:eastAsia="Times" w:hAnsiTheme="minorHAnsi" w:cstheme="minorHAnsi"/>
                <w:color w:val="000000"/>
                <w:sz w:val="22"/>
                <w:szCs w:val="22"/>
                <w:vertAlign w:val="superscript"/>
              </w:rPr>
              <w:footnoteReference w:id="1"/>
            </w:r>
            <w:r w:rsidRPr="0026769E">
              <w:rPr>
                <w:rFonts w:asciiTheme="minorHAnsi" w:eastAsia="Calibri" w:hAnsiTheme="minorHAnsi" w:cstheme="minorHAnsi"/>
                <w:color w:val="000000"/>
                <w:sz w:val="22"/>
                <w:szCs w:val="22"/>
              </w:rPr>
              <w:t xml:space="preserve"> for the data subject affected, this shall be taken into account during the decision-making.</w:t>
            </w:r>
          </w:p>
          <w:p w14:paraId="38A4EB69" w14:textId="77777777" w:rsidR="0026769E" w:rsidRDefault="0026769E" w:rsidP="0026769E">
            <w:pPr>
              <w:numPr>
                <w:ilvl w:val="0"/>
                <w:numId w:val="25"/>
              </w:numPr>
              <w:pBdr>
                <w:top w:val="nil"/>
                <w:left w:val="nil"/>
                <w:bottom w:val="nil"/>
                <w:right w:val="nil"/>
                <w:between w:val="nil"/>
              </w:pBdr>
              <w:ind w:left="324" w:hanging="324"/>
              <w:rPr>
                <w:rFonts w:asciiTheme="minorHAnsi" w:eastAsia="Calibri" w:hAnsiTheme="minorHAnsi" w:cstheme="minorHAnsi"/>
                <w:color w:val="000000"/>
                <w:sz w:val="22"/>
                <w:szCs w:val="22"/>
              </w:rPr>
            </w:pPr>
            <w:r w:rsidRPr="0026769E">
              <w:rPr>
                <w:rFonts w:asciiTheme="minorHAnsi" w:eastAsia="Calibri" w:hAnsiTheme="minorHAnsi" w:cstheme="minorHAnsi"/>
                <w:b/>
                <w:i/>
                <w:color w:val="000000"/>
                <w:sz w:val="22"/>
                <w:szCs w:val="22"/>
              </w:rPr>
              <w:t>Nature of the data</w:t>
            </w:r>
            <w:r w:rsidRPr="0026769E">
              <w:rPr>
                <w:rFonts w:asciiTheme="minorHAnsi" w:eastAsia="Calibri" w:hAnsiTheme="minorHAnsi" w:cstheme="minorHAnsi"/>
                <w:color w:val="000000"/>
                <w:sz w:val="22"/>
                <w:szCs w:val="22"/>
              </w:rPr>
              <w:t>. Consider the level of sensitivity of the data as well as whether the data is already publicly available. </w:t>
            </w:r>
          </w:p>
          <w:p w14:paraId="25EA28C9" w14:textId="77777777" w:rsidR="0026769E" w:rsidRDefault="0026769E" w:rsidP="0026769E">
            <w:pPr>
              <w:numPr>
                <w:ilvl w:val="0"/>
                <w:numId w:val="25"/>
              </w:numPr>
              <w:pBdr>
                <w:top w:val="nil"/>
                <w:left w:val="nil"/>
                <w:bottom w:val="nil"/>
                <w:right w:val="nil"/>
                <w:between w:val="nil"/>
              </w:pBdr>
              <w:ind w:left="324" w:hanging="324"/>
              <w:rPr>
                <w:rFonts w:asciiTheme="minorHAnsi" w:eastAsia="Calibri" w:hAnsiTheme="minorHAnsi" w:cstheme="minorHAnsi"/>
                <w:color w:val="000000"/>
                <w:sz w:val="22"/>
                <w:szCs w:val="22"/>
              </w:rPr>
            </w:pPr>
            <w:r w:rsidRPr="0026769E">
              <w:rPr>
                <w:rFonts w:asciiTheme="minorHAnsi" w:eastAsia="Calibri" w:hAnsiTheme="minorHAnsi" w:cstheme="minorHAnsi"/>
                <w:b/>
                <w:i/>
                <w:color w:val="000000"/>
                <w:sz w:val="22"/>
                <w:szCs w:val="22"/>
              </w:rPr>
              <w:t>Status of the data subject</w:t>
            </w:r>
            <w:r w:rsidRPr="0026769E">
              <w:rPr>
                <w:rFonts w:asciiTheme="minorHAnsi" w:eastAsia="Calibri" w:hAnsiTheme="minorHAnsi" w:cstheme="minorHAnsi"/>
                <w:color w:val="000000"/>
                <w:sz w:val="22"/>
                <w:szCs w:val="22"/>
              </w:rPr>
              <w:t>. Consider whether the data subject’s status increases their vulnerability (e.g., children, other protected classes)</w:t>
            </w:r>
          </w:p>
          <w:p w14:paraId="7FC272F8" w14:textId="77777777" w:rsidR="0026769E" w:rsidRDefault="0026769E" w:rsidP="0026769E">
            <w:pPr>
              <w:numPr>
                <w:ilvl w:val="0"/>
                <w:numId w:val="25"/>
              </w:numPr>
              <w:pBdr>
                <w:top w:val="nil"/>
                <w:left w:val="nil"/>
                <w:bottom w:val="nil"/>
                <w:right w:val="nil"/>
                <w:between w:val="nil"/>
              </w:pBdr>
              <w:ind w:left="324" w:hanging="324"/>
              <w:rPr>
                <w:rFonts w:asciiTheme="minorHAnsi" w:eastAsia="Calibri" w:hAnsiTheme="minorHAnsi" w:cstheme="minorHAnsi"/>
                <w:color w:val="000000"/>
                <w:sz w:val="22"/>
                <w:szCs w:val="22"/>
              </w:rPr>
            </w:pPr>
            <w:r w:rsidRPr="0026769E">
              <w:rPr>
                <w:rFonts w:asciiTheme="minorHAnsi" w:eastAsia="Calibri" w:hAnsiTheme="minorHAnsi" w:cstheme="minorHAnsi"/>
                <w:b/>
                <w:i/>
                <w:color w:val="000000"/>
                <w:sz w:val="22"/>
                <w:szCs w:val="22"/>
              </w:rPr>
              <w:t>Scope of processing</w:t>
            </w:r>
            <w:r w:rsidRPr="0026769E">
              <w:rPr>
                <w:rFonts w:asciiTheme="minorHAnsi" w:eastAsia="Calibri" w:hAnsiTheme="minorHAnsi" w:cstheme="minorHAnsi"/>
                <w:color w:val="000000"/>
                <w:sz w:val="22"/>
                <w:szCs w:val="22"/>
              </w:rPr>
              <w:t xml:space="preserve">. Consider information from the </w:t>
            </w:r>
            <w:r w:rsidRPr="0026769E">
              <w:rPr>
                <w:rFonts w:asciiTheme="minorHAnsi" w:eastAsia="Calibri" w:hAnsiTheme="minorHAnsi" w:cstheme="minorHAnsi"/>
                <w:color w:val="000000"/>
                <w:sz w:val="22"/>
                <w:szCs w:val="22"/>
              </w:rPr>
              <w:lastRenderedPageBreak/>
              <w:t>disclosure request or other relevant circumstances that indicates whether data will be [securely] held (lower risk) versus publicly disclosed, made accessible to a large number of persons, or combined with other data (higher risk), .[provided that this is not intended to prohibit public disclosures for legal actions or administrative dispute resolution proceedings such as the UDRP or URS].</w:t>
            </w:r>
          </w:p>
          <w:p w14:paraId="61739721" w14:textId="77777777" w:rsidR="0026769E" w:rsidRDefault="0026769E" w:rsidP="0026769E">
            <w:pPr>
              <w:numPr>
                <w:ilvl w:val="0"/>
                <w:numId w:val="25"/>
              </w:numPr>
              <w:pBdr>
                <w:top w:val="nil"/>
                <w:left w:val="nil"/>
                <w:bottom w:val="nil"/>
                <w:right w:val="nil"/>
                <w:between w:val="nil"/>
              </w:pBdr>
              <w:ind w:left="324" w:hanging="324"/>
              <w:rPr>
                <w:rFonts w:asciiTheme="minorHAnsi" w:eastAsia="Calibri" w:hAnsiTheme="minorHAnsi" w:cstheme="minorHAnsi"/>
                <w:color w:val="000000"/>
                <w:sz w:val="22"/>
                <w:szCs w:val="22"/>
              </w:rPr>
            </w:pPr>
            <w:r w:rsidRPr="0026769E">
              <w:rPr>
                <w:rFonts w:asciiTheme="minorHAnsi" w:eastAsia="Calibri" w:hAnsiTheme="minorHAnsi" w:cstheme="minorHAnsi"/>
                <w:b/>
                <w:i/>
                <w:color w:val="000000"/>
                <w:sz w:val="22"/>
                <w:szCs w:val="22"/>
              </w:rPr>
              <w:t>Reasonable expectations of the data subject</w:t>
            </w:r>
            <w:r w:rsidRPr="0026769E">
              <w:rPr>
                <w:rFonts w:asciiTheme="minorHAnsi" w:eastAsia="Calibri" w:hAnsiTheme="minorHAnsi" w:cstheme="minorHAnsi"/>
                <w:color w:val="000000"/>
                <w:sz w:val="22"/>
                <w:szCs w:val="22"/>
              </w:rPr>
              <w:t>. Consider whether the data subject would reasonably expect their data to be processed/disclosed in this manner.</w:t>
            </w:r>
          </w:p>
          <w:p w14:paraId="324C3652" w14:textId="77777777" w:rsidR="0026769E" w:rsidRDefault="0026769E" w:rsidP="0026769E">
            <w:pPr>
              <w:numPr>
                <w:ilvl w:val="0"/>
                <w:numId w:val="25"/>
              </w:numPr>
              <w:pBdr>
                <w:top w:val="nil"/>
                <w:left w:val="nil"/>
                <w:bottom w:val="nil"/>
                <w:right w:val="nil"/>
                <w:between w:val="nil"/>
              </w:pBdr>
              <w:ind w:left="324" w:hanging="324"/>
              <w:rPr>
                <w:rFonts w:asciiTheme="minorHAnsi" w:eastAsia="Calibri" w:hAnsiTheme="minorHAnsi" w:cstheme="minorHAnsi"/>
                <w:color w:val="000000"/>
                <w:sz w:val="22"/>
                <w:szCs w:val="22"/>
              </w:rPr>
            </w:pPr>
            <w:r w:rsidRPr="0026769E">
              <w:rPr>
                <w:rFonts w:asciiTheme="minorHAnsi" w:eastAsia="Calibri" w:hAnsiTheme="minorHAnsi" w:cstheme="minorHAnsi"/>
                <w:b/>
                <w:i/>
                <w:color w:val="000000"/>
                <w:sz w:val="22"/>
                <w:szCs w:val="22"/>
              </w:rPr>
              <w:t>Status of the controller and data subject</w:t>
            </w:r>
            <w:r w:rsidRPr="0026769E">
              <w:rPr>
                <w:rFonts w:asciiTheme="minorHAnsi" w:eastAsia="Calibri" w:hAnsiTheme="minorHAnsi" w:cstheme="minorHAnsi"/>
                <w:color w:val="000000"/>
                <w:sz w:val="22"/>
                <w:szCs w:val="22"/>
              </w:rPr>
              <w:t>. Consider negotiating power and any imbalances in authority between the controller and the data subject.</w:t>
            </w:r>
          </w:p>
          <w:p w14:paraId="6ADA0F1C" w14:textId="473E0B81" w:rsidR="0026769E" w:rsidRPr="0026769E" w:rsidRDefault="0026769E" w:rsidP="0026769E">
            <w:pPr>
              <w:numPr>
                <w:ilvl w:val="0"/>
                <w:numId w:val="25"/>
              </w:numPr>
              <w:pBdr>
                <w:top w:val="nil"/>
                <w:left w:val="nil"/>
                <w:bottom w:val="nil"/>
                <w:right w:val="nil"/>
                <w:between w:val="nil"/>
              </w:pBdr>
              <w:ind w:left="324" w:hanging="324"/>
              <w:rPr>
                <w:rFonts w:asciiTheme="minorHAnsi" w:eastAsia="Calibri" w:hAnsiTheme="minorHAnsi" w:cstheme="minorHAnsi"/>
                <w:color w:val="000000"/>
                <w:sz w:val="22"/>
                <w:szCs w:val="22"/>
              </w:rPr>
            </w:pPr>
            <w:r w:rsidRPr="0026769E">
              <w:rPr>
                <w:rFonts w:asciiTheme="minorHAnsi" w:eastAsia="Calibri" w:hAnsiTheme="minorHAnsi" w:cstheme="minorHAnsi"/>
                <w:b/>
                <w:i/>
                <w:color w:val="000000"/>
                <w:sz w:val="22"/>
                <w:szCs w:val="22"/>
              </w:rPr>
              <w:t>Legal frameworks involved</w:t>
            </w:r>
            <w:r w:rsidRPr="0026769E">
              <w:rPr>
                <w:rFonts w:asciiTheme="minorHAnsi" w:eastAsia="Calibri" w:hAnsiTheme="minorHAnsi" w:cstheme="minorHAnsi"/>
                <w:color w:val="000000"/>
                <w:sz w:val="22"/>
                <w:szCs w:val="22"/>
              </w:rPr>
              <w:t>. Consider the jurisdictional legal frameworks of the requestor, Contracted Party/Parties, and the data subject, and how this may affect potential disclosures. </w:t>
            </w:r>
          </w:p>
        </w:tc>
        <w:tc>
          <w:tcPr>
            <w:tcW w:w="3657" w:type="dxa"/>
            <w:shd w:val="clear" w:color="auto" w:fill="auto"/>
          </w:tcPr>
          <w:p w14:paraId="2F078D6B" w14:textId="77777777" w:rsidR="009953C2" w:rsidRPr="00AF7278" w:rsidRDefault="009953C2" w:rsidP="009953C2">
            <w:pPr>
              <w:rPr>
                <w:rFonts w:asciiTheme="minorHAnsi" w:hAnsiTheme="minorHAnsi" w:cstheme="minorHAnsi"/>
                <w:sz w:val="22"/>
                <w:szCs w:val="22"/>
              </w:rPr>
            </w:pPr>
            <w:r w:rsidRPr="00AF7278">
              <w:rPr>
                <w:rFonts w:asciiTheme="minorHAnsi" w:hAnsiTheme="minorHAnsi" w:cstheme="minorHAnsi"/>
                <w:sz w:val="22"/>
                <w:szCs w:val="22"/>
              </w:rPr>
              <w:lastRenderedPageBreak/>
              <w:t xml:space="preserve">As we noted during the team’s most recent discussion on this, the building block seems to assumes that, at least in some cases, the authorization provider may review the underlying registration data in considering </w:t>
            </w:r>
            <w:r w:rsidRPr="00AF7278">
              <w:rPr>
                <w:rFonts w:asciiTheme="minorHAnsi" w:hAnsiTheme="minorHAnsi" w:cstheme="minorHAnsi"/>
                <w:sz w:val="22"/>
                <w:szCs w:val="22"/>
              </w:rPr>
              <w:lastRenderedPageBreak/>
              <w:t xml:space="preserve">whether to authorize a request (see Section 6: ”The authorization provider may evaluate the underlying data..”). We believe that this raises important issues that need to be carefully considered by the EPDP team. If the authorization provider is an entity other than the contracted party, the authorization provider’s review of registration data in the course of evaluating a request for access will require processing of that data (whether the request is granted or not). This processing must have its own appropriate legal basis and will require the contracted party to transfer the data to the authorization provider (resulting in a potential need for transfer safeguards). The “balancing test” factors listed in Section 7 may not be meaningfully determined on the basis of information derivable from the underlying registration data, nor can the application of the GDPR be safely derived from the underlying registration data. For example, a registrant’s age (and status as a member of a potentially vulnerable population) is unlikely to be determined based on registration data, and a review of a registrant’s </w:t>
            </w:r>
            <w:r w:rsidRPr="00AF7278">
              <w:rPr>
                <w:rFonts w:asciiTheme="minorHAnsi" w:hAnsiTheme="minorHAnsi" w:cstheme="minorHAnsi"/>
                <w:sz w:val="22"/>
                <w:szCs w:val="22"/>
              </w:rPr>
              <w:lastRenderedPageBreak/>
              <w:t xml:space="preserve">email address may not be determinative as to whether that address contains personal data or not. We would encourage the team to consider this threshold issue before finalizing this building block. </w:t>
            </w:r>
            <w:r w:rsidRPr="00AF7278">
              <w:rPr>
                <w:rFonts w:asciiTheme="minorHAnsi" w:hAnsiTheme="minorHAnsi" w:cstheme="minorHAnsi"/>
                <w:sz w:val="22"/>
                <w:szCs w:val="22"/>
              </w:rPr>
              <w:br/>
            </w:r>
            <w:r w:rsidRPr="00AF7278">
              <w:rPr>
                <w:rFonts w:asciiTheme="minorHAnsi" w:hAnsiTheme="minorHAnsi" w:cstheme="minorHAnsi"/>
                <w:sz w:val="22"/>
                <w:szCs w:val="22"/>
              </w:rPr>
              <w:br/>
              <w:t>We believe it may be possible for the relevant interests of the requestor and data subject to be balanced on a use case basis, provided the use cases are sufficiently specific. This could eliminate the need for the authorizer to review the underlying data, reducing associated legal and operational risks, and could also facilitate automation.</w:t>
            </w:r>
            <w:r w:rsidRPr="00AF7278">
              <w:rPr>
                <w:rFonts w:asciiTheme="minorHAnsi" w:hAnsiTheme="minorHAnsi" w:cstheme="minorHAnsi"/>
                <w:sz w:val="22"/>
                <w:szCs w:val="22"/>
              </w:rPr>
              <w:br/>
            </w:r>
            <w:r w:rsidRPr="00AF7278">
              <w:rPr>
                <w:rFonts w:asciiTheme="minorHAnsi" w:hAnsiTheme="minorHAnsi" w:cstheme="minorHAnsi"/>
                <w:sz w:val="22"/>
                <w:szCs w:val="22"/>
              </w:rPr>
              <w:br/>
              <w:t>If the EPDP team does recommend that the authorization provider may or must review the registration data, the team should be specific about whether this is a MAY or a MUST, an</w:t>
            </w:r>
          </w:p>
          <w:p w14:paraId="0DEA67F2" w14:textId="77777777" w:rsidR="00205315" w:rsidRDefault="009953C2" w:rsidP="009953C2">
            <w:pPr>
              <w:rPr>
                <w:rFonts w:asciiTheme="minorHAnsi" w:hAnsiTheme="minorHAnsi" w:cstheme="minorHAnsi"/>
                <w:sz w:val="22"/>
                <w:szCs w:val="22"/>
              </w:rPr>
            </w:pPr>
            <w:r w:rsidRPr="00AF7278">
              <w:rPr>
                <w:rFonts w:asciiTheme="minorHAnsi" w:hAnsiTheme="minorHAnsi" w:cstheme="minorHAnsi"/>
                <w:sz w:val="22"/>
                <w:szCs w:val="22"/>
              </w:rPr>
              <w:t>(ICANN Org Liaisons)</w:t>
            </w:r>
          </w:p>
          <w:p w14:paraId="14240DD3" w14:textId="77777777" w:rsidR="0026769E" w:rsidRDefault="0026769E" w:rsidP="009953C2">
            <w:pPr>
              <w:rPr>
                <w:rFonts w:asciiTheme="minorHAnsi" w:hAnsiTheme="minorHAnsi" w:cstheme="minorHAnsi"/>
                <w:sz w:val="22"/>
                <w:szCs w:val="22"/>
              </w:rPr>
            </w:pPr>
          </w:p>
          <w:p w14:paraId="46330462" w14:textId="30CCB531" w:rsidR="0026769E" w:rsidRDefault="0026769E" w:rsidP="0026769E">
            <w:pPr>
              <w:rPr>
                <w:rFonts w:asciiTheme="minorHAnsi" w:hAnsiTheme="minorHAnsi" w:cstheme="minorHAnsi"/>
                <w:sz w:val="22"/>
                <w:szCs w:val="22"/>
              </w:rPr>
            </w:pPr>
            <w:r w:rsidRPr="0026769E">
              <w:rPr>
                <w:rFonts w:asciiTheme="minorHAnsi" w:hAnsiTheme="minorHAnsi" w:cstheme="minorHAnsi"/>
                <w:sz w:val="22"/>
                <w:szCs w:val="22"/>
              </w:rPr>
              <w:t xml:space="preserve">The way this is drafted implies that this test is done in all cases (for all requests). This should be limited to cases where the balancing test is necessary (i.e. where the RNH data is personal data, and where the disclosure is based on 6.1.f.). </w:t>
            </w:r>
            <w:r>
              <w:rPr>
                <w:rFonts w:asciiTheme="minorHAnsi" w:hAnsiTheme="minorHAnsi" w:cstheme="minorHAnsi"/>
                <w:sz w:val="22"/>
                <w:szCs w:val="22"/>
              </w:rPr>
              <w:t>(IPC)</w:t>
            </w:r>
          </w:p>
          <w:p w14:paraId="384FE4A1" w14:textId="6C02C76E" w:rsidR="0026769E" w:rsidRDefault="0026769E" w:rsidP="0026769E">
            <w:pPr>
              <w:rPr>
                <w:rFonts w:asciiTheme="minorHAnsi" w:hAnsiTheme="minorHAnsi" w:cstheme="minorHAnsi"/>
                <w:sz w:val="22"/>
                <w:szCs w:val="22"/>
              </w:rPr>
            </w:pPr>
          </w:p>
          <w:p w14:paraId="02F0CE9D" w14:textId="214B2B40" w:rsidR="0026769E" w:rsidRPr="0026769E" w:rsidRDefault="0026769E" w:rsidP="0026769E">
            <w:pPr>
              <w:rPr>
                <w:rFonts w:asciiTheme="minorHAnsi" w:hAnsiTheme="minorHAnsi" w:cstheme="minorHAnsi"/>
                <w:sz w:val="22"/>
                <w:szCs w:val="22"/>
              </w:rPr>
            </w:pPr>
            <w:r>
              <w:rPr>
                <w:rFonts w:asciiTheme="minorHAnsi" w:hAnsiTheme="minorHAnsi" w:cstheme="minorHAnsi"/>
                <w:sz w:val="22"/>
                <w:szCs w:val="22"/>
              </w:rPr>
              <w:lastRenderedPageBreak/>
              <w:t xml:space="preserve">Nature of the data – publicly available: </w:t>
            </w:r>
            <w:r w:rsidRPr="0026769E">
              <w:rPr>
                <w:rFonts w:asciiTheme="minorHAnsi" w:hAnsiTheme="minorHAnsi" w:cstheme="minorHAnsi"/>
                <w:sz w:val="22"/>
                <w:szCs w:val="22"/>
              </w:rPr>
              <w:t>Ok if that includes “for free.” and available in the RDDS. (IPC)</w:t>
            </w:r>
          </w:p>
          <w:p w14:paraId="41A9CA16" w14:textId="6B331A06" w:rsidR="0026769E" w:rsidRPr="0026769E" w:rsidRDefault="0026769E" w:rsidP="0026769E">
            <w:pPr>
              <w:rPr>
                <w:rFonts w:asciiTheme="minorHAnsi" w:hAnsiTheme="minorHAnsi" w:cstheme="minorHAnsi"/>
                <w:sz w:val="22"/>
                <w:szCs w:val="22"/>
              </w:rPr>
            </w:pPr>
          </w:p>
          <w:p w14:paraId="4A82A779" w14:textId="1ECD7E12" w:rsidR="0026769E" w:rsidRPr="00205315" w:rsidRDefault="0026769E" w:rsidP="009953C2">
            <w:pPr>
              <w:rPr>
                <w:rFonts w:asciiTheme="minorHAnsi" w:hAnsiTheme="minorHAnsi" w:cstheme="minorHAnsi"/>
                <w:sz w:val="22"/>
                <w:szCs w:val="22"/>
              </w:rPr>
            </w:pPr>
            <w:r w:rsidRPr="0026769E">
              <w:rPr>
                <w:rFonts w:asciiTheme="minorHAnsi" w:hAnsiTheme="minorHAnsi" w:cstheme="minorHAnsi"/>
                <w:sz w:val="22"/>
                <w:szCs w:val="22"/>
              </w:rPr>
              <w:t>Legal frameworks involved. Consider the jurisdictional legal frameworks – Unclear (IPC)</w:t>
            </w:r>
          </w:p>
        </w:tc>
        <w:tc>
          <w:tcPr>
            <w:tcW w:w="3422" w:type="dxa"/>
            <w:shd w:val="clear" w:color="auto" w:fill="auto"/>
          </w:tcPr>
          <w:p w14:paraId="115FA201" w14:textId="77777777" w:rsidR="009953C2" w:rsidRDefault="009953C2" w:rsidP="009953C2">
            <w:pPr>
              <w:rPr>
                <w:rFonts w:asciiTheme="minorHAnsi" w:hAnsiTheme="minorHAnsi" w:cstheme="minorHAnsi"/>
                <w:sz w:val="22"/>
                <w:szCs w:val="22"/>
              </w:rPr>
            </w:pPr>
          </w:p>
        </w:tc>
      </w:tr>
      <w:tr w:rsidR="00205315" w:rsidRPr="005B2D14" w14:paraId="624A8F90" w14:textId="77777777" w:rsidTr="009953C2">
        <w:tc>
          <w:tcPr>
            <w:tcW w:w="641" w:type="dxa"/>
            <w:shd w:val="clear" w:color="auto" w:fill="auto"/>
          </w:tcPr>
          <w:p w14:paraId="2AE533E4" w14:textId="77777777" w:rsidR="00205315" w:rsidRDefault="00205315"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3604818E" w14:textId="3856192D" w:rsidR="00205315" w:rsidRDefault="00205315" w:rsidP="009953C2">
            <w:pPr>
              <w:rPr>
                <w:rFonts w:asciiTheme="minorHAnsi" w:hAnsiTheme="minorHAnsi" w:cstheme="minorHAnsi"/>
                <w:sz w:val="22"/>
                <w:szCs w:val="22"/>
              </w:rPr>
            </w:pPr>
            <w:r>
              <w:rPr>
                <w:rFonts w:asciiTheme="minorHAnsi" w:hAnsiTheme="minorHAnsi" w:cstheme="minorHAnsi"/>
                <w:sz w:val="22"/>
                <w:szCs w:val="22"/>
              </w:rPr>
              <w:t>24 (Authorization Provider)</w:t>
            </w:r>
          </w:p>
        </w:tc>
        <w:tc>
          <w:tcPr>
            <w:tcW w:w="3504" w:type="dxa"/>
            <w:shd w:val="clear" w:color="auto" w:fill="auto"/>
          </w:tcPr>
          <w:p w14:paraId="65FDDC80" w14:textId="77777777" w:rsidR="00205315" w:rsidRDefault="00205315" w:rsidP="00205315">
            <w:pPr>
              <w:pStyle w:val="NormalWeb"/>
              <w:spacing w:before="0" w:beforeAutospacing="0" w:after="0" w:afterAutospacing="0"/>
              <w:textAlignment w:val="baseline"/>
              <w:rPr>
                <w:rFonts w:ascii="Calibri" w:hAnsi="Calibri" w:cs="Calibri"/>
                <w:color w:val="000000"/>
                <w:sz w:val="22"/>
                <w:szCs w:val="22"/>
              </w:rPr>
            </w:pPr>
            <w:r w:rsidRPr="00205315">
              <w:rPr>
                <w:rFonts w:ascii="Calibri" w:hAnsi="Calibri" w:cs="Calibri"/>
                <w:b/>
                <w:bCs/>
                <w:color w:val="000000"/>
                <w:sz w:val="22"/>
                <w:szCs w:val="22"/>
              </w:rPr>
              <w:t>Assessment of impact</w:t>
            </w:r>
            <w:r w:rsidRPr="00205315">
              <w:rPr>
                <w:rFonts w:ascii="Calibri" w:hAnsi="Calibri" w:cs="Calibri"/>
                <w:color w:val="000000"/>
                <w:sz w:val="22"/>
                <w:szCs w:val="22"/>
              </w:rPr>
              <w:t>. Consider the direct impact on data subjects as well as any broader possible consequences of the data processing (e.g., triggering legal proceedings). Whenever the circumstances of the disclosure request or the nature of the data to be disclosed suggest an increased risk</w:t>
            </w:r>
            <w:r w:rsidRPr="00205315">
              <w:rPr>
                <w:rFonts w:ascii="Calibri" w:hAnsi="Calibri" w:cs="Calibri"/>
                <w:color w:val="000000"/>
                <w:sz w:val="22"/>
                <w:szCs w:val="22"/>
                <w:vertAlign w:val="superscript"/>
              </w:rPr>
              <w:t>10</w:t>
            </w:r>
            <w:r w:rsidRPr="00205315">
              <w:rPr>
                <w:rFonts w:ascii="Calibri" w:hAnsi="Calibri" w:cs="Calibri"/>
                <w:color w:val="000000"/>
                <w:sz w:val="22"/>
                <w:szCs w:val="22"/>
              </w:rPr>
              <w:t xml:space="preserve"> for the data subject affected, this shall be taken into account during the decision-making.</w:t>
            </w:r>
          </w:p>
          <w:p w14:paraId="5DB85C19" w14:textId="77777777" w:rsidR="00205315" w:rsidRDefault="00205315" w:rsidP="00205315">
            <w:pPr>
              <w:pStyle w:val="NormalWeb"/>
              <w:spacing w:before="0" w:beforeAutospacing="0" w:after="0" w:afterAutospacing="0"/>
              <w:textAlignment w:val="baseline"/>
              <w:rPr>
                <w:rFonts w:ascii="Calibri" w:hAnsi="Calibri" w:cs="Calibri"/>
                <w:color w:val="000000"/>
                <w:sz w:val="22"/>
                <w:szCs w:val="22"/>
              </w:rPr>
            </w:pPr>
          </w:p>
          <w:p w14:paraId="65EAE240" w14:textId="311E8A56" w:rsidR="00205315" w:rsidRPr="00205315" w:rsidRDefault="00205315" w:rsidP="00205315">
            <w:r w:rsidRPr="00205315">
              <w:rPr>
                <w:rFonts w:ascii="Calibri" w:hAnsi="Calibri" w:cs="Calibri"/>
                <w:color w:val="000000" w:themeColor="text1"/>
                <w:sz w:val="22"/>
                <w:szCs w:val="22"/>
                <w:vertAlign w:val="superscript"/>
              </w:rPr>
              <w:t>10</w:t>
            </w:r>
            <w:r w:rsidRPr="00205315">
              <w:rPr>
                <w:rFonts w:ascii="Calibri" w:hAnsi="Calibri" w:cs="Calibri"/>
                <w:color w:val="000000" w:themeColor="text1"/>
                <w:sz w:val="18"/>
                <w:szCs w:val="18"/>
              </w:rPr>
              <w:t xml:space="preserve"> [Include reference to relevant GDPR provision]</w:t>
            </w:r>
          </w:p>
        </w:tc>
        <w:tc>
          <w:tcPr>
            <w:tcW w:w="3657" w:type="dxa"/>
            <w:shd w:val="clear" w:color="auto" w:fill="auto"/>
          </w:tcPr>
          <w:p w14:paraId="7EF69DE4" w14:textId="3BBA4382" w:rsidR="00205315" w:rsidRPr="00AF7278" w:rsidRDefault="00205315" w:rsidP="009953C2">
            <w:pPr>
              <w:rPr>
                <w:rFonts w:asciiTheme="minorHAnsi" w:hAnsiTheme="minorHAnsi" w:cstheme="minorHAnsi"/>
                <w:sz w:val="22"/>
                <w:szCs w:val="22"/>
              </w:rPr>
            </w:pPr>
            <w:r w:rsidRPr="00205315">
              <w:rPr>
                <w:rFonts w:asciiTheme="minorHAnsi" w:hAnsiTheme="minorHAnsi" w:cstheme="minorHAnsi"/>
                <w:sz w:val="22"/>
                <w:szCs w:val="22"/>
              </w:rPr>
              <w:t xml:space="preserve">Section 6, first bullet point: Remove the footnote. There is no specific section in the GDPR on this. The language was discussed to ensure that the authorization provider takes into account the risks for the data subject under the given circumstances for each case. It may well be that an alleged crime might lead to financial fines or prison in most jurisdiction (“normal risk”), but it may lead to corporal punishment or torture in other jurisdictions, which is what would establish an increased risk. We can be </w:t>
            </w:r>
            <w:proofErr w:type="gramStart"/>
            <w:r w:rsidRPr="00205315">
              <w:rPr>
                <w:rFonts w:asciiTheme="minorHAnsi" w:hAnsiTheme="minorHAnsi" w:cstheme="minorHAnsi"/>
                <w:sz w:val="22"/>
                <w:szCs w:val="22"/>
              </w:rPr>
              <w:t>more wordy</w:t>
            </w:r>
            <w:proofErr w:type="gramEnd"/>
            <w:r w:rsidRPr="00205315">
              <w:rPr>
                <w:rFonts w:asciiTheme="minorHAnsi" w:hAnsiTheme="minorHAnsi" w:cstheme="minorHAnsi"/>
                <w:sz w:val="22"/>
                <w:szCs w:val="22"/>
              </w:rPr>
              <w:t>, but the essence is that the legal framework of the jurisdiction of the requestor needs to be taken into account. The same would go for alleged crimes that could lead to death penalties. We could clarify that the balancing test should take into account criteria for MLADs. In other words: The SSAD should not go further in offering information on alleged criminals than would be given through “official channels”. (ISPCP)</w:t>
            </w:r>
          </w:p>
        </w:tc>
        <w:tc>
          <w:tcPr>
            <w:tcW w:w="3422" w:type="dxa"/>
            <w:shd w:val="clear" w:color="auto" w:fill="auto"/>
          </w:tcPr>
          <w:p w14:paraId="56144291" w14:textId="77777777" w:rsidR="00205315" w:rsidRDefault="00205315" w:rsidP="009953C2">
            <w:pPr>
              <w:rPr>
                <w:rFonts w:asciiTheme="minorHAnsi" w:hAnsiTheme="minorHAnsi" w:cstheme="minorHAnsi"/>
                <w:sz w:val="22"/>
                <w:szCs w:val="22"/>
              </w:rPr>
            </w:pPr>
          </w:p>
        </w:tc>
      </w:tr>
      <w:tr w:rsidR="00F26DBD" w:rsidRPr="005B2D14" w14:paraId="13C1E3A7" w14:textId="77777777" w:rsidTr="009953C2">
        <w:tc>
          <w:tcPr>
            <w:tcW w:w="641" w:type="dxa"/>
            <w:shd w:val="clear" w:color="auto" w:fill="auto"/>
          </w:tcPr>
          <w:p w14:paraId="237D7B94" w14:textId="5992663C" w:rsidR="009953C2" w:rsidRDefault="009953C2"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1FFAA05A" w14:textId="55FC61A4" w:rsidR="009953C2" w:rsidRDefault="009953C2" w:rsidP="009953C2">
            <w:pPr>
              <w:rPr>
                <w:rFonts w:asciiTheme="minorHAnsi" w:hAnsiTheme="minorHAnsi" w:cstheme="minorHAnsi"/>
                <w:sz w:val="22"/>
                <w:szCs w:val="22"/>
              </w:rPr>
            </w:pPr>
            <w:r>
              <w:rPr>
                <w:rFonts w:asciiTheme="minorHAnsi" w:hAnsiTheme="minorHAnsi" w:cstheme="minorHAnsi"/>
                <w:sz w:val="22"/>
                <w:szCs w:val="22"/>
              </w:rPr>
              <w:t>25 (Authorization Provider)</w:t>
            </w:r>
          </w:p>
        </w:tc>
        <w:tc>
          <w:tcPr>
            <w:tcW w:w="3504" w:type="dxa"/>
            <w:shd w:val="clear" w:color="auto" w:fill="auto"/>
          </w:tcPr>
          <w:p w14:paraId="43AB986D" w14:textId="77777777" w:rsidR="009953C2" w:rsidRPr="00205315" w:rsidRDefault="009953C2" w:rsidP="009953C2">
            <w:pPr>
              <w:rPr>
                <w:rFonts w:ascii="Calibri" w:hAnsi="Calibri" w:cs="Calibri"/>
                <w:color w:val="000000"/>
                <w:sz w:val="22"/>
                <w:szCs w:val="22"/>
              </w:rPr>
            </w:pPr>
            <w:r w:rsidRPr="00205315">
              <w:rPr>
                <w:rFonts w:ascii="Calibri" w:hAnsi="Calibri" w:cs="Calibri"/>
                <w:color w:val="000000"/>
                <w:sz w:val="22"/>
                <w:szCs w:val="22"/>
              </w:rPr>
              <w:t>Implementation Guidance</w:t>
            </w:r>
          </w:p>
          <w:p w14:paraId="02286AED" w14:textId="77777777" w:rsidR="00205315" w:rsidRPr="00205315" w:rsidRDefault="00205315" w:rsidP="009953C2">
            <w:pPr>
              <w:rPr>
                <w:rFonts w:ascii="Calibri" w:hAnsi="Calibri" w:cs="Calibri"/>
                <w:color w:val="000000"/>
                <w:sz w:val="22"/>
                <w:szCs w:val="22"/>
              </w:rPr>
            </w:pPr>
          </w:p>
          <w:p w14:paraId="2DE69F18" w14:textId="77777777" w:rsidR="00205315" w:rsidRPr="00205315" w:rsidRDefault="00205315" w:rsidP="00205315">
            <w:pPr>
              <w:pStyle w:val="NormalWeb"/>
              <w:spacing w:before="0" w:beforeAutospacing="0" w:after="0" w:afterAutospacing="0"/>
              <w:textAlignment w:val="baseline"/>
              <w:rPr>
                <w:rFonts w:ascii="Calibri" w:hAnsi="Calibri" w:cs="Calibri"/>
                <w:color w:val="000000"/>
                <w:sz w:val="22"/>
                <w:szCs w:val="22"/>
              </w:rPr>
            </w:pPr>
            <w:r w:rsidRPr="00205315">
              <w:rPr>
                <w:rFonts w:ascii="Calibri" w:hAnsi="Calibri" w:cs="Calibri"/>
                <w:color w:val="000000"/>
                <w:sz w:val="22"/>
                <w:szCs w:val="22"/>
              </w:rPr>
              <w:t>As noted in paragraph 4 above, in situations where the requestor has provided a legitimate interest for its request for access/disclosure, the authorization provider should consider the following: </w:t>
            </w:r>
          </w:p>
          <w:p w14:paraId="28FFF0F3" w14:textId="77777777" w:rsidR="00C60B34" w:rsidRDefault="00205315" w:rsidP="00C60B34">
            <w:pPr>
              <w:pStyle w:val="NormalWeb"/>
              <w:numPr>
                <w:ilvl w:val="0"/>
                <w:numId w:val="14"/>
              </w:numPr>
              <w:spacing w:before="0" w:beforeAutospacing="0" w:after="0" w:afterAutospacing="0"/>
              <w:ind w:left="234" w:hanging="234"/>
              <w:textAlignment w:val="baseline"/>
              <w:rPr>
                <w:rFonts w:ascii="Calibri" w:hAnsi="Calibri" w:cs="Calibri"/>
                <w:color w:val="000000"/>
                <w:sz w:val="22"/>
                <w:szCs w:val="22"/>
              </w:rPr>
            </w:pPr>
            <w:r w:rsidRPr="00205315">
              <w:rPr>
                <w:rFonts w:ascii="Calibri" w:hAnsi="Calibri" w:cs="Calibri"/>
                <w:color w:val="000000"/>
                <w:sz w:val="22"/>
                <w:szCs w:val="22"/>
              </w:rPr>
              <w:t>Interest must be specific, real, and present rather than vague and speculative.</w:t>
            </w:r>
          </w:p>
          <w:p w14:paraId="385666D0" w14:textId="77777777" w:rsidR="00C60B34" w:rsidRPr="00C60B34" w:rsidRDefault="00205315" w:rsidP="00C60B34">
            <w:pPr>
              <w:pStyle w:val="NormalWeb"/>
              <w:numPr>
                <w:ilvl w:val="0"/>
                <w:numId w:val="14"/>
              </w:numPr>
              <w:spacing w:before="0" w:beforeAutospacing="0" w:after="0" w:afterAutospacing="0"/>
              <w:ind w:left="234" w:hanging="234"/>
              <w:textAlignment w:val="baseline"/>
              <w:rPr>
                <w:rFonts w:ascii="Calibri" w:hAnsi="Calibri" w:cs="Calibri"/>
                <w:i/>
                <w:iCs/>
                <w:color w:val="000000"/>
                <w:sz w:val="22"/>
                <w:szCs w:val="22"/>
              </w:rPr>
            </w:pPr>
            <w:r w:rsidRPr="00C60B34">
              <w:rPr>
                <w:rFonts w:ascii="Calibri" w:hAnsi="Calibri" w:cs="Calibri"/>
                <w:i/>
                <w:iCs/>
                <w:color w:val="000000"/>
                <w:sz w:val="22"/>
                <w:szCs w:val="22"/>
              </w:rPr>
              <w:t>An interest is generally legitimate so long as it can be pursued consistent with data protection and other laws.</w:t>
            </w:r>
          </w:p>
          <w:p w14:paraId="6CE67063" w14:textId="767D19DF" w:rsidR="00205315" w:rsidRPr="00C60B34" w:rsidRDefault="00205315" w:rsidP="00C60B34">
            <w:pPr>
              <w:pStyle w:val="NormalWeb"/>
              <w:numPr>
                <w:ilvl w:val="0"/>
                <w:numId w:val="14"/>
              </w:numPr>
              <w:spacing w:before="0" w:beforeAutospacing="0" w:after="0" w:afterAutospacing="0"/>
              <w:ind w:left="234" w:hanging="234"/>
              <w:textAlignment w:val="baseline"/>
              <w:rPr>
                <w:rFonts w:ascii="Calibri" w:hAnsi="Calibri" w:cs="Calibri"/>
                <w:color w:val="000000"/>
                <w:sz w:val="22"/>
                <w:szCs w:val="22"/>
              </w:rPr>
            </w:pPr>
            <w:r w:rsidRPr="00C60B34">
              <w:rPr>
                <w:rFonts w:ascii="Calibri" w:hAnsi="Calibri" w:cs="Calibri"/>
                <w:color w:val="000000"/>
                <w:sz w:val="22"/>
                <w:szCs w:val="22"/>
              </w:rPr>
              <w:t>Examples of legitimate interests include: (</w:t>
            </w:r>
            <w:proofErr w:type="spellStart"/>
            <w:r w:rsidRPr="00C60B34">
              <w:rPr>
                <w:rFonts w:ascii="Calibri" w:hAnsi="Calibri" w:cs="Calibri"/>
                <w:color w:val="000000"/>
                <w:sz w:val="22"/>
                <w:szCs w:val="22"/>
              </w:rPr>
              <w:t>i</w:t>
            </w:r>
            <w:proofErr w:type="spellEnd"/>
            <w:r w:rsidRPr="00C60B34">
              <w:rPr>
                <w:rFonts w:ascii="Calibri" w:hAnsi="Calibri" w:cs="Calibri"/>
                <w:color w:val="000000"/>
                <w:sz w:val="22"/>
                <w:szCs w:val="22"/>
              </w:rPr>
              <w:t>) enforcement of legal claims; (ii) prevention of fraud and misuse of services; and (iii) physical, IT, and network security.</w:t>
            </w:r>
          </w:p>
        </w:tc>
        <w:tc>
          <w:tcPr>
            <w:tcW w:w="3657" w:type="dxa"/>
            <w:shd w:val="clear" w:color="auto" w:fill="auto"/>
          </w:tcPr>
          <w:p w14:paraId="04925C0F" w14:textId="77777777" w:rsidR="009953C2" w:rsidRPr="00AF7278" w:rsidRDefault="009953C2" w:rsidP="009953C2">
            <w:pPr>
              <w:rPr>
                <w:rFonts w:asciiTheme="minorHAnsi" w:hAnsiTheme="minorHAnsi" w:cstheme="minorHAnsi"/>
                <w:sz w:val="22"/>
                <w:szCs w:val="22"/>
              </w:rPr>
            </w:pPr>
            <w:r w:rsidRPr="00AF7278">
              <w:rPr>
                <w:rFonts w:asciiTheme="minorHAnsi" w:hAnsiTheme="minorHAnsi" w:cstheme="minorHAnsi"/>
                <w:sz w:val="22"/>
                <w:szCs w:val="22"/>
              </w:rPr>
              <w:t>How is it envisioned that requirements for the authorization provider will be enforced? If the authorization provider is the contracted party, this requirement could be enforced under existing compliance processes. But if the authorization provider is a third party, who would oversee those decisions? Or what if the authorization provider is ICANN?</w:t>
            </w:r>
          </w:p>
          <w:p w14:paraId="4BC06A1A" w14:textId="77777777" w:rsidR="009953C2" w:rsidRDefault="009953C2" w:rsidP="009953C2">
            <w:pPr>
              <w:rPr>
                <w:rFonts w:asciiTheme="minorHAnsi" w:hAnsiTheme="minorHAnsi" w:cstheme="minorHAnsi"/>
                <w:sz w:val="22"/>
                <w:szCs w:val="22"/>
              </w:rPr>
            </w:pPr>
            <w:r>
              <w:rPr>
                <w:rFonts w:asciiTheme="minorHAnsi" w:hAnsiTheme="minorHAnsi" w:cstheme="minorHAnsi"/>
                <w:sz w:val="22"/>
                <w:szCs w:val="22"/>
              </w:rPr>
              <w:t>(ICANN Org Liaisons)</w:t>
            </w:r>
          </w:p>
          <w:p w14:paraId="1E30A2D1" w14:textId="77777777" w:rsidR="00E50F98" w:rsidRDefault="00E50F98" w:rsidP="009953C2">
            <w:pPr>
              <w:rPr>
                <w:rFonts w:asciiTheme="minorHAnsi" w:hAnsiTheme="minorHAnsi" w:cstheme="minorHAnsi"/>
                <w:sz w:val="22"/>
                <w:szCs w:val="22"/>
              </w:rPr>
            </w:pPr>
          </w:p>
          <w:p w14:paraId="001F3B9A" w14:textId="4AE2F881" w:rsidR="009953C2" w:rsidRDefault="009953C2" w:rsidP="009953C2">
            <w:pPr>
              <w:rPr>
                <w:rFonts w:asciiTheme="minorHAnsi" w:hAnsiTheme="minorHAnsi" w:cstheme="minorHAnsi"/>
                <w:sz w:val="22"/>
                <w:szCs w:val="22"/>
              </w:rPr>
            </w:pPr>
            <w:r w:rsidRPr="00AF7278">
              <w:rPr>
                <w:rFonts w:asciiTheme="minorHAnsi" w:hAnsiTheme="minorHAnsi" w:cstheme="minorHAnsi"/>
                <w:sz w:val="22"/>
                <w:szCs w:val="22"/>
              </w:rPr>
              <w:t xml:space="preserve">If the authorization provider is ICANN, then enforcement will have to come from the Data Protection Authorities. Any and every decision ICANN makes would be subject to scrutiny and potential legal challenge, which seems burdensome and is one reason we favor distributing responsibility across the relevant contracted party. </w:t>
            </w:r>
            <w:r>
              <w:rPr>
                <w:rFonts w:asciiTheme="minorHAnsi" w:hAnsiTheme="minorHAnsi" w:cstheme="minorHAnsi"/>
                <w:sz w:val="22"/>
                <w:szCs w:val="22"/>
              </w:rPr>
              <w:t>(NCSG)</w:t>
            </w:r>
          </w:p>
          <w:p w14:paraId="006438C5" w14:textId="1FE2911F" w:rsidR="00E50F98" w:rsidRDefault="00E50F98" w:rsidP="009953C2">
            <w:pPr>
              <w:rPr>
                <w:rFonts w:asciiTheme="minorHAnsi" w:hAnsiTheme="minorHAnsi" w:cstheme="minorHAnsi"/>
                <w:sz w:val="22"/>
                <w:szCs w:val="22"/>
              </w:rPr>
            </w:pPr>
          </w:p>
          <w:p w14:paraId="51E6048A" w14:textId="004905CB" w:rsidR="00E50F98" w:rsidRDefault="00E50F98" w:rsidP="009953C2">
            <w:pPr>
              <w:rPr>
                <w:rFonts w:asciiTheme="minorHAnsi" w:hAnsiTheme="minorHAnsi" w:cstheme="minorHAnsi"/>
                <w:sz w:val="22"/>
                <w:szCs w:val="22"/>
              </w:rPr>
            </w:pPr>
            <w:r w:rsidRPr="00E50F98">
              <w:rPr>
                <w:rFonts w:asciiTheme="minorHAnsi" w:hAnsiTheme="minorHAnsi" w:cstheme="minorHAnsi"/>
                <w:sz w:val="22"/>
                <w:szCs w:val="22"/>
              </w:rPr>
              <w:t>We seem to be converging on ICANN or its designee as "the entity", so I would assume that any 3rd party would be under contract to ICANN.</w:t>
            </w:r>
            <w:r>
              <w:rPr>
                <w:rFonts w:asciiTheme="minorHAnsi" w:hAnsiTheme="minorHAnsi" w:cstheme="minorHAnsi"/>
                <w:sz w:val="22"/>
                <w:szCs w:val="22"/>
              </w:rPr>
              <w:t xml:space="preserve"> (BC)</w:t>
            </w:r>
          </w:p>
          <w:p w14:paraId="6F8A43A2" w14:textId="77777777" w:rsidR="00205315" w:rsidRPr="00205315" w:rsidRDefault="00205315" w:rsidP="009953C2">
            <w:pPr>
              <w:rPr>
                <w:rFonts w:asciiTheme="minorHAnsi" w:hAnsiTheme="minorHAnsi" w:cstheme="minorHAnsi"/>
                <w:sz w:val="22"/>
                <w:szCs w:val="22"/>
              </w:rPr>
            </w:pPr>
          </w:p>
          <w:p w14:paraId="2651991C" w14:textId="77777777" w:rsidR="00205315" w:rsidRPr="00205315" w:rsidRDefault="00205315" w:rsidP="00205315">
            <w:pPr>
              <w:rPr>
                <w:rFonts w:asciiTheme="minorHAnsi" w:hAnsiTheme="minorHAnsi" w:cstheme="minorHAnsi"/>
                <w:sz w:val="22"/>
                <w:szCs w:val="22"/>
              </w:rPr>
            </w:pPr>
            <w:r w:rsidRPr="00205315">
              <w:rPr>
                <w:rFonts w:asciiTheme="minorHAnsi" w:hAnsiTheme="minorHAnsi" w:cstheme="minorHAnsi"/>
                <w:sz w:val="22"/>
                <w:szCs w:val="22"/>
              </w:rPr>
              <w:t>Implementation Guidance, p.26, second bullet point:</w:t>
            </w:r>
          </w:p>
          <w:p w14:paraId="236B995F" w14:textId="77777777" w:rsidR="00205315" w:rsidRPr="00205315" w:rsidRDefault="00205315" w:rsidP="00205315">
            <w:pPr>
              <w:rPr>
                <w:rFonts w:asciiTheme="minorHAnsi" w:hAnsiTheme="minorHAnsi" w:cstheme="minorHAnsi"/>
                <w:sz w:val="22"/>
                <w:szCs w:val="22"/>
              </w:rPr>
            </w:pPr>
            <w:r w:rsidRPr="00205315">
              <w:rPr>
                <w:rFonts w:asciiTheme="minorHAnsi" w:hAnsiTheme="minorHAnsi" w:cstheme="minorHAnsi"/>
                <w:sz w:val="22"/>
                <w:szCs w:val="22"/>
              </w:rPr>
              <w:t xml:space="preserve">“An interest is generally legitimate so long as it can be pursued consistent with data protection and other laws”. </w:t>
            </w:r>
          </w:p>
          <w:p w14:paraId="71E78EF3" w14:textId="77777777" w:rsidR="00205315" w:rsidRPr="00205315" w:rsidRDefault="00205315" w:rsidP="00205315">
            <w:pPr>
              <w:rPr>
                <w:rFonts w:asciiTheme="minorHAnsi" w:hAnsiTheme="minorHAnsi" w:cstheme="minorHAnsi"/>
                <w:sz w:val="22"/>
                <w:szCs w:val="22"/>
              </w:rPr>
            </w:pPr>
            <w:r w:rsidRPr="00205315">
              <w:rPr>
                <w:rFonts w:asciiTheme="minorHAnsi" w:hAnsiTheme="minorHAnsi" w:cstheme="minorHAnsi"/>
                <w:sz w:val="22"/>
                <w:szCs w:val="22"/>
              </w:rPr>
              <w:lastRenderedPageBreak/>
              <w:t>This statement is too broad. We cannot tell what all data protection laws globally would allow for and whether that would meet our legal standards. This reservation is even more true for “other laws”. A lot of laws would permit for exactly what we are trying to protect registrants against.</w:t>
            </w:r>
          </w:p>
          <w:p w14:paraId="5F72820B" w14:textId="6D8271D0" w:rsidR="00E50F98" w:rsidRPr="00E50F98" w:rsidRDefault="00205315" w:rsidP="009953C2">
            <w:pPr>
              <w:rPr>
                <w:rFonts w:asciiTheme="minorHAnsi" w:hAnsiTheme="minorHAnsi" w:cstheme="minorHAnsi"/>
                <w:sz w:val="22"/>
                <w:szCs w:val="22"/>
              </w:rPr>
            </w:pPr>
            <w:r w:rsidRPr="00205315">
              <w:rPr>
                <w:rFonts w:asciiTheme="minorHAnsi" w:hAnsiTheme="minorHAnsi" w:cstheme="minorHAnsi"/>
                <w:sz w:val="22"/>
                <w:szCs w:val="22"/>
              </w:rPr>
              <w:t>The implementation guidance does not seem to offer a lot of benefit, so we suggest deleting this entire section. (ISPCP)</w:t>
            </w:r>
          </w:p>
        </w:tc>
        <w:tc>
          <w:tcPr>
            <w:tcW w:w="3422" w:type="dxa"/>
            <w:shd w:val="clear" w:color="auto" w:fill="auto"/>
          </w:tcPr>
          <w:p w14:paraId="46F3D868" w14:textId="77777777" w:rsidR="009953C2" w:rsidRDefault="009953C2" w:rsidP="009953C2">
            <w:pPr>
              <w:rPr>
                <w:rFonts w:asciiTheme="minorHAnsi" w:hAnsiTheme="minorHAnsi" w:cstheme="minorHAnsi"/>
                <w:sz w:val="22"/>
                <w:szCs w:val="22"/>
              </w:rPr>
            </w:pPr>
          </w:p>
        </w:tc>
      </w:tr>
      <w:tr w:rsidR="00F26DBD" w:rsidRPr="005B2D14" w14:paraId="5BFF30A7" w14:textId="77777777" w:rsidTr="009953C2">
        <w:tc>
          <w:tcPr>
            <w:tcW w:w="641" w:type="dxa"/>
            <w:shd w:val="clear" w:color="auto" w:fill="auto"/>
          </w:tcPr>
          <w:p w14:paraId="4350193E" w14:textId="2E1A7730" w:rsidR="009953C2" w:rsidRDefault="009953C2"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72E52F9E" w14:textId="421EF682" w:rsidR="009953C2" w:rsidRDefault="009953C2" w:rsidP="009953C2">
            <w:pPr>
              <w:rPr>
                <w:rFonts w:asciiTheme="minorHAnsi" w:hAnsiTheme="minorHAnsi" w:cstheme="minorHAnsi"/>
                <w:sz w:val="22"/>
                <w:szCs w:val="22"/>
              </w:rPr>
            </w:pPr>
            <w:r>
              <w:rPr>
                <w:rFonts w:asciiTheme="minorHAnsi" w:hAnsiTheme="minorHAnsi" w:cstheme="minorHAnsi"/>
                <w:sz w:val="22"/>
                <w:szCs w:val="22"/>
              </w:rPr>
              <w:t>25 (Response Requirements)</w:t>
            </w:r>
          </w:p>
        </w:tc>
        <w:tc>
          <w:tcPr>
            <w:tcW w:w="3504" w:type="dxa"/>
            <w:shd w:val="clear" w:color="auto" w:fill="auto"/>
          </w:tcPr>
          <w:p w14:paraId="5D60C745" w14:textId="1B053D32" w:rsidR="009953C2" w:rsidRPr="00AF7278" w:rsidRDefault="009953C2" w:rsidP="009953C2">
            <w:pPr>
              <w:rPr>
                <w:sz w:val="22"/>
                <w:szCs w:val="22"/>
              </w:rPr>
            </w:pPr>
            <w:r w:rsidRPr="00AF7278">
              <w:rPr>
                <w:rFonts w:ascii="Calibri" w:hAnsi="Calibri" w:cs="Calibri"/>
                <w:color w:val="000000"/>
                <w:sz w:val="22"/>
                <w:szCs w:val="22"/>
              </w:rPr>
              <w:t xml:space="preserve">d. Responses where disclosure of data (in whole or in part) has been denied should </w:t>
            </w:r>
            <w:proofErr w:type="gramStart"/>
            <w:r w:rsidRPr="00AF7278">
              <w:rPr>
                <w:rFonts w:ascii="Calibri" w:hAnsi="Calibri" w:cs="Calibri"/>
                <w:color w:val="000000"/>
                <w:sz w:val="22"/>
                <w:szCs w:val="22"/>
              </w:rPr>
              <w:t>include:</w:t>
            </w:r>
            <w:proofErr w:type="gramEnd"/>
            <w:r w:rsidRPr="00AF7278">
              <w:rPr>
                <w:rFonts w:ascii="Calibri" w:hAnsi="Calibri" w:cs="Calibri"/>
                <w:color w:val="000000"/>
                <w:sz w:val="22"/>
                <w:szCs w:val="22"/>
              </w:rPr>
              <w:t xml:space="preserve"> rationale sufficient for the requestor to understand the reasons for the decision, including, for example, an analysis and explanation of how the balancing test was applied (if applicable). Additionally, in its response, the entity receiving the access/disclosure request must include information on how public registration data can be obtained. </w:t>
            </w:r>
          </w:p>
        </w:tc>
        <w:tc>
          <w:tcPr>
            <w:tcW w:w="3657" w:type="dxa"/>
            <w:shd w:val="clear" w:color="auto" w:fill="auto"/>
          </w:tcPr>
          <w:p w14:paraId="17D0202D" w14:textId="266F0D54" w:rsidR="009953C2" w:rsidRDefault="009953C2" w:rsidP="009953C2">
            <w:pPr>
              <w:rPr>
                <w:rFonts w:asciiTheme="minorHAnsi" w:hAnsiTheme="minorHAnsi" w:cstheme="minorHAnsi"/>
                <w:sz w:val="22"/>
                <w:szCs w:val="22"/>
              </w:rPr>
            </w:pPr>
            <w:r w:rsidRPr="00AF7278">
              <w:rPr>
                <w:rFonts w:asciiTheme="minorHAnsi" w:hAnsiTheme="minorHAnsi" w:cstheme="minorHAnsi"/>
                <w:sz w:val="22"/>
                <w:szCs w:val="22"/>
              </w:rPr>
              <w:t>Suggestion from Brian King: We should insert language akin to that in the P/P policy "Disclosure cannot be refused solely for lack of any of the following: (</w:t>
            </w:r>
            <w:proofErr w:type="spellStart"/>
            <w:r w:rsidRPr="00AF7278">
              <w:rPr>
                <w:rFonts w:asciiTheme="minorHAnsi" w:hAnsiTheme="minorHAnsi" w:cstheme="minorHAnsi"/>
                <w:sz w:val="22"/>
                <w:szCs w:val="22"/>
              </w:rPr>
              <w:t>i</w:t>
            </w:r>
            <w:proofErr w:type="spellEnd"/>
            <w:r w:rsidRPr="00AF7278">
              <w:rPr>
                <w:rFonts w:asciiTheme="minorHAnsi" w:hAnsiTheme="minorHAnsi" w:cstheme="minorHAnsi"/>
                <w:sz w:val="22"/>
                <w:szCs w:val="22"/>
              </w:rPr>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p>
          <w:p w14:paraId="1ABC642E" w14:textId="77777777" w:rsidR="009953C2" w:rsidRDefault="009953C2" w:rsidP="009953C2"/>
          <w:p w14:paraId="62F55FC5" w14:textId="77777777" w:rsidR="009953C2" w:rsidRDefault="009953C2" w:rsidP="009953C2">
            <w:pPr>
              <w:rPr>
                <w:rFonts w:asciiTheme="minorHAnsi" w:hAnsiTheme="minorHAnsi" w:cstheme="minorHAnsi"/>
                <w:sz w:val="22"/>
                <w:szCs w:val="22"/>
              </w:rPr>
            </w:pPr>
            <w:r w:rsidRPr="00AF7278">
              <w:rPr>
                <w:rFonts w:asciiTheme="minorHAnsi" w:hAnsiTheme="minorHAnsi" w:cstheme="minorHAnsi"/>
                <w:sz w:val="22"/>
                <w:szCs w:val="22"/>
              </w:rPr>
              <w:t>I see no reason for our policy to categorically eliminate what in some cases could be perfectly valid reasons not to disclose. The last part (IP infringement in content on a website) is most certainly not acceptable. (NCSG)</w:t>
            </w:r>
          </w:p>
          <w:p w14:paraId="006AEA2E" w14:textId="77777777" w:rsidR="00B3310D" w:rsidRDefault="00B3310D" w:rsidP="009953C2">
            <w:pPr>
              <w:rPr>
                <w:rFonts w:asciiTheme="minorHAnsi" w:hAnsiTheme="minorHAnsi" w:cstheme="minorHAnsi"/>
                <w:sz w:val="22"/>
                <w:szCs w:val="22"/>
              </w:rPr>
            </w:pPr>
          </w:p>
          <w:p w14:paraId="52EB25E5" w14:textId="77777777" w:rsidR="00B3310D" w:rsidRDefault="00B3310D" w:rsidP="009953C2">
            <w:pPr>
              <w:rPr>
                <w:rFonts w:asciiTheme="minorHAnsi" w:hAnsiTheme="minorHAnsi" w:cstheme="minorHAnsi"/>
                <w:sz w:val="22"/>
                <w:szCs w:val="22"/>
              </w:rPr>
            </w:pPr>
            <w:r>
              <w:rPr>
                <w:rFonts w:asciiTheme="minorHAnsi" w:hAnsiTheme="minorHAnsi" w:cstheme="minorHAnsi"/>
                <w:sz w:val="22"/>
                <w:szCs w:val="22"/>
              </w:rPr>
              <w:t xml:space="preserve">‘For </w:t>
            </w:r>
            <w:proofErr w:type="gramStart"/>
            <w:r>
              <w:rPr>
                <w:rFonts w:asciiTheme="minorHAnsi" w:hAnsiTheme="minorHAnsi" w:cstheme="minorHAnsi"/>
                <w:sz w:val="22"/>
                <w:szCs w:val="22"/>
              </w:rPr>
              <w:t>example</w:t>
            </w:r>
            <w:proofErr w:type="gramEnd"/>
            <w:r>
              <w:rPr>
                <w:rFonts w:asciiTheme="minorHAnsi" w:hAnsiTheme="minorHAnsi" w:cstheme="minorHAnsi"/>
                <w:sz w:val="22"/>
                <w:szCs w:val="22"/>
              </w:rPr>
              <w:t>’ – delete (IPC)</w:t>
            </w:r>
          </w:p>
          <w:p w14:paraId="4F57E47A" w14:textId="77777777" w:rsidR="00B3310D" w:rsidRDefault="00B3310D" w:rsidP="009953C2">
            <w:pPr>
              <w:rPr>
                <w:rFonts w:asciiTheme="minorHAnsi" w:hAnsiTheme="minorHAnsi" w:cstheme="minorHAnsi"/>
                <w:sz w:val="22"/>
                <w:szCs w:val="22"/>
              </w:rPr>
            </w:pPr>
          </w:p>
          <w:p w14:paraId="64C97A1B" w14:textId="78830C7E" w:rsidR="00B3310D" w:rsidRPr="00AF7278" w:rsidRDefault="00B3310D" w:rsidP="009953C2">
            <w:pPr>
              <w:rPr>
                <w:rFonts w:asciiTheme="minorHAnsi" w:hAnsiTheme="minorHAnsi" w:cstheme="minorHAnsi"/>
                <w:sz w:val="22"/>
                <w:szCs w:val="22"/>
              </w:rPr>
            </w:pPr>
            <w:r>
              <w:rPr>
                <w:rFonts w:asciiTheme="minorHAnsi" w:hAnsiTheme="minorHAnsi" w:cstheme="minorHAnsi"/>
                <w:sz w:val="22"/>
                <w:szCs w:val="22"/>
              </w:rPr>
              <w:t>Insert</w:t>
            </w:r>
            <w:r w:rsidRPr="00B3310D">
              <w:rPr>
                <w:rFonts w:asciiTheme="minorHAnsi" w:hAnsiTheme="minorHAnsi" w:cstheme="minorHAnsi"/>
                <w:sz w:val="22"/>
                <w:szCs w:val="22"/>
              </w:rPr>
              <w:t>: if the request was denied, in whole or in part, because the requested data is already publicly available, the response should indicate exactly where.</w:t>
            </w:r>
            <w:r>
              <w:rPr>
                <w:rFonts w:asciiTheme="minorHAnsi" w:hAnsiTheme="minorHAnsi" w:cstheme="minorHAnsi"/>
                <w:sz w:val="22"/>
                <w:szCs w:val="22"/>
              </w:rPr>
              <w:t xml:space="preserve"> (IPC)</w:t>
            </w:r>
          </w:p>
        </w:tc>
        <w:tc>
          <w:tcPr>
            <w:tcW w:w="3422" w:type="dxa"/>
            <w:shd w:val="clear" w:color="auto" w:fill="auto"/>
          </w:tcPr>
          <w:p w14:paraId="205E480F" w14:textId="77777777" w:rsidR="009953C2" w:rsidRDefault="009953C2" w:rsidP="009953C2">
            <w:pPr>
              <w:rPr>
                <w:rFonts w:asciiTheme="minorHAnsi" w:hAnsiTheme="minorHAnsi" w:cstheme="minorHAnsi"/>
                <w:sz w:val="22"/>
                <w:szCs w:val="22"/>
              </w:rPr>
            </w:pPr>
          </w:p>
        </w:tc>
      </w:tr>
      <w:tr w:rsidR="00F26DBD" w:rsidRPr="005B2D14" w14:paraId="211FEB06" w14:textId="77777777" w:rsidTr="009953C2">
        <w:tc>
          <w:tcPr>
            <w:tcW w:w="641" w:type="dxa"/>
            <w:shd w:val="clear" w:color="auto" w:fill="auto"/>
          </w:tcPr>
          <w:p w14:paraId="6BEB6BC0" w14:textId="485B4048" w:rsidR="009953C2" w:rsidRDefault="009953C2"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41919345" w14:textId="6D8AD6DE" w:rsidR="009953C2" w:rsidRDefault="009953C2" w:rsidP="009953C2">
            <w:pPr>
              <w:rPr>
                <w:rFonts w:asciiTheme="minorHAnsi" w:hAnsiTheme="minorHAnsi" w:cstheme="minorHAnsi"/>
                <w:sz w:val="22"/>
                <w:szCs w:val="22"/>
              </w:rPr>
            </w:pPr>
            <w:r>
              <w:rPr>
                <w:rFonts w:asciiTheme="minorHAnsi" w:hAnsiTheme="minorHAnsi" w:cstheme="minorHAnsi"/>
                <w:sz w:val="22"/>
                <w:szCs w:val="22"/>
              </w:rPr>
              <w:t>26 (Response Requirements)</w:t>
            </w:r>
          </w:p>
        </w:tc>
        <w:tc>
          <w:tcPr>
            <w:tcW w:w="3504" w:type="dxa"/>
            <w:shd w:val="clear" w:color="auto" w:fill="auto"/>
          </w:tcPr>
          <w:p w14:paraId="08CB94E9" w14:textId="1644B05A" w:rsidR="009953C2" w:rsidRPr="006B4810" w:rsidRDefault="009953C2" w:rsidP="009953C2">
            <w:pPr>
              <w:rPr>
                <w:sz w:val="22"/>
                <w:szCs w:val="22"/>
              </w:rPr>
            </w:pPr>
            <w:r w:rsidRPr="006B4810">
              <w:rPr>
                <w:rFonts w:ascii="Calibri" w:hAnsi="Calibri" w:cs="Calibri"/>
                <w:color w:val="000000"/>
                <w:sz w:val="22"/>
                <w:szCs w:val="22"/>
              </w:rPr>
              <w:t xml:space="preserve">The EPDP Team recommends that if the entity disclosing the data determines that disclosure would be in violation of applicable laws </w:t>
            </w:r>
            <w:r w:rsidRPr="006B4810">
              <w:rPr>
                <w:rFonts w:ascii="Calibri" w:hAnsi="Calibri" w:cs="Calibri"/>
                <w:i/>
                <w:iCs/>
                <w:color w:val="000000"/>
                <w:sz w:val="22"/>
                <w:szCs w:val="22"/>
              </w:rPr>
              <w:t>AND</w:t>
            </w:r>
            <w:r w:rsidRPr="006B4810">
              <w:rPr>
                <w:rFonts w:ascii="Calibri" w:hAnsi="Calibri" w:cs="Calibri"/>
                <w:color w:val="000000"/>
                <w:sz w:val="22"/>
                <w:szCs w:val="22"/>
              </w:rPr>
              <w:t xml:space="preserve"> result in inconsistency with these policy recommendations, the entity disclosing the data must document the rationale and communicate this information to the requestor and ICANN Compliance (if requested).</w:t>
            </w:r>
          </w:p>
        </w:tc>
        <w:tc>
          <w:tcPr>
            <w:tcW w:w="3657" w:type="dxa"/>
            <w:shd w:val="clear" w:color="auto" w:fill="auto"/>
          </w:tcPr>
          <w:p w14:paraId="4C16AF4C" w14:textId="77777777" w:rsidR="009953C2" w:rsidRPr="006B4810" w:rsidRDefault="009953C2" w:rsidP="009953C2">
            <w:pPr>
              <w:rPr>
                <w:rFonts w:asciiTheme="minorHAnsi" w:hAnsiTheme="minorHAnsi" w:cstheme="minorHAnsi"/>
                <w:sz w:val="22"/>
                <w:szCs w:val="22"/>
              </w:rPr>
            </w:pPr>
            <w:r w:rsidRPr="006B4810">
              <w:rPr>
                <w:rFonts w:asciiTheme="minorHAnsi" w:hAnsiTheme="minorHAnsi" w:cstheme="minorHAnsi"/>
                <w:sz w:val="22"/>
                <w:szCs w:val="22"/>
              </w:rPr>
              <w:t>Suggestion from Daniel Halloran: Should this be ‘OR’?</w:t>
            </w:r>
          </w:p>
          <w:p w14:paraId="1C9D3F30" w14:textId="77777777" w:rsidR="009953C2" w:rsidRDefault="009953C2" w:rsidP="009953C2">
            <w:pPr>
              <w:rPr>
                <w:rFonts w:asciiTheme="minorHAnsi" w:hAnsiTheme="minorHAnsi" w:cstheme="minorHAnsi"/>
                <w:sz w:val="22"/>
                <w:szCs w:val="22"/>
              </w:rPr>
            </w:pPr>
          </w:p>
          <w:p w14:paraId="49118C19" w14:textId="77777777" w:rsidR="009953C2" w:rsidRDefault="009953C2" w:rsidP="009953C2">
            <w:pPr>
              <w:rPr>
                <w:rFonts w:asciiTheme="minorHAnsi" w:hAnsiTheme="minorHAnsi" w:cstheme="minorHAnsi"/>
                <w:sz w:val="22"/>
                <w:szCs w:val="22"/>
              </w:rPr>
            </w:pPr>
            <w:r w:rsidRPr="006B4810">
              <w:rPr>
                <w:rFonts w:asciiTheme="minorHAnsi" w:hAnsiTheme="minorHAnsi" w:cstheme="minorHAnsi"/>
                <w:sz w:val="22"/>
                <w:szCs w:val="22"/>
              </w:rPr>
              <w:t>It definitely should be OR (NCSG)</w:t>
            </w:r>
          </w:p>
          <w:p w14:paraId="2D94174A" w14:textId="77777777" w:rsidR="00B3310D" w:rsidRPr="00B3310D" w:rsidRDefault="00B3310D" w:rsidP="009953C2">
            <w:pPr>
              <w:rPr>
                <w:rFonts w:asciiTheme="minorHAnsi" w:hAnsiTheme="minorHAnsi" w:cstheme="minorHAnsi"/>
                <w:sz w:val="22"/>
                <w:szCs w:val="22"/>
              </w:rPr>
            </w:pPr>
          </w:p>
          <w:p w14:paraId="051C7621" w14:textId="306703C6" w:rsidR="00B3310D" w:rsidRPr="006B4810" w:rsidRDefault="00B3310D" w:rsidP="009953C2">
            <w:r w:rsidRPr="00B3310D">
              <w:rPr>
                <w:rFonts w:asciiTheme="minorHAnsi" w:hAnsiTheme="minorHAnsi" w:cstheme="minorHAnsi"/>
                <w:sz w:val="22"/>
                <w:szCs w:val="22"/>
              </w:rPr>
              <w:t xml:space="preserve">“OR” makes more sense here. If we’re trying to address two separate scenarios, it probably makes sense to make </w:t>
            </w:r>
            <w:proofErr w:type="gramStart"/>
            <w:r w:rsidRPr="00B3310D">
              <w:rPr>
                <w:rFonts w:asciiTheme="minorHAnsi" w:hAnsiTheme="minorHAnsi" w:cstheme="minorHAnsi"/>
                <w:sz w:val="22"/>
                <w:szCs w:val="22"/>
              </w:rPr>
              <w:t>this two sentences</w:t>
            </w:r>
            <w:proofErr w:type="gramEnd"/>
            <w:r w:rsidRPr="00B3310D">
              <w:rPr>
                <w:rFonts w:asciiTheme="minorHAnsi" w:hAnsiTheme="minorHAnsi" w:cstheme="minorHAnsi"/>
                <w:sz w:val="22"/>
                <w:szCs w:val="22"/>
              </w:rPr>
              <w:t>. Disclosure shouldn’t “result in inconsistency with these policy recommendations” in any situation I can envision – what scenario are we trying to address with this language? (IPC)</w:t>
            </w:r>
          </w:p>
        </w:tc>
        <w:tc>
          <w:tcPr>
            <w:tcW w:w="3422" w:type="dxa"/>
            <w:shd w:val="clear" w:color="auto" w:fill="auto"/>
          </w:tcPr>
          <w:p w14:paraId="2FEC8E68" w14:textId="77777777" w:rsidR="009953C2" w:rsidRDefault="009953C2" w:rsidP="009953C2">
            <w:pPr>
              <w:rPr>
                <w:rFonts w:asciiTheme="minorHAnsi" w:hAnsiTheme="minorHAnsi" w:cstheme="minorHAnsi"/>
                <w:sz w:val="22"/>
                <w:szCs w:val="22"/>
              </w:rPr>
            </w:pPr>
          </w:p>
        </w:tc>
      </w:tr>
      <w:tr w:rsidR="00C60B34" w:rsidRPr="005B2D14" w14:paraId="06B8D4BB" w14:textId="77777777" w:rsidTr="009953C2">
        <w:tc>
          <w:tcPr>
            <w:tcW w:w="641" w:type="dxa"/>
            <w:shd w:val="clear" w:color="auto" w:fill="auto"/>
          </w:tcPr>
          <w:p w14:paraId="688AC954" w14:textId="6D114A87" w:rsidR="00C60B34" w:rsidRDefault="00C60B34"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2F5A8DDC" w14:textId="3C13B862" w:rsidR="00C60B34" w:rsidRDefault="00C60B34" w:rsidP="009953C2">
            <w:pPr>
              <w:rPr>
                <w:rFonts w:asciiTheme="minorHAnsi" w:hAnsiTheme="minorHAnsi" w:cstheme="minorHAnsi"/>
                <w:sz w:val="22"/>
                <w:szCs w:val="22"/>
              </w:rPr>
            </w:pPr>
            <w:r>
              <w:rPr>
                <w:rFonts w:asciiTheme="minorHAnsi" w:hAnsiTheme="minorHAnsi" w:cstheme="minorHAnsi"/>
                <w:sz w:val="22"/>
                <w:szCs w:val="22"/>
              </w:rPr>
              <w:t>26 (Implementation Guidance)</w:t>
            </w:r>
          </w:p>
        </w:tc>
        <w:tc>
          <w:tcPr>
            <w:tcW w:w="3504" w:type="dxa"/>
            <w:shd w:val="clear" w:color="auto" w:fill="auto"/>
          </w:tcPr>
          <w:p w14:paraId="4F6203FE" w14:textId="565AA414" w:rsidR="00C60B34" w:rsidRPr="00C60B34" w:rsidRDefault="00C60B34" w:rsidP="00C60B34">
            <w:pPr>
              <w:pStyle w:val="NormalWeb"/>
              <w:spacing w:before="0" w:beforeAutospacing="0" w:after="0" w:afterAutospacing="0"/>
              <w:rPr>
                <w:sz w:val="22"/>
                <w:szCs w:val="22"/>
              </w:rPr>
            </w:pPr>
            <w:r w:rsidRPr="00C60B34">
              <w:rPr>
                <w:rFonts w:ascii="Calibri" w:hAnsi="Calibri" w:cs="Calibri"/>
                <w:color w:val="000000"/>
                <w:sz w:val="22"/>
                <w:szCs w:val="22"/>
              </w:rPr>
              <w:t>Implementation Guidance:</w:t>
            </w:r>
          </w:p>
          <w:p w14:paraId="7E3FFC8A" w14:textId="4143EE4D" w:rsidR="00C60B34" w:rsidRPr="00C60B34" w:rsidRDefault="00C60B34" w:rsidP="00C60B34">
            <w:pPr>
              <w:pStyle w:val="NormalWeb"/>
              <w:numPr>
                <w:ilvl w:val="0"/>
                <w:numId w:val="15"/>
              </w:numPr>
              <w:spacing w:before="0" w:beforeAutospacing="0" w:after="0" w:afterAutospacing="0"/>
              <w:textAlignment w:val="baseline"/>
              <w:rPr>
                <w:rFonts w:ascii="Calibri" w:hAnsi="Calibri" w:cs="Calibri"/>
                <w:color w:val="000000"/>
                <w:sz w:val="22"/>
                <w:szCs w:val="22"/>
              </w:rPr>
            </w:pPr>
            <w:r w:rsidRPr="00C60B34">
              <w:rPr>
                <w:rFonts w:ascii="Calibri" w:hAnsi="Calibri" w:cs="Calibri"/>
                <w:color w:val="000000"/>
                <w:sz w:val="22"/>
                <w:szCs w:val="22"/>
              </w:rPr>
              <w:t>The entity receiving the access/disclosure request must confirm that the request is syntactically correct, including proper and valid Authentication and Authorization</w:t>
            </w:r>
            <w:r>
              <w:rPr>
                <w:rFonts w:ascii="Calibri" w:hAnsi="Calibri" w:cs="Calibri"/>
                <w:color w:val="000000"/>
                <w:sz w:val="22"/>
                <w:szCs w:val="22"/>
              </w:rPr>
              <w:t xml:space="preserve"> Credentials. </w:t>
            </w:r>
            <w:r w:rsidRPr="00C60B34">
              <w:rPr>
                <w:rFonts w:ascii="Calibri" w:hAnsi="Calibri" w:cs="Calibri"/>
                <w:color w:val="000000"/>
                <w:sz w:val="22"/>
                <w:szCs w:val="22"/>
              </w:rPr>
              <w:t xml:space="preserve">Should the entity receiving the access/disclosure request establish that the request is syntactically incorrect, the entity receiving the access/disclosure request must </w:t>
            </w:r>
            <w:r w:rsidRPr="00C60B34">
              <w:rPr>
                <w:rFonts w:ascii="Calibri" w:hAnsi="Calibri" w:cs="Calibri"/>
                <w:color w:val="000000"/>
                <w:sz w:val="22"/>
                <w:szCs w:val="22"/>
              </w:rPr>
              <w:lastRenderedPageBreak/>
              <w:t>reply with an error response to the requestor detailing the errors that have been detected. </w:t>
            </w:r>
          </w:p>
          <w:p w14:paraId="77C82F18" w14:textId="77777777" w:rsidR="00C60B34" w:rsidRPr="00C60B34" w:rsidRDefault="00C60B34" w:rsidP="00C60B34">
            <w:pPr>
              <w:pStyle w:val="NormalWeb"/>
              <w:numPr>
                <w:ilvl w:val="0"/>
                <w:numId w:val="15"/>
              </w:numPr>
              <w:spacing w:before="0" w:beforeAutospacing="0" w:after="0" w:afterAutospacing="0"/>
              <w:textAlignment w:val="baseline"/>
              <w:rPr>
                <w:rFonts w:ascii="Calibri" w:hAnsi="Calibri" w:cs="Calibri"/>
                <w:color w:val="000000"/>
                <w:sz w:val="22"/>
                <w:szCs w:val="22"/>
              </w:rPr>
            </w:pPr>
            <w:r w:rsidRPr="00C60B34">
              <w:rPr>
                <w:rFonts w:ascii="Calibri" w:hAnsi="Calibri" w:cs="Calibri"/>
                <w:color w:val="000000"/>
                <w:sz w:val="22"/>
                <w:szCs w:val="22"/>
              </w:rPr>
              <w:t>Should the entity receiving the access/disclosure request establish that the request is incomplete, the entity receiving the access/disclosure request must reply with an incomplete request response to the requestor detailing which data required by policy is missing, providing an opportunity for the requestor to amend its request.</w:t>
            </w:r>
          </w:p>
          <w:p w14:paraId="55C39A63" w14:textId="77777777" w:rsidR="00C60B34" w:rsidRPr="00C60B34" w:rsidRDefault="00C60B34" w:rsidP="00C60B34">
            <w:pPr>
              <w:pStyle w:val="NormalWeb"/>
              <w:numPr>
                <w:ilvl w:val="0"/>
                <w:numId w:val="15"/>
              </w:numPr>
              <w:spacing w:before="0" w:beforeAutospacing="0" w:after="0" w:afterAutospacing="0"/>
              <w:textAlignment w:val="baseline"/>
              <w:rPr>
                <w:rFonts w:ascii="Calibri" w:hAnsi="Calibri" w:cs="Calibri"/>
                <w:color w:val="000000"/>
                <w:sz w:val="22"/>
                <w:szCs w:val="22"/>
              </w:rPr>
            </w:pPr>
            <w:proofErr w:type="gramStart"/>
            <w:r w:rsidRPr="00C60B34">
              <w:rPr>
                <w:rFonts w:ascii="Calibri" w:hAnsi="Calibri" w:cs="Calibri"/>
                <w:color w:val="000000"/>
                <w:sz w:val="22"/>
                <w:szCs w:val="22"/>
              </w:rPr>
              <w:t>Typically</w:t>
            </w:r>
            <w:proofErr w:type="gramEnd"/>
            <w:r w:rsidRPr="00C60B34">
              <w:rPr>
                <w:rFonts w:ascii="Calibri" w:hAnsi="Calibri" w:cs="Calibri"/>
                <w:color w:val="000000"/>
                <w:sz w:val="22"/>
                <w:szCs w:val="22"/>
              </w:rPr>
              <w:t xml:space="preserve"> the acknowledgement response will include a “ticket number” or unique identifier to allow for future interactions with the SSAD.  </w:t>
            </w:r>
          </w:p>
          <w:p w14:paraId="4000EB71" w14:textId="65CBCBE9" w:rsidR="00C60B34" w:rsidRPr="00C60B34" w:rsidRDefault="00C60B34" w:rsidP="009953C2">
            <w:pPr>
              <w:pStyle w:val="NormalWeb"/>
              <w:numPr>
                <w:ilvl w:val="0"/>
                <w:numId w:val="15"/>
              </w:numPr>
              <w:spacing w:before="0" w:beforeAutospacing="0" w:after="0" w:afterAutospacing="0"/>
              <w:textAlignment w:val="baseline"/>
              <w:rPr>
                <w:rFonts w:ascii="Calibri" w:hAnsi="Calibri" w:cs="Calibri"/>
                <w:color w:val="000000"/>
                <w:sz w:val="22"/>
                <w:szCs w:val="22"/>
              </w:rPr>
            </w:pPr>
            <w:r w:rsidRPr="00C60B34">
              <w:rPr>
                <w:rFonts w:ascii="Calibri" w:hAnsi="Calibri" w:cs="Calibri"/>
                <w:color w:val="000000"/>
                <w:sz w:val="22"/>
                <w:szCs w:val="22"/>
              </w:rPr>
              <w:t>An example of online critical infrastructure includes root servers; an example of offline critical infrastructure includes bridges. [</w:t>
            </w:r>
            <w:r w:rsidRPr="00C60B34">
              <w:rPr>
                <w:rFonts w:ascii="Calibri" w:hAnsi="Calibri" w:cs="Calibri"/>
                <w:color w:val="000000"/>
                <w:sz w:val="22"/>
                <w:szCs w:val="22"/>
                <w:shd w:val="clear" w:color="auto" w:fill="FFFF00"/>
              </w:rPr>
              <w:t>examples to be provided by the EPDP Team</w:t>
            </w:r>
            <w:r w:rsidRPr="00C60B34">
              <w:rPr>
                <w:rFonts w:ascii="Calibri" w:hAnsi="Calibri" w:cs="Calibri"/>
                <w:color w:val="000000"/>
                <w:sz w:val="22"/>
                <w:szCs w:val="22"/>
              </w:rPr>
              <w:t>]</w:t>
            </w:r>
          </w:p>
        </w:tc>
        <w:tc>
          <w:tcPr>
            <w:tcW w:w="3657" w:type="dxa"/>
            <w:shd w:val="clear" w:color="auto" w:fill="auto"/>
          </w:tcPr>
          <w:p w14:paraId="7E552291" w14:textId="2C3858AE" w:rsidR="00C60B34" w:rsidRPr="00C60B34" w:rsidRDefault="00C60B34" w:rsidP="009953C2">
            <w:r w:rsidRPr="00C60B34">
              <w:rPr>
                <w:rFonts w:ascii="Calibri" w:hAnsi="Calibri" w:cs="Calibri"/>
                <w:color w:val="000000"/>
                <w:sz w:val="22"/>
                <w:szCs w:val="22"/>
              </w:rPr>
              <w:lastRenderedPageBreak/>
              <w:t>The section on Implementation Guidance starting at the bottom of p.27 seems to be mostly duplicative of other parts of the report. We suggest deleting it. (ISPCP)</w:t>
            </w:r>
          </w:p>
        </w:tc>
        <w:tc>
          <w:tcPr>
            <w:tcW w:w="3422" w:type="dxa"/>
            <w:shd w:val="clear" w:color="auto" w:fill="auto"/>
          </w:tcPr>
          <w:p w14:paraId="231C10AF" w14:textId="77777777" w:rsidR="00C60B34" w:rsidRDefault="00C60B34" w:rsidP="009953C2">
            <w:pPr>
              <w:rPr>
                <w:rFonts w:asciiTheme="minorHAnsi" w:hAnsiTheme="minorHAnsi" w:cstheme="minorHAnsi"/>
                <w:sz w:val="22"/>
                <w:szCs w:val="22"/>
              </w:rPr>
            </w:pPr>
          </w:p>
        </w:tc>
      </w:tr>
      <w:tr w:rsidR="00420437" w:rsidRPr="005B2D14" w14:paraId="5C9DD400" w14:textId="77777777" w:rsidTr="009953C2">
        <w:tc>
          <w:tcPr>
            <w:tcW w:w="641" w:type="dxa"/>
            <w:shd w:val="clear" w:color="auto" w:fill="auto"/>
          </w:tcPr>
          <w:p w14:paraId="22F20A63" w14:textId="77777777" w:rsidR="00420437" w:rsidRDefault="00420437"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3A8538DA" w14:textId="2427B7FF" w:rsidR="00420437" w:rsidRDefault="00420437" w:rsidP="009953C2">
            <w:pPr>
              <w:rPr>
                <w:rFonts w:asciiTheme="minorHAnsi" w:hAnsiTheme="minorHAnsi" w:cstheme="minorHAnsi"/>
                <w:sz w:val="22"/>
                <w:szCs w:val="22"/>
              </w:rPr>
            </w:pPr>
            <w:r>
              <w:rPr>
                <w:rFonts w:asciiTheme="minorHAnsi" w:hAnsiTheme="minorHAnsi" w:cstheme="minorHAnsi"/>
                <w:sz w:val="22"/>
                <w:szCs w:val="22"/>
              </w:rPr>
              <w:t>27 (Acceptable Use Policy)</w:t>
            </w:r>
          </w:p>
        </w:tc>
        <w:tc>
          <w:tcPr>
            <w:tcW w:w="3504" w:type="dxa"/>
            <w:shd w:val="clear" w:color="auto" w:fill="auto"/>
          </w:tcPr>
          <w:p w14:paraId="2A19D13A" w14:textId="77777777" w:rsidR="00420437" w:rsidRPr="00420437" w:rsidRDefault="00420437" w:rsidP="00420437">
            <w:pPr>
              <w:rPr>
                <w:rFonts w:asciiTheme="minorHAnsi" w:hAnsiTheme="minorHAnsi" w:cstheme="minorHAnsi"/>
                <w:sz w:val="22"/>
                <w:szCs w:val="22"/>
              </w:rPr>
            </w:pPr>
            <w:r w:rsidRPr="00420437">
              <w:rPr>
                <w:rFonts w:asciiTheme="minorHAnsi" w:hAnsiTheme="minorHAnsi" w:cstheme="minorHAnsi"/>
                <w:color w:val="000000"/>
                <w:sz w:val="22"/>
                <w:szCs w:val="22"/>
              </w:rPr>
              <w:t>a) Must only request data from the current RDS data set (no historic data)</w:t>
            </w:r>
          </w:p>
          <w:p w14:paraId="23E2E893" w14:textId="3B7C7776" w:rsidR="00420437" w:rsidRDefault="00420437" w:rsidP="00420437">
            <w:pPr>
              <w:pStyle w:val="CommentText"/>
              <w:rPr>
                <w:rFonts w:cs="Calibri"/>
                <w:color w:val="000000"/>
                <w:sz w:val="22"/>
                <w:szCs w:val="22"/>
              </w:rPr>
            </w:pPr>
          </w:p>
        </w:tc>
        <w:tc>
          <w:tcPr>
            <w:tcW w:w="3657" w:type="dxa"/>
            <w:shd w:val="clear" w:color="auto" w:fill="auto"/>
          </w:tcPr>
          <w:p w14:paraId="10E13DB3" w14:textId="24E3C269" w:rsidR="00420437" w:rsidRPr="00420437" w:rsidRDefault="00420437" w:rsidP="00420437">
            <w:pPr>
              <w:pStyle w:val="CommentText"/>
              <w:rPr>
                <w:sz w:val="22"/>
                <w:szCs w:val="22"/>
              </w:rPr>
            </w:pPr>
            <w:r w:rsidRPr="00420437">
              <w:rPr>
                <w:noProof/>
                <w:sz w:val="22"/>
                <w:szCs w:val="22"/>
              </w:rPr>
              <w:t>I do not envisage any mechanism within SSAD enabling a request for historical data, so this recomendation seems harmless but unnecessary. It's also redundant to at least 2 other references below. (BC)</w:t>
            </w:r>
          </w:p>
          <w:p w14:paraId="4E9E8246" w14:textId="77777777" w:rsidR="00420437" w:rsidRPr="00420437" w:rsidRDefault="00420437" w:rsidP="009953C2">
            <w:pPr>
              <w:rPr>
                <w:rFonts w:asciiTheme="minorHAnsi" w:hAnsiTheme="minorHAnsi" w:cstheme="minorHAnsi"/>
                <w:sz w:val="22"/>
                <w:szCs w:val="22"/>
              </w:rPr>
            </w:pPr>
          </w:p>
          <w:p w14:paraId="53012006" w14:textId="3FE44173" w:rsidR="00420437" w:rsidRPr="00C60B34" w:rsidRDefault="00420437" w:rsidP="00420437">
            <w:pPr>
              <w:pStyle w:val="CommentText"/>
              <w:rPr>
                <w:rFonts w:asciiTheme="minorHAnsi" w:hAnsiTheme="minorHAnsi" w:cstheme="minorHAnsi"/>
                <w:sz w:val="22"/>
                <w:szCs w:val="22"/>
              </w:rPr>
            </w:pPr>
            <w:r w:rsidRPr="00420437">
              <w:rPr>
                <w:noProof/>
                <w:sz w:val="22"/>
                <w:szCs w:val="22"/>
              </w:rPr>
              <w:t xml:space="preserve">Unclear: if requestor wrongly requests historical data AND current data, is </w:t>
            </w:r>
            <w:r w:rsidRPr="00420437">
              <w:rPr>
                <w:noProof/>
                <w:sz w:val="22"/>
                <w:szCs w:val="22"/>
              </w:rPr>
              <w:lastRenderedPageBreak/>
              <w:t xml:space="preserve">the request for current data still considered? In any case, </w:t>
            </w:r>
            <w:bookmarkStart w:id="1" w:name="_Hlk28968118"/>
            <w:r w:rsidRPr="00420437">
              <w:rPr>
                <w:noProof/>
                <w:sz w:val="22"/>
                <w:szCs w:val="22"/>
              </w:rPr>
              <w:t>it’s redundant with other language (see c. in last subsection of recommendation 9.)</w:t>
            </w:r>
            <w:bookmarkEnd w:id="1"/>
            <w:r w:rsidRPr="00420437">
              <w:rPr>
                <w:noProof/>
                <w:sz w:val="22"/>
                <w:szCs w:val="22"/>
              </w:rPr>
              <w:t xml:space="preserve"> (IPC)</w:t>
            </w:r>
          </w:p>
        </w:tc>
        <w:tc>
          <w:tcPr>
            <w:tcW w:w="3422" w:type="dxa"/>
            <w:shd w:val="clear" w:color="auto" w:fill="auto"/>
          </w:tcPr>
          <w:p w14:paraId="6D36711A" w14:textId="77777777" w:rsidR="00420437" w:rsidRDefault="00420437" w:rsidP="009953C2">
            <w:pPr>
              <w:rPr>
                <w:rFonts w:asciiTheme="minorHAnsi" w:hAnsiTheme="minorHAnsi" w:cstheme="minorHAnsi"/>
                <w:sz w:val="22"/>
                <w:szCs w:val="22"/>
              </w:rPr>
            </w:pPr>
          </w:p>
        </w:tc>
      </w:tr>
      <w:tr w:rsidR="00420437" w:rsidRPr="005B2D14" w14:paraId="35682514" w14:textId="77777777" w:rsidTr="009953C2">
        <w:tc>
          <w:tcPr>
            <w:tcW w:w="641" w:type="dxa"/>
            <w:shd w:val="clear" w:color="auto" w:fill="auto"/>
          </w:tcPr>
          <w:p w14:paraId="68BD3FE0" w14:textId="77777777" w:rsidR="00420437" w:rsidRDefault="00420437"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3F486C1D" w14:textId="7DEFC2B5" w:rsidR="00420437" w:rsidRDefault="00420437" w:rsidP="009953C2">
            <w:pPr>
              <w:rPr>
                <w:rFonts w:asciiTheme="minorHAnsi" w:hAnsiTheme="minorHAnsi" w:cstheme="minorHAnsi"/>
                <w:sz w:val="22"/>
                <w:szCs w:val="22"/>
              </w:rPr>
            </w:pPr>
            <w:r>
              <w:rPr>
                <w:rFonts w:asciiTheme="minorHAnsi" w:hAnsiTheme="minorHAnsi" w:cstheme="minorHAnsi"/>
                <w:sz w:val="22"/>
                <w:szCs w:val="22"/>
              </w:rPr>
              <w:t>27 (Acceptable Use Policy)</w:t>
            </w:r>
          </w:p>
        </w:tc>
        <w:tc>
          <w:tcPr>
            <w:tcW w:w="3504" w:type="dxa"/>
            <w:shd w:val="clear" w:color="auto" w:fill="auto"/>
          </w:tcPr>
          <w:p w14:paraId="5868690E" w14:textId="379C057A" w:rsidR="00420437" w:rsidRPr="00420437" w:rsidRDefault="00420437" w:rsidP="00420437">
            <w:pPr>
              <w:pBdr>
                <w:top w:val="nil"/>
                <w:left w:val="nil"/>
                <w:bottom w:val="nil"/>
                <w:right w:val="nil"/>
                <w:between w:val="nil"/>
              </w:pBdr>
              <w:rPr>
                <w:rFonts w:ascii="Calibri" w:eastAsia="Calibri" w:hAnsi="Calibri" w:cs="Calibri"/>
                <w:color w:val="000000"/>
                <w:sz w:val="22"/>
                <w:szCs w:val="22"/>
              </w:rPr>
            </w:pPr>
            <w:r w:rsidRPr="00420437">
              <w:rPr>
                <w:rFonts w:ascii="Calibri" w:hAnsi="Calibri" w:cs="Calibri"/>
                <w:color w:val="000000"/>
                <w:sz w:val="22"/>
                <w:szCs w:val="22"/>
              </w:rPr>
              <w:t xml:space="preserve">b) </w:t>
            </w:r>
            <w:r w:rsidRPr="00420437">
              <w:rPr>
                <w:rFonts w:ascii="Calibri" w:eastAsia="Calibri" w:hAnsi="Calibri" w:cs="Calibri"/>
                <w:color w:val="000000"/>
                <w:sz w:val="22"/>
                <w:szCs w:val="22"/>
              </w:rPr>
              <w:t>Must, for each and every unique request for RDS data, provide representations of the corresponding purpose and lawful basis for the processing, which will be subject to auditing (see the auditing preliminary recommendation for further details);</w:t>
            </w:r>
          </w:p>
        </w:tc>
        <w:tc>
          <w:tcPr>
            <w:tcW w:w="3657" w:type="dxa"/>
            <w:shd w:val="clear" w:color="auto" w:fill="auto"/>
          </w:tcPr>
          <w:p w14:paraId="14C79FAD" w14:textId="36EFCE93" w:rsidR="00420437" w:rsidRPr="009F66B0" w:rsidRDefault="00420437" w:rsidP="009F66B0">
            <w:pPr>
              <w:rPr>
                <w:rFonts w:asciiTheme="minorHAnsi" w:hAnsiTheme="minorHAnsi" w:cstheme="minorHAnsi"/>
                <w:sz w:val="22"/>
                <w:szCs w:val="22"/>
              </w:rPr>
            </w:pPr>
            <w:r w:rsidRPr="00420437">
              <w:rPr>
                <w:rFonts w:asciiTheme="minorHAnsi" w:hAnsiTheme="minorHAnsi" w:cstheme="minorHAnsi"/>
                <w:sz w:val="22"/>
                <w:szCs w:val="22"/>
              </w:rPr>
              <w:t xml:space="preserve">‘and every unique’ - </w:t>
            </w:r>
            <w:r w:rsidRPr="009F66B0">
              <w:rPr>
                <w:rFonts w:asciiTheme="minorHAnsi" w:hAnsiTheme="minorHAnsi" w:cstheme="minorHAnsi"/>
                <w:sz w:val="22"/>
                <w:szCs w:val="22"/>
              </w:rPr>
              <w:t>Unclear and redundant: delete. (IPC)</w:t>
            </w:r>
          </w:p>
          <w:p w14:paraId="389313BB" w14:textId="4945680B" w:rsidR="00420437" w:rsidRPr="00C60B34" w:rsidRDefault="00420437" w:rsidP="009F66B0">
            <w:pPr>
              <w:rPr>
                <w:rFonts w:asciiTheme="minorHAnsi" w:hAnsiTheme="minorHAnsi" w:cstheme="minorHAnsi"/>
                <w:sz w:val="22"/>
                <w:szCs w:val="22"/>
              </w:rPr>
            </w:pPr>
          </w:p>
        </w:tc>
        <w:tc>
          <w:tcPr>
            <w:tcW w:w="3422" w:type="dxa"/>
            <w:shd w:val="clear" w:color="auto" w:fill="auto"/>
          </w:tcPr>
          <w:p w14:paraId="7D68B802" w14:textId="77777777" w:rsidR="00420437" w:rsidRDefault="00420437" w:rsidP="009953C2">
            <w:pPr>
              <w:rPr>
                <w:rFonts w:asciiTheme="minorHAnsi" w:hAnsiTheme="minorHAnsi" w:cstheme="minorHAnsi"/>
                <w:sz w:val="22"/>
                <w:szCs w:val="22"/>
              </w:rPr>
            </w:pPr>
          </w:p>
        </w:tc>
      </w:tr>
      <w:tr w:rsidR="009F66B0" w:rsidRPr="005B2D14" w14:paraId="163F1E19" w14:textId="77777777" w:rsidTr="009953C2">
        <w:tc>
          <w:tcPr>
            <w:tcW w:w="641" w:type="dxa"/>
            <w:shd w:val="clear" w:color="auto" w:fill="auto"/>
          </w:tcPr>
          <w:p w14:paraId="48787E62" w14:textId="77777777" w:rsidR="009F66B0" w:rsidRDefault="009F66B0"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51953FA1" w14:textId="2D10EA14" w:rsidR="009F66B0" w:rsidRDefault="009F66B0" w:rsidP="009953C2">
            <w:pPr>
              <w:rPr>
                <w:rFonts w:asciiTheme="minorHAnsi" w:hAnsiTheme="minorHAnsi" w:cstheme="minorHAnsi"/>
                <w:sz w:val="22"/>
                <w:szCs w:val="22"/>
              </w:rPr>
            </w:pPr>
            <w:r>
              <w:rPr>
                <w:rFonts w:asciiTheme="minorHAnsi" w:hAnsiTheme="minorHAnsi" w:cstheme="minorHAnsi"/>
                <w:sz w:val="22"/>
                <w:szCs w:val="22"/>
              </w:rPr>
              <w:t>27 (Acceptable Use Policy)</w:t>
            </w:r>
          </w:p>
        </w:tc>
        <w:tc>
          <w:tcPr>
            <w:tcW w:w="3504" w:type="dxa"/>
            <w:shd w:val="clear" w:color="auto" w:fill="auto"/>
          </w:tcPr>
          <w:p w14:paraId="08AC47C7" w14:textId="77777777" w:rsidR="009F66B0" w:rsidRDefault="009F66B0" w:rsidP="009F66B0">
            <w:r>
              <w:rPr>
                <w:rFonts w:ascii="Calibri" w:hAnsi="Calibri" w:cs="Calibri"/>
                <w:color w:val="000000"/>
                <w:sz w:val="22"/>
                <w:szCs w:val="22"/>
              </w:rPr>
              <w:t>c</w:t>
            </w:r>
            <w:r w:rsidRPr="009F66B0">
              <w:rPr>
                <w:rFonts w:ascii="Calibri" w:eastAsia="Calibri" w:hAnsi="Calibri" w:cs="Calibri"/>
                <w:color w:val="000000"/>
                <w:sz w:val="22"/>
                <w:szCs w:val="22"/>
              </w:rPr>
              <w:t>) MAY request data from the SSAD for multiple purposes per request, for the same set of data requested;</w:t>
            </w:r>
          </w:p>
          <w:p w14:paraId="65B6EF02" w14:textId="544A4CF2" w:rsidR="009F66B0" w:rsidRPr="00420437" w:rsidRDefault="009F66B0" w:rsidP="00420437">
            <w:pPr>
              <w:pBdr>
                <w:top w:val="nil"/>
                <w:left w:val="nil"/>
                <w:bottom w:val="nil"/>
                <w:right w:val="nil"/>
                <w:between w:val="nil"/>
              </w:pBdr>
              <w:rPr>
                <w:rFonts w:ascii="Calibri" w:hAnsi="Calibri" w:cs="Calibri"/>
                <w:color w:val="000000"/>
                <w:sz w:val="22"/>
                <w:szCs w:val="22"/>
              </w:rPr>
            </w:pPr>
          </w:p>
        </w:tc>
        <w:tc>
          <w:tcPr>
            <w:tcW w:w="3657" w:type="dxa"/>
            <w:shd w:val="clear" w:color="auto" w:fill="auto"/>
          </w:tcPr>
          <w:p w14:paraId="35FC12AB" w14:textId="4C7A48A5" w:rsidR="009F66B0" w:rsidRPr="009F66B0" w:rsidRDefault="009F66B0" w:rsidP="009953C2">
            <w:pPr>
              <w:rPr>
                <w:rFonts w:asciiTheme="minorHAnsi" w:hAnsiTheme="minorHAnsi" w:cstheme="minorHAnsi"/>
                <w:sz w:val="22"/>
                <w:szCs w:val="22"/>
              </w:rPr>
            </w:pPr>
            <w:r w:rsidRPr="009F66B0">
              <w:rPr>
                <w:rFonts w:asciiTheme="minorHAnsi" w:hAnsiTheme="minorHAnsi" w:cstheme="minorHAnsi"/>
                <w:sz w:val="22"/>
                <w:szCs w:val="22"/>
              </w:rPr>
              <w:t xml:space="preserve">different purposes have different lawful basis and different data subject rights associated with it. </w:t>
            </w:r>
            <w:proofErr w:type="gramStart"/>
            <w:r w:rsidRPr="009F66B0">
              <w:rPr>
                <w:rFonts w:asciiTheme="minorHAnsi" w:hAnsiTheme="minorHAnsi" w:cstheme="minorHAnsi"/>
                <w:sz w:val="22"/>
                <w:szCs w:val="22"/>
              </w:rPr>
              <w:t>therefore</w:t>
            </w:r>
            <w:proofErr w:type="gramEnd"/>
            <w:r w:rsidRPr="009F66B0">
              <w:rPr>
                <w:rFonts w:asciiTheme="minorHAnsi" w:hAnsiTheme="minorHAnsi" w:cstheme="minorHAnsi"/>
                <w:sz w:val="22"/>
                <w:szCs w:val="22"/>
              </w:rPr>
              <w:t xml:space="preserve"> submitting a request with different purposes does not really work. However, the data might be used for purposes related and consistent with the original submitted purpose. if we allow a single request to have multiple purposes then in assessing the request it should be treated as multiple separate requests each with a single purpose. where disclosure could be allowed for one of the purposes and denied for the others. </w:t>
            </w:r>
            <w:proofErr w:type="gramStart"/>
            <w:r w:rsidRPr="009F66B0">
              <w:rPr>
                <w:rFonts w:asciiTheme="minorHAnsi" w:hAnsiTheme="minorHAnsi" w:cstheme="minorHAnsi"/>
                <w:sz w:val="22"/>
                <w:szCs w:val="22"/>
              </w:rPr>
              <w:t>Also</w:t>
            </w:r>
            <w:proofErr w:type="gramEnd"/>
            <w:r w:rsidRPr="009F66B0">
              <w:rPr>
                <w:rFonts w:asciiTheme="minorHAnsi" w:hAnsiTheme="minorHAnsi" w:cstheme="minorHAnsi"/>
                <w:sz w:val="22"/>
                <w:szCs w:val="22"/>
              </w:rPr>
              <w:t xml:space="preserve"> if we take b) and d) into consideration then practically speaking the request would be treated as multiple separate requests (ALAC)</w:t>
            </w:r>
          </w:p>
        </w:tc>
        <w:tc>
          <w:tcPr>
            <w:tcW w:w="3422" w:type="dxa"/>
            <w:shd w:val="clear" w:color="auto" w:fill="auto"/>
          </w:tcPr>
          <w:p w14:paraId="2264F607" w14:textId="77777777" w:rsidR="009F66B0" w:rsidRDefault="009F66B0" w:rsidP="009953C2">
            <w:pPr>
              <w:rPr>
                <w:rFonts w:asciiTheme="minorHAnsi" w:hAnsiTheme="minorHAnsi" w:cstheme="minorHAnsi"/>
                <w:sz w:val="22"/>
                <w:szCs w:val="22"/>
              </w:rPr>
            </w:pPr>
          </w:p>
        </w:tc>
      </w:tr>
      <w:tr w:rsidR="00420437" w:rsidRPr="005B2D14" w14:paraId="2490D0B4" w14:textId="77777777" w:rsidTr="009953C2">
        <w:tc>
          <w:tcPr>
            <w:tcW w:w="641" w:type="dxa"/>
            <w:shd w:val="clear" w:color="auto" w:fill="auto"/>
          </w:tcPr>
          <w:p w14:paraId="13EB9BAC" w14:textId="77777777" w:rsidR="00420437" w:rsidRDefault="00420437"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50BFDB18" w14:textId="0DC9E9E9" w:rsidR="00420437" w:rsidRDefault="00420437" w:rsidP="009953C2">
            <w:pPr>
              <w:rPr>
                <w:rFonts w:asciiTheme="minorHAnsi" w:hAnsiTheme="minorHAnsi" w:cstheme="minorHAnsi"/>
                <w:sz w:val="22"/>
                <w:szCs w:val="22"/>
              </w:rPr>
            </w:pPr>
            <w:r>
              <w:rPr>
                <w:rFonts w:asciiTheme="minorHAnsi" w:hAnsiTheme="minorHAnsi" w:cstheme="minorHAnsi"/>
                <w:sz w:val="22"/>
                <w:szCs w:val="22"/>
              </w:rPr>
              <w:t>27 (Acceptable Use Policy)</w:t>
            </w:r>
          </w:p>
        </w:tc>
        <w:tc>
          <w:tcPr>
            <w:tcW w:w="3504" w:type="dxa"/>
            <w:shd w:val="clear" w:color="auto" w:fill="auto"/>
          </w:tcPr>
          <w:p w14:paraId="6B44F7BD" w14:textId="000D42CA" w:rsidR="00420437" w:rsidRPr="00420437" w:rsidRDefault="00420437" w:rsidP="00420437">
            <w:pPr>
              <w:pBdr>
                <w:top w:val="nil"/>
                <w:left w:val="nil"/>
                <w:bottom w:val="nil"/>
                <w:right w:val="nil"/>
                <w:between w:val="nil"/>
              </w:pBdr>
              <w:rPr>
                <w:rFonts w:ascii="Calibri" w:eastAsia="Calibri" w:hAnsi="Calibri" w:cs="Calibri"/>
                <w:color w:val="000000"/>
                <w:sz w:val="22"/>
                <w:szCs w:val="22"/>
              </w:rPr>
            </w:pPr>
            <w:r w:rsidRPr="00420437">
              <w:rPr>
                <w:rFonts w:ascii="Calibri" w:hAnsi="Calibri" w:cs="Calibri"/>
                <w:color w:val="000000"/>
                <w:sz w:val="22"/>
                <w:szCs w:val="22"/>
              </w:rPr>
              <w:t xml:space="preserve">d) </w:t>
            </w:r>
            <w:r w:rsidRPr="00420437">
              <w:rPr>
                <w:rFonts w:ascii="Calibri" w:eastAsia="Calibri" w:hAnsi="Calibri" w:cs="Calibri"/>
                <w:color w:val="000000"/>
                <w:sz w:val="22"/>
                <w:szCs w:val="22"/>
              </w:rPr>
              <w:t>For each stated purpose must provide (</w:t>
            </w:r>
            <w:proofErr w:type="spellStart"/>
            <w:r w:rsidRPr="00420437">
              <w:rPr>
                <w:rFonts w:ascii="Calibri" w:eastAsia="Calibri" w:hAnsi="Calibri" w:cs="Calibri"/>
                <w:color w:val="000000"/>
                <w:sz w:val="22"/>
                <w:szCs w:val="22"/>
              </w:rPr>
              <w:t>i</w:t>
            </w:r>
            <w:proofErr w:type="spellEnd"/>
            <w:r w:rsidRPr="00420437">
              <w:rPr>
                <w:rFonts w:ascii="Calibri" w:eastAsia="Calibri" w:hAnsi="Calibri" w:cs="Calibri"/>
                <w:color w:val="000000"/>
                <w:sz w:val="22"/>
                <w:szCs w:val="22"/>
              </w:rPr>
              <w:t>) representation regarding the intended use of the requested data and (ii) representation that the requestor will only process the data for the stated purpose(s). These representations will be subject to auditing (see auditing preliminary recommendation further details);</w:t>
            </w:r>
          </w:p>
        </w:tc>
        <w:tc>
          <w:tcPr>
            <w:tcW w:w="3657" w:type="dxa"/>
            <w:shd w:val="clear" w:color="auto" w:fill="auto"/>
          </w:tcPr>
          <w:p w14:paraId="4FE10D90" w14:textId="6CAEDBA5" w:rsidR="00420437" w:rsidRPr="00C60B34" w:rsidRDefault="00420437" w:rsidP="009953C2">
            <w:pPr>
              <w:rPr>
                <w:rFonts w:asciiTheme="minorHAnsi" w:hAnsiTheme="minorHAnsi" w:cstheme="minorHAnsi"/>
                <w:sz w:val="22"/>
                <w:szCs w:val="22"/>
              </w:rPr>
            </w:pPr>
            <w:r>
              <w:rPr>
                <w:rFonts w:asciiTheme="minorHAnsi" w:hAnsiTheme="minorHAnsi" w:cstheme="minorHAnsi"/>
                <w:sz w:val="22"/>
                <w:szCs w:val="22"/>
              </w:rPr>
              <w:t xml:space="preserve">‘intended use’ - </w:t>
            </w:r>
            <w:r w:rsidRPr="00420437">
              <w:rPr>
                <w:rFonts w:asciiTheme="minorHAnsi" w:hAnsiTheme="minorHAnsi" w:cstheme="minorHAnsi"/>
                <w:sz w:val="22"/>
                <w:szCs w:val="22"/>
              </w:rPr>
              <w:t>Unclear how this is different from “stated purpose”.</w:t>
            </w:r>
            <w:r>
              <w:rPr>
                <w:rFonts w:asciiTheme="minorHAnsi" w:hAnsiTheme="minorHAnsi" w:cstheme="minorHAnsi"/>
                <w:sz w:val="22"/>
                <w:szCs w:val="22"/>
              </w:rPr>
              <w:t xml:space="preserve"> (IPC)</w:t>
            </w:r>
          </w:p>
        </w:tc>
        <w:tc>
          <w:tcPr>
            <w:tcW w:w="3422" w:type="dxa"/>
            <w:shd w:val="clear" w:color="auto" w:fill="auto"/>
          </w:tcPr>
          <w:p w14:paraId="07D2298E" w14:textId="77777777" w:rsidR="00420437" w:rsidRDefault="00420437" w:rsidP="009953C2">
            <w:pPr>
              <w:rPr>
                <w:rFonts w:asciiTheme="minorHAnsi" w:hAnsiTheme="minorHAnsi" w:cstheme="minorHAnsi"/>
                <w:sz w:val="22"/>
                <w:szCs w:val="22"/>
              </w:rPr>
            </w:pPr>
          </w:p>
        </w:tc>
      </w:tr>
      <w:tr w:rsidR="00420437" w:rsidRPr="005B2D14" w14:paraId="2C07BA74" w14:textId="77777777" w:rsidTr="009953C2">
        <w:tc>
          <w:tcPr>
            <w:tcW w:w="641" w:type="dxa"/>
            <w:shd w:val="clear" w:color="auto" w:fill="auto"/>
          </w:tcPr>
          <w:p w14:paraId="09FA2D1B" w14:textId="77777777" w:rsidR="00420437" w:rsidRDefault="00420437"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5DA11BF4" w14:textId="260497AF" w:rsidR="00420437" w:rsidRDefault="00420437" w:rsidP="009953C2">
            <w:pPr>
              <w:rPr>
                <w:rFonts w:asciiTheme="minorHAnsi" w:hAnsiTheme="minorHAnsi" w:cstheme="minorHAnsi"/>
                <w:sz w:val="22"/>
                <w:szCs w:val="22"/>
              </w:rPr>
            </w:pPr>
            <w:r>
              <w:rPr>
                <w:rFonts w:asciiTheme="minorHAnsi" w:hAnsiTheme="minorHAnsi" w:cstheme="minorHAnsi"/>
                <w:sz w:val="22"/>
                <w:szCs w:val="22"/>
              </w:rPr>
              <w:t>27 (Acceptable Use Policy)</w:t>
            </w:r>
          </w:p>
        </w:tc>
        <w:tc>
          <w:tcPr>
            <w:tcW w:w="3504" w:type="dxa"/>
            <w:shd w:val="clear" w:color="auto" w:fill="auto"/>
          </w:tcPr>
          <w:p w14:paraId="08BA53DC" w14:textId="209408E3" w:rsidR="00420437" w:rsidRPr="00420437" w:rsidRDefault="00420437" w:rsidP="00C60B34">
            <w:pPr>
              <w:rPr>
                <w:rFonts w:ascii="Calibri" w:eastAsia="Calibri" w:hAnsi="Calibri" w:cs="Calibri"/>
                <w:sz w:val="22"/>
                <w:szCs w:val="22"/>
              </w:rPr>
            </w:pPr>
            <w:r w:rsidRPr="00420437">
              <w:rPr>
                <w:rFonts w:ascii="Calibri" w:eastAsia="Calibri" w:hAnsi="Calibri" w:cs="Calibri"/>
                <w:sz w:val="22"/>
                <w:szCs w:val="22"/>
              </w:rPr>
              <w:t>The EPDP Team recommends that the following requirements are applicable to the entity disclosing the data and must be confirmed by [</w:t>
            </w:r>
            <w:r w:rsidRPr="00420437">
              <w:rPr>
                <w:rFonts w:ascii="Calibri" w:eastAsia="Calibri" w:hAnsi="Calibri" w:cs="Calibri"/>
                <w:sz w:val="22"/>
                <w:szCs w:val="22"/>
                <w:highlight w:val="yellow"/>
              </w:rPr>
              <w:t>TBC</w:t>
            </w:r>
            <w:r w:rsidRPr="00420437">
              <w:rPr>
                <w:rFonts w:ascii="Calibri" w:eastAsia="Calibri" w:hAnsi="Calibri" w:cs="Calibri"/>
                <w:sz w:val="22"/>
                <w:szCs w:val="22"/>
              </w:rPr>
              <w:t>] and subject to an enforcement mechanism. For the avoidance of doubt, every response does not have to go through an enforcement procedure; the enforcement mechanism may, however, be triggered in the event of apparent misuse. </w:t>
            </w:r>
          </w:p>
        </w:tc>
        <w:tc>
          <w:tcPr>
            <w:tcW w:w="3657" w:type="dxa"/>
            <w:shd w:val="clear" w:color="auto" w:fill="auto"/>
          </w:tcPr>
          <w:p w14:paraId="495CB04F" w14:textId="6436FEC0" w:rsidR="00420437" w:rsidRPr="00420437" w:rsidRDefault="00420437" w:rsidP="00420437">
            <w:pPr>
              <w:rPr>
                <w:rFonts w:ascii="Calibri" w:eastAsia="Calibri" w:hAnsi="Calibri" w:cs="Calibri"/>
                <w:sz w:val="22"/>
                <w:szCs w:val="22"/>
              </w:rPr>
            </w:pPr>
            <w:r w:rsidRPr="00420437">
              <w:rPr>
                <w:rFonts w:ascii="Calibri" w:eastAsia="Calibri" w:hAnsi="Calibri" w:cs="Calibri"/>
                <w:sz w:val="22"/>
                <w:szCs w:val="22"/>
              </w:rPr>
              <w:t>‘entity disclosing the date’ - Do we not mean “authorization provider” here? For example, the balancing test is performed by the authorization provider. (IPC)</w:t>
            </w:r>
          </w:p>
          <w:p w14:paraId="6F2FC7D5" w14:textId="03E49B72" w:rsidR="00420437" w:rsidRPr="00C60B34" w:rsidRDefault="00420437" w:rsidP="009953C2">
            <w:pPr>
              <w:rPr>
                <w:rFonts w:asciiTheme="minorHAnsi" w:hAnsiTheme="minorHAnsi" w:cstheme="minorHAnsi"/>
                <w:sz w:val="22"/>
                <w:szCs w:val="22"/>
              </w:rPr>
            </w:pPr>
          </w:p>
        </w:tc>
        <w:tc>
          <w:tcPr>
            <w:tcW w:w="3422" w:type="dxa"/>
            <w:shd w:val="clear" w:color="auto" w:fill="auto"/>
          </w:tcPr>
          <w:p w14:paraId="171216F7" w14:textId="77777777" w:rsidR="00420437" w:rsidRDefault="00420437" w:rsidP="009953C2">
            <w:pPr>
              <w:rPr>
                <w:rFonts w:asciiTheme="minorHAnsi" w:hAnsiTheme="minorHAnsi" w:cstheme="minorHAnsi"/>
                <w:sz w:val="22"/>
                <w:szCs w:val="22"/>
              </w:rPr>
            </w:pPr>
          </w:p>
        </w:tc>
      </w:tr>
      <w:tr w:rsidR="00C60B34" w:rsidRPr="005B2D14" w14:paraId="19F2AC62" w14:textId="77777777" w:rsidTr="009953C2">
        <w:tc>
          <w:tcPr>
            <w:tcW w:w="641" w:type="dxa"/>
            <w:shd w:val="clear" w:color="auto" w:fill="auto"/>
          </w:tcPr>
          <w:p w14:paraId="3C5611BC" w14:textId="77777777" w:rsidR="00C60B34" w:rsidRDefault="00C60B34"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4CF31F0E" w14:textId="7ECCFEEC" w:rsidR="00C60B34" w:rsidRDefault="00C60B34" w:rsidP="009953C2">
            <w:pPr>
              <w:rPr>
                <w:rFonts w:asciiTheme="minorHAnsi" w:hAnsiTheme="minorHAnsi" w:cstheme="minorHAnsi"/>
                <w:sz w:val="22"/>
                <w:szCs w:val="22"/>
              </w:rPr>
            </w:pPr>
            <w:r>
              <w:rPr>
                <w:rFonts w:asciiTheme="minorHAnsi" w:hAnsiTheme="minorHAnsi" w:cstheme="minorHAnsi"/>
                <w:sz w:val="22"/>
                <w:szCs w:val="22"/>
              </w:rPr>
              <w:t>27 (Acceptable Use Policy)</w:t>
            </w:r>
          </w:p>
        </w:tc>
        <w:tc>
          <w:tcPr>
            <w:tcW w:w="3504" w:type="dxa"/>
            <w:shd w:val="clear" w:color="auto" w:fill="auto"/>
          </w:tcPr>
          <w:p w14:paraId="6CEF9969" w14:textId="753C6EB4" w:rsidR="00C60B34" w:rsidRPr="00C60B34" w:rsidRDefault="00C60B34" w:rsidP="00C60B34">
            <w:pPr>
              <w:rPr>
                <w:rFonts w:ascii="Calibri" w:hAnsi="Calibri" w:cs="Calibri"/>
                <w:color w:val="000000"/>
                <w:sz w:val="22"/>
                <w:szCs w:val="22"/>
              </w:rPr>
            </w:pPr>
            <w:r>
              <w:rPr>
                <w:rFonts w:ascii="Calibri" w:hAnsi="Calibri" w:cs="Calibri"/>
                <w:color w:val="000000"/>
                <w:sz w:val="22"/>
                <w:szCs w:val="22"/>
              </w:rPr>
              <w:t xml:space="preserve">g) </w:t>
            </w:r>
            <w:r w:rsidRPr="00C60B34">
              <w:rPr>
                <w:rFonts w:ascii="Calibri" w:hAnsi="Calibri" w:cs="Calibri"/>
                <w:color w:val="000000"/>
                <w:sz w:val="22"/>
                <w:szCs w:val="22"/>
              </w:rPr>
              <w:t>Where required by applicable law, must provide mechanism under which the data subject may exercise its right to erasure;</w:t>
            </w:r>
          </w:p>
          <w:p w14:paraId="25FB3A0C" w14:textId="77777777" w:rsidR="00C60B34" w:rsidRDefault="00C60B34" w:rsidP="009953C2">
            <w:pPr>
              <w:rPr>
                <w:rFonts w:ascii="Calibri" w:hAnsi="Calibri" w:cs="Calibri"/>
                <w:color w:val="000000"/>
                <w:sz w:val="22"/>
                <w:szCs w:val="22"/>
              </w:rPr>
            </w:pPr>
          </w:p>
        </w:tc>
        <w:tc>
          <w:tcPr>
            <w:tcW w:w="3657" w:type="dxa"/>
            <w:shd w:val="clear" w:color="auto" w:fill="auto"/>
          </w:tcPr>
          <w:p w14:paraId="69B7FB5B" w14:textId="77777777" w:rsidR="00C60B34" w:rsidRDefault="00C60B34" w:rsidP="009953C2">
            <w:pPr>
              <w:rPr>
                <w:rFonts w:asciiTheme="minorHAnsi" w:hAnsiTheme="minorHAnsi" w:cstheme="minorHAnsi"/>
                <w:sz w:val="22"/>
                <w:szCs w:val="22"/>
              </w:rPr>
            </w:pPr>
            <w:r w:rsidRPr="00C60B34">
              <w:rPr>
                <w:rFonts w:asciiTheme="minorHAnsi" w:hAnsiTheme="minorHAnsi" w:cstheme="minorHAnsi"/>
                <w:sz w:val="22"/>
                <w:szCs w:val="22"/>
              </w:rPr>
              <w:t xml:space="preserve">This section only refers to the right to erasure. We suggest </w:t>
            </w:r>
            <w:proofErr w:type="gramStart"/>
            <w:r w:rsidRPr="00C60B34">
              <w:rPr>
                <w:rFonts w:asciiTheme="minorHAnsi" w:hAnsiTheme="minorHAnsi" w:cstheme="minorHAnsi"/>
                <w:sz w:val="22"/>
                <w:szCs w:val="22"/>
              </w:rPr>
              <w:t>to include</w:t>
            </w:r>
            <w:proofErr w:type="gramEnd"/>
            <w:r w:rsidRPr="00C60B34">
              <w:rPr>
                <w:rFonts w:asciiTheme="minorHAnsi" w:hAnsiTheme="minorHAnsi" w:cstheme="minorHAnsi"/>
                <w:sz w:val="22"/>
                <w:szCs w:val="22"/>
              </w:rPr>
              <w:t xml:space="preserve"> all rights of the data subject that need to be informed about under the GDPR or – in more general te</w:t>
            </w:r>
            <w:r w:rsidR="0023175F">
              <w:rPr>
                <w:rFonts w:asciiTheme="minorHAnsi" w:hAnsiTheme="minorHAnsi" w:cstheme="minorHAnsi"/>
                <w:sz w:val="22"/>
                <w:szCs w:val="22"/>
              </w:rPr>
              <w:t>r</w:t>
            </w:r>
            <w:r w:rsidRPr="00C60B34">
              <w:rPr>
                <w:rFonts w:asciiTheme="minorHAnsi" w:hAnsiTheme="minorHAnsi" w:cstheme="minorHAnsi"/>
                <w:sz w:val="22"/>
                <w:szCs w:val="22"/>
              </w:rPr>
              <w:t>ms, just make reference to the information duties in the GDPR. (ISPCP)</w:t>
            </w:r>
          </w:p>
          <w:p w14:paraId="7DDF5DE1" w14:textId="77777777" w:rsidR="00D41DED" w:rsidRDefault="00D41DED" w:rsidP="009953C2"/>
          <w:p w14:paraId="31EEAFA8" w14:textId="6DB07848" w:rsidR="00D41DED" w:rsidRPr="00C60B34" w:rsidRDefault="00D41DED" w:rsidP="009953C2">
            <w:r w:rsidRPr="00D41DED">
              <w:rPr>
                <w:rFonts w:asciiTheme="minorHAnsi" w:hAnsiTheme="minorHAnsi" w:cstheme="minorHAnsi"/>
                <w:sz w:val="22"/>
                <w:szCs w:val="22"/>
              </w:rPr>
              <w:t>why do we specifically and only mention erasure, there are other rights like rectification (ALAC)</w:t>
            </w:r>
          </w:p>
        </w:tc>
        <w:tc>
          <w:tcPr>
            <w:tcW w:w="3422" w:type="dxa"/>
            <w:shd w:val="clear" w:color="auto" w:fill="auto"/>
          </w:tcPr>
          <w:p w14:paraId="2CD59CF2" w14:textId="77777777" w:rsidR="00C60B34" w:rsidRDefault="00C60B34" w:rsidP="009953C2">
            <w:pPr>
              <w:rPr>
                <w:rFonts w:asciiTheme="minorHAnsi" w:hAnsiTheme="minorHAnsi" w:cstheme="minorHAnsi"/>
                <w:sz w:val="22"/>
                <w:szCs w:val="22"/>
              </w:rPr>
            </w:pPr>
          </w:p>
        </w:tc>
      </w:tr>
      <w:tr w:rsidR="00420437" w:rsidRPr="005B2D14" w14:paraId="30217FF0" w14:textId="77777777" w:rsidTr="009953C2">
        <w:tc>
          <w:tcPr>
            <w:tcW w:w="641" w:type="dxa"/>
            <w:shd w:val="clear" w:color="auto" w:fill="auto"/>
          </w:tcPr>
          <w:p w14:paraId="785CB8DE" w14:textId="77777777" w:rsidR="00420437" w:rsidRDefault="00420437"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182D14B0" w14:textId="388C5DEB" w:rsidR="00420437" w:rsidRDefault="00420437" w:rsidP="009953C2">
            <w:pPr>
              <w:rPr>
                <w:rFonts w:asciiTheme="minorHAnsi" w:hAnsiTheme="minorHAnsi" w:cstheme="minorHAnsi"/>
                <w:sz w:val="22"/>
                <w:szCs w:val="22"/>
              </w:rPr>
            </w:pPr>
            <w:r>
              <w:rPr>
                <w:rFonts w:asciiTheme="minorHAnsi" w:hAnsiTheme="minorHAnsi" w:cstheme="minorHAnsi"/>
                <w:sz w:val="22"/>
                <w:szCs w:val="22"/>
              </w:rPr>
              <w:t>27 (Acceptable Use Policy)</w:t>
            </w:r>
          </w:p>
        </w:tc>
        <w:tc>
          <w:tcPr>
            <w:tcW w:w="3504" w:type="dxa"/>
            <w:shd w:val="clear" w:color="auto" w:fill="auto"/>
          </w:tcPr>
          <w:p w14:paraId="147F571E" w14:textId="1EE609FC" w:rsidR="00420437" w:rsidRPr="00420437" w:rsidRDefault="00420437" w:rsidP="00420437">
            <w:pPr>
              <w:pBdr>
                <w:top w:val="nil"/>
                <w:left w:val="nil"/>
                <w:bottom w:val="nil"/>
                <w:right w:val="nil"/>
                <w:between w:val="nil"/>
              </w:pBdr>
              <w:rPr>
                <w:rFonts w:ascii="Calibri" w:eastAsia="Calibri" w:hAnsi="Calibri" w:cs="Calibri"/>
                <w:color w:val="000000"/>
              </w:rPr>
            </w:pPr>
            <w:r w:rsidRPr="00420437">
              <w:rPr>
                <w:rFonts w:ascii="Calibri" w:hAnsi="Calibri" w:cs="Calibri"/>
                <w:color w:val="000000"/>
                <w:sz w:val="22"/>
                <w:szCs w:val="22"/>
              </w:rPr>
              <w:t>a) Must return current data or a subset thereof in response to a request (no historic data);</w:t>
            </w:r>
          </w:p>
        </w:tc>
        <w:tc>
          <w:tcPr>
            <w:tcW w:w="3657" w:type="dxa"/>
            <w:shd w:val="clear" w:color="auto" w:fill="auto"/>
          </w:tcPr>
          <w:p w14:paraId="743DCFB2" w14:textId="54C7F415" w:rsidR="00420437" w:rsidRPr="00C60B34" w:rsidRDefault="00420437" w:rsidP="009953C2">
            <w:pPr>
              <w:rPr>
                <w:rFonts w:asciiTheme="minorHAnsi" w:hAnsiTheme="minorHAnsi" w:cstheme="minorHAnsi"/>
                <w:sz w:val="22"/>
                <w:szCs w:val="22"/>
              </w:rPr>
            </w:pPr>
            <w:r>
              <w:rPr>
                <w:rFonts w:asciiTheme="minorHAnsi" w:hAnsiTheme="minorHAnsi" w:cstheme="minorHAnsi"/>
                <w:sz w:val="22"/>
                <w:szCs w:val="22"/>
              </w:rPr>
              <w:t xml:space="preserve">‘no historic data’ - </w:t>
            </w:r>
            <w:r w:rsidRPr="00420437">
              <w:rPr>
                <w:rFonts w:asciiTheme="minorHAnsi" w:hAnsiTheme="minorHAnsi" w:cstheme="minorHAnsi"/>
                <w:sz w:val="22"/>
                <w:szCs w:val="22"/>
              </w:rPr>
              <w:t>Delete: it’s redundant with other language (see c. in last subsection of recommendation 9.)</w:t>
            </w:r>
            <w:r>
              <w:rPr>
                <w:rFonts w:asciiTheme="minorHAnsi" w:hAnsiTheme="minorHAnsi" w:cstheme="minorHAnsi"/>
                <w:sz w:val="22"/>
                <w:szCs w:val="22"/>
              </w:rPr>
              <w:t xml:space="preserve"> (IPC)</w:t>
            </w:r>
          </w:p>
        </w:tc>
        <w:tc>
          <w:tcPr>
            <w:tcW w:w="3422" w:type="dxa"/>
            <w:shd w:val="clear" w:color="auto" w:fill="auto"/>
          </w:tcPr>
          <w:p w14:paraId="0255C98B" w14:textId="77777777" w:rsidR="00420437" w:rsidRDefault="00420437" w:rsidP="009953C2">
            <w:pPr>
              <w:rPr>
                <w:rFonts w:asciiTheme="minorHAnsi" w:hAnsiTheme="minorHAnsi" w:cstheme="minorHAnsi"/>
                <w:sz w:val="22"/>
                <w:szCs w:val="22"/>
              </w:rPr>
            </w:pPr>
          </w:p>
        </w:tc>
      </w:tr>
      <w:tr w:rsidR="0023175F" w:rsidRPr="005B2D14" w14:paraId="0D0C287A" w14:textId="77777777" w:rsidTr="009953C2">
        <w:tc>
          <w:tcPr>
            <w:tcW w:w="641" w:type="dxa"/>
            <w:shd w:val="clear" w:color="auto" w:fill="auto"/>
          </w:tcPr>
          <w:p w14:paraId="4C70F69A" w14:textId="77777777" w:rsidR="0023175F" w:rsidRDefault="0023175F"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24B13D1A" w14:textId="30B820A9" w:rsidR="0023175F" w:rsidRDefault="0023175F" w:rsidP="009953C2">
            <w:pPr>
              <w:rPr>
                <w:rFonts w:asciiTheme="minorHAnsi" w:hAnsiTheme="minorHAnsi" w:cstheme="minorHAnsi"/>
                <w:sz w:val="22"/>
                <w:szCs w:val="22"/>
              </w:rPr>
            </w:pPr>
            <w:r>
              <w:rPr>
                <w:rFonts w:asciiTheme="minorHAnsi" w:hAnsiTheme="minorHAnsi" w:cstheme="minorHAnsi"/>
                <w:sz w:val="22"/>
                <w:szCs w:val="22"/>
              </w:rPr>
              <w:t>27 (Acceptable Use Policy)</w:t>
            </w:r>
          </w:p>
        </w:tc>
        <w:tc>
          <w:tcPr>
            <w:tcW w:w="3504" w:type="dxa"/>
            <w:shd w:val="clear" w:color="auto" w:fill="auto"/>
          </w:tcPr>
          <w:p w14:paraId="3E81C90A" w14:textId="5D328BBD" w:rsidR="0023175F" w:rsidRPr="0023175F" w:rsidRDefault="0023175F" w:rsidP="00420437">
            <w:pPr>
              <w:pBdr>
                <w:top w:val="nil"/>
                <w:left w:val="nil"/>
                <w:bottom w:val="nil"/>
                <w:right w:val="nil"/>
                <w:between w:val="nil"/>
              </w:pBdr>
              <w:rPr>
                <w:rFonts w:ascii="Calibri" w:hAnsi="Calibri" w:cs="Calibri"/>
                <w:color w:val="000000"/>
                <w:sz w:val="22"/>
                <w:szCs w:val="22"/>
              </w:rPr>
            </w:pPr>
            <w:r>
              <w:rPr>
                <w:rFonts w:ascii="Calibri" w:eastAsia="Calibri" w:hAnsi="Calibri" w:cs="Calibri"/>
                <w:color w:val="000000"/>
                <w:sz w:val="22"/>
                <w:szCs w:val="22"/>
              </w:rPr>
              <w:t xml:space="preserve">g) </w:t>
            </w:r>
            <w:r w:rsidRPr="0023175F">
              <w:rPr>
                <w:rFonts w:ascii="Calibri" w:eastAsia="Calibri" w:hAnsi="Calibri" w:cs="Calibri"/>
                <w:color w:val="000000"/>
                <w:sz w:val="22"/>
                <w:szCs w:val="22"/>
              </w:rPr>
              <w:t>Where required by applicable law, must provide mechanism under which the data subject may exercise its right to erasure</w:t>
            </w:r>
          </w:p>
        </w:tc>
        <w:tc>
          <w:tcPr>
            <w:tcW w:w="3657" w:type="dxa"/>
            <w:shd w:val="clear" w:color="auto" w:fill="auto"/>
          </w:tcPr>
          <w:p w14:paraId="140A6020" w14:textId="3DEE4FF4" w:rsidR="0023175F" w:rsidRDefault="0023175F" w:rsidP="009953C2">
            <w:pPr>
              <w:rPr>
                <w:rFonts w:asciiTheme="minorHAnsi" w:hAnsiTheme="minorHAnsi" w:cstheme="minorHAnsi"/>
                <w:sz w:val="22"/>
                <w:szCs w:val="22"/>
              </w:rPr>
            </w:pPr>
            <w:r w:rsidRPr="0023175F">
              <w:rPr>
                <w:rFonts w:asciiTheme="minorHAnsi" w:hAnsiTheme="minorHAnsi" w:cstheme="minorHAnsi"/>
                <w:sz w:val="22"/>
                <w:szCs w:val="22"/>
              </w:rPr>
              <w:t>Of what data, from what database, on what ground, and when/how/with what limits? If the authorization provider (or entity disclosing the data) isn’t the registrar, does that mean that: a. the RNH is given a new channel for editing his registration; and b. the authorization provider is supposed to keep a copy of the registration data? This might be a good opportunity to discuss in terms of obligations of controllers, perhaps in a JCA (IPC)</w:t>
            </w:r>
          </w:p>
        </w:tc>
        <w:tc>
          <w:tcPr>
            <w:tcW w:w="3422" w:type="dxa"/>
            <w:shd w:val="clear" w:color="auto" w:fill="auto"/>
          </w:tcPr>
          <w:p w14:paraId="6D1656C8" w14:textId="77777777" w:rsidR="0023175F" w:rsidRDefault="0023175F" w:rsidP="009953C2">
            <w:pPr>
              <w:rPr>
                <w:rFonts w:asciiTheme="minorHAnsi" w:hAnsiTheme="minorHAnsi" w:cstheme="minorHAnsi"/>
                <w:sz w:val="22"/>
                <w:szCs w:val="22"/>
              </w:rPr>
            </w:pPr>
          </w:p>
        </w:tc>
      </w:tr>
      <w:tr w:rsidR="0023175F" w:rsidRPr="005B2D14" w14:paraId="55ACC31B" w14:textId="77777777" w:rsidTr="009953C2">
        <w:tc>
          <w:tcPr>
            <w:tcW w:w="641" w:type="dxa"/>
            <w:shd w:val="clear" w:color="auto" w:fill="auto"/>
          </w:tcPr>
          <w:p w14:paraId="063EEE94" w14:textId="77777777" w:rsidR="0023175F" w:rsidRDefault="0023175F"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37535080" w14:textId="12AAE2FF" w:rsidR="0023175F" w:rsidRDefault="0023175F" w:rsidP="009953C2">
            <w:pPr>
              <w:rPr>
                <w:rFonts w:asciiTheme="minorHAnsi" w:hAnsiTheme="minorHAnsi" w:cstheme="minorHAnsi"/>
                <w:sz w:val="22"/>
                <w:szCs w:val="22"/>
              </w:rPr>
            </w:pPr>
            <w:r>
              <w:rPr>
                <w:rFonts w:asciiTheme="minorHAnsi" w:hAnsiTheme="minorHAnsi" w:cstheme="minorHAnsi"/>
                <w:sz w:val="22"/>
                <w:szCs w:val="22"/>
              </w:rPr>
              <w:t>27 (Acceptable Use Policy)</w:t>
            </w:r>
          </w:p>
        </w:tc>
        <w:tc>
          <w:tcPr>
            <w:tcW w:w="3504" w:type="dxa"/>
            <w:shd w:val="clear" w:color="auto" w:fill="auto"/>
          </w:tcPr>
          <w:p w14:paraId="124402D6" w14:textId="7367F1C8" w:rsidR="0023175F" w:rsidRPr="0023175F" w:rsidRDefault="0023175F" w:rsidP="00420437">
            <w:pPr>
              <w:pBdr>
                <w:top w:val="nil"/>
                <w:left w:val="nil"/>
                <w:bottom w:val="nil"/>
                <w:right w:val="nil"/>
                <w:between w:val="nil"/>
              </w:pBdr>
              <w:rPr>
                <w:rFonts w:ascii="Calibri" w:eastAsia="Calibri" w:hAnsi="Calibri" w:cs="Calibri"/>
                <w:color w:val="000000"/>
                <w:sz w:val="22"/>
                <w:szCs w:val="22"/>
              </w:rPr>
            </w:pPr>
            <w:r w:rsidRPr="0023175F">
              <w:rPr>
                <w:rFonts w:ascii="Calibri" w:eastAsia="Calibri" w:hAnsi="Calibri" w:cs="Calibri"/>
                <w:color w:val="000000"/>
                <w:sz w:val="22"/>
                <w:szCs w:val="22"/>
              </w:rPr>
              <w:t xml:space="preserve">h) Confidentiality of disclosure requests – Data controllers of RDS data must make it clear to data subjects the types of entities/third parties which may process their data. Upon a request from a </w:t>
            </w:r>
            <w:proofErr w:type="gramStart"/>
            <w:r w:rsidRPr="0023175F">
              <w:rPr>
                <w:rFonts w:ascii="Calibri" w:eastAsia="Calibri" w:hAnsi="Calibri" w:cs="Calibri"/>
                <w:color w:val="000000"/>
                <w:sz w:val="22"/>
                <w:szCs w:val="22"/>
              </w:rPr>
              <w:t>data subject the exact processing activities of their data</w:t>
            </w:r>
            <w:proofErr w:type="gramEnd"/>
            <w:r w:rsidRPr="0023175F">
              <w:rPr>
                <w:rFonts w:ascii="Calibri" w:eastAsia="Calibri" w:hAnsi="Calibri" w:cs="Calibri"/>
                <w:color w:val="000000"/>
                <w:sz w:val="22"/>
                <w:szCs w:val="22"/>
              </w:rPr>
              <w:t xml:space="preserve"> within the SSAD, should be disclosed as soon as reasonably feasible.</w:t>
            </w:r>
            <w:r w:rsidRPr="0023175F">
              <w:rPr>
                <w:sz w:val="22"/>
                <w:szCs w:val="22"/>
              </w:rPr>
              <w:t> </w:t>
            </w:r>
            <w:proofErr w:type="gramStart"/>
            <w:r w:rsidRPr="0023175F">
              <w:rPr>
                <w:rFonts w:ascii="Calibri" w:eastAsia="Calibri" w:hAnsi="Calibri" w:cs="Calibri"/>
                <w:color w:val="000000"/>
                <w:sz w:val="22"/>
                <w:szCs w:val="22"/>
              </w:rPr>
              <w:t>However</w:t>
            </w:r>
            <w:proofErr w:type="gramEnd"/>
            <w:r w:rsidRPr="0023175F">
              <w:rPr>
                <w:rFonts w:ascii="Calibri" w:eastAsia="Calibri" w:hAnsi="Calibri" w:cs="Calibri"/>
                <w:color w:val="000000"/>
                <w:sz w:val="22"/>
                <w:szCs w:val="22"/>
              </w:rPr>
              <w:t xml:space="preserve"> the nature of legal investigations or procedures may require SSAD and/or the disclosing entity keep the nature or existence of these requests confidential from the data subject. Confidential requests can be disclosed to data subjects in </w:t>
            </w:r>
            <w:r w:rsidRPr="0023175F">
              <w:rPr>
                <w:rFonts w:ascii="Calibri" w:eastAsia="Calibri" w:hAnsi="Calibri" w:cs="Calibri"/>
                <w:color w:val="000000"/>
                <w:sz w:val="22"/>
                <w:szCs w:val="22"/>
              </w:rPr>
              <w:lastRenderedPageBreak/>
              <w:t>cooperation with the requesting authority, [and] [or] in accordance with the data subject's rights under applicable law</w:t>
            </w:r>
          </w:p>
        </w:tc>
        <w:tc>
          <w:tcPr>
            <w:tcW w:w="3657" w:type="dxa"/>
            <w:shd w:val="clear" w:color="auto" w:fill="auto"/>
          </w:tcPr>
          <w:p w14:paraId="18E9B808" w14:textId="77777777" w:rsidR="0023175F" w:rsidRPr="0023175F" w:rsidRDefault="0023175F" w:rsidP="0023175F">
            <w:pPr>
              <w:pStyle w:val="CommentText"/>
              <w:rPr>
                <w:rFonts w:asciiTheme="minorHAnsi" w:hAnsiTheme="minorHAnsi" w:cstheme="minorHAnsi"/>
                <w:sz w:val="22"/>
                <w:szCs w:val="22"/>
              </w:rPr>
            </w:pPr>
            <w:r w:rsidRPr="0023175F">
              <w:rPr>
                <w:rFonts w:asciiTheme="minorHAnsi" w:hAnsiTheme="minorHAnsi" w:cstheme="minorHAnsi"/>
                <w:sz w:val="22"/>
                <w:szCs w:val="22"/>
              </w:rPr>
              <w:lastRenderedPageBreak/>
              <w:t>2 comments:</w:t>
            </w:r>
          </w:p>
          <w:p w14:paraId="5945C1FA" w14:textId="77777777" w:rsidR="0023175F" w:rsidRPr="0023175F" w:rsidRDefault="0023175F" w:rsidP="0023175F">
            <w:pPr>
              <w:pStyle w:val="CommentText"/>
              <w:numPr>
                <w:ilvl w:val="0"/>
                <w:numId w:val="28"/>
              </w:numPr>
              <w:rPr>
                <w:rFonts w:asciiTheme="minorHAnsi" w:hAnsiTheme="minorHAnsi" w:cstheme="minorHAnsi"/>
                <w:sz w:val="22"/>
                <w:szCs w:val="22"/>
              </w:rPr>
            </w:pPr>
            <w:r w:rsidRPr="0023175F">
              <w:rPr>
                <w:rFonts w:asciiTheme="minorHAnsi" w:hAnsiTheme="minorHAnsi" w:cstheme="minorHAnsi"/>
                <w:sz w:val="22"/>
                <w:szCs w:val="22"/>
              </w:rPr>
              <w:t xml:space="preserve"> Replace with “inform.”</w:t>
            </w:r>
          </w:p>
          <w:p w14:paraId="562D9865" w14:textId="2235F8F1" w:rsidR="0023175F" w:rsidRPr="0023175F" w:rsidRDefault="0023175F" w:rsidP="0023175F">
            <w:pPr>
              <w:pStyle w:val="ListParagraph"/>
              <w:numPr>
                <w:ilvl w:val="0"/>
                <w:numId w:val="28"/>
              </w:numPr>
              <w:rPr>
                <w:rFonts w:asciiTheme="minorHAnsi" w:hAnsiTheme="minorHAnsi" w:cstheme="minorHAnsi"/>
                <w:sz w:val="22"/>
                <w:szCs w:val="22"/>
              </w:rPr>
            </w:pPr>
            <w:r w:rsidRPr="0023175F">
              <w:rPr>
                <w:rFonts w:asciiTheme="minorHAnsi" w:hAnsiTheme="minorHAnsi" w:cstheme="minorHAnsi"/>
                <w:sz w:val="22"/>
                <w:szCs w:val="22"/>
              </w:rPr>
              <w:t>When: upon request or in their privacy policy? (IPC)</w:t>
            </w:r>
          </w:p>
        </w:tc>
        <w:tc>
          <w:tcPr>
            <w:tcW w:w="3422" w:type="dxa"/>
            <w:shd w:val="clear" w:color="auto" w:fill="auto"/>
          </w:tcPr>
          <w:p w14:paraId="2E3C2D90" w14:textId="77777777" w:rsidR="0023175F" w:rsidRDefault="0023175F" w:rsidP="009953C2">
            <w:pPr>
              <w:rPr>
                <w:rFonts w:asciiTheme="minorHAnsi" w:hAnsiTheme="minorHAnsi" w:cstheme="minorHAnsi"/>
                <w:sz w:val="22"/>
                <w:szCs w:val="22"/>
              </w:rPr>
            </w:pPr>
          </w:p>
        </w:tc>
      </w:tr>
      <w:tr w:rsidR="0023175F" w:rsidRPr="005B2D14" w14:paraId="25B0AC2B" w14:textId="77777777" w:rsidTr="009953C2">
        <w:tc>
          <w:tcPr>
            <w:tcW w:w="641" w:type="dxa"/>
            <w:shd w:val="clear" w:color="auto" w:fill="auto"/>
          </w:tcPr>
          <w:p w14:paraId="2D309F52" w14:textId="77777777" w:rsidR="0023175F" w:rsidRDefault="0023175F"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3D5CE32F" w14:textId="2EB46F86" w:rsidR="0023175F" w:rsidRDefault="0023175F" w:rsidP="009953C2">
            <w:pPr>
              <w:rPr>
                <w:rFonts w:asciiTheme="minorHAnsi" w:hAnsiTheme="minorHAnsi" w:cstheme="minorHAnsi"/>
                <w:sz w:val="22"/>
                <w:szCs w:val="22"/>
              </w:rPr>
            </w:pPr>
            <w:r>
              <w:rPr>
                <w:rFonts w:asciiTheme="minorHAnsi" w:hAnsiTheme="minorHAnsi" w:cstheme="minorHAnsi"/>
                <w:sz w:val="22"/>
                <w:szCs w:val="22"/>
              </w:rPr>
              <w:t>28 (Query Policy)</w:t>
            </w:r>
          </w:p>
        </w:tc>
        <w:tc>
          <w:tcPr>
            <w:tcW w:w="3504" w:type="dxa"/>
            <w:shd w:val="clear" w:color="auto" w:fill="auto"/>
          </w:tcPr>
          <w:p w14:paraId="2B615231" w14:textId="77777777" w:rsidR="0023175F" w:rsidRDefault="0023175F" w:rsidP="0023175F">
            <w:pPr>
              <w:pBdr>
                <w:top w:val="nil"/>
                <w:left w:val="nil"/>
                <w:bottom w:val="nil"/>
                <w:right w:val="nil"/>
                <w:between w:val="nil"/>
              </w:pBdr>
              <w:rPr>
                <w:rFonts w:ascii="Calibri" w:eastAsia="Calibri" w:hAnsi="Calibri" w:cs="Calibri"/>
                <w:color w:val="000000"/>
                <w:sz w:val="22"/>
                <w:szCs w:val="22"/>
              </w:rPr>
            </w:pPr>
            <w:r w:rsidRPr="0023175F">
              <w:rPr>
                <w:rFonts w:ascii="Calibri" w:eastAsia="Calibri" w:hAnsi="Calibri" w:cs="Calibri"/>
                <w:color w:val="000000"/>
                <w:sz w:val="22"/>
                <w:szCs w:val="22"/>
              </w:rPr>
              <w:t>a) Must monitor the system and take appropriate action, such as revoking or limiting access, to protect against abuse or misuse of the system;</w:t>
            </w:r>
          </w:p>
          <w:p w14:paraId="738E5DC4" w14:textId="77777777" w:rsidR="0023175F" w:rsidRDefault="0023175F" w:rsidP="0023175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 </w:t>
            </w:r>
            <w:r w:rsidRPr="0023175F">
              <w:rPr>
                <w:rFonts w:ascii="Calibri" w:eastAsia="Calibri" w:hAnsi="Calibri" w:cs="Calibri"/>
                <w:color w:val="000000"/>
                <w:sz w:val="22"/>
                <w:szCs w:val="22"/>
              </w:rPr>
              <w:t>May take measures to limit the number of requests that are submitted by the same requestor if it is demonstrated that the requests are of an abusive* nature</w:t>
            </w:r>
            <w:r>
              <w:rPr>
                <w:rFonts w:ascii="Calibri" w:eastAsia="Calibri" w:hAnsi="Calibri" w:cs="Calibri"/>
                <w:color w:val="000000"/>
                <w:sz w:val="22"/>
                <w:szCs w:val="22"/>
              </w:rPr>
              <w:t>.</w:t>
            </w:r>
          </w:p>
          <w:p w14:paraId="7C2A8E2D" w14:textId="77777777" w:rsidR="0023175F" w:rsidRDefault="0023175F" w:rsidP="0023175F">
            <w:pPr>
              <w:pBdr>
                <w:top w:val="nil"/>
                <w:left w:val="nil"/>
                <w:bottom w:val="nil"/>
                <w:right w:val="nil"/>
                <w:between w:val="nil"/>
              </w:pBdr>
              <w:rPr>
                <w:rFonts w:ascii="Calibri" w:eastAsia="Calibri" w:hAnsi="Calibri" w:cs="Calibri"/>
                <w:color w:val="000000"/>
                <w:sz w:val="22"/>
                <w:szCs w:val="22"/>
              </w:rPr>
            </w:pPr>
          </w:p>
          <w:p w14:paraId="2F84461C" w14:textId="5AEFC476" w:rsidR="0023175F" w:rsidRPr="0023175F" w:rsidRDefault="0023175F" w:rsidP="0023175F">
            <w:pPr>
              <w:rPr>
                <w:rFonts w:ascii="Calibri" w:eastAsia="Calibri" w:hAnsi="Calibri" w:cs="Calibri"/>
                <w:color w:val="000000"/>
                <w:sz w:val="22"/>
                <w:szCs w:val="22"/>
              </w:rPr>
            </w:pPr>
            <w:r w:rsidRPr="0023175F">
              <w:rPr>
                <w:rFonts w:ascii="Calibri" w:eastAsia="Calibri" w:hAnsi="Calibri" w:cs="Calibri"/>
                <w:color w:val="000000"/>
                <w:sz w:val="22"/>
                <w:szCs w:val="22"/>
              </w:rPr>
              <w:t>*“Abusive” use of SSAD may include (but is not limited to) the detection of one or more of the following behaviors/practices:</w:t>
            </w:r>
          </w:p>
        </w:tc>
        <w:tc>
          <w:tcPr>
            <w:tcW w:w="3657" w:type="dxa"/>
            <w:shd w:val="clear" w:color="auto" w:fill="auto"/>
          </w:tcPr>
          <w:p w14:paraId="4D4849A0" w14:textId="2AB8109B" w:rsidR="0023175F" w:rsidRPr="0083432C" w:rsidRDefault="0023175F" w:rsidP="0023175F">
            <w:pPr>
              <w:pStyle w:val="CommentText"/>
              <w:rPr>
                <w:sz w:val="22"/>
                <w:szCs w:val="22"/>
              </w:rPr>
            </w:pPr>
            <w:r w:rsidRPr="0083432C">
              <w:rPr>
                <w:sz w:val="22"/>
                <w:szCs w:val="22"/>
              </w:rPr>
              <w:t>Unclear what a and b respectively are supposed to cover. (IPC)</w:t>
            </w:r>
          </w:p>
          <w:p w14:paraId="740BD08F" w14:textId="77777777" w:rsidR="0023175F" w:rsidRPr="0083432C" w:rsidRDefault="0023175F" w:rsidP="0023175F">
            <w:pPr>
              <w:pStyle w:val="CommentText"/>
              <w:rPr>
                <w:sz w:val="22"/>
                <w:szCs w:val="22"/>
              </w:rPr>
            </w:pPr>
          </w:p>
          <w:p w14:paraId="5AC8EBE6" w14:textId="693D69AC" w:rsidR="0023175F" w:rsidRPr="0083432C" w:rsidRDefault="0023175F" w:rsidP="0023175F">
            <w:pPr>
              <w:pStyle w:val="CommentText"/>
              <w:rPr>
                <w:sz w:val="22"/>
                <w:szCs w:val="22"/>
              </w:rPr>
            </w:pPr>
            <w:r w:rsidRPr="0083432C">
              <w:rPr>
                <w:sz w:val="22"/>
                <w:szCs w:val="22"/>
              </w:rPr>
              <w:t>Changing “access” to “credentials” resolves the ambiguity Franck mentions.  (IPC)</w:t>
            </w:r>
          </w:p>
          <w:p w14:paraId="180BE5B9" w14:textId="77777777" w:rsidR="0023175F" w:rsidRPr="0083432C" w:rsidRDefault="0023175F" w:rsidP="009953C2">
            <w:pPr>
              <w:rPr>
                <w:rFonts w:asciiTheme="minorHAnsi" w:hAnsiTheme="minorHAnsi" w:cstheme="minorHAnsi"/>
                <w:sz w:val="22"/>
                <w:szCs w:val="22"/>
              </w:rPr>
            </w:pPr>
          </w:p>
          <w:p w14:paraId="00827751" w14:textId="20BB9FE3" w:rsidR="0023175F" w:rsidRPr="006B4810" w:rsidRDefault="0023175F" w:rsidP="0023175F">
            <w:pPr>
              <w:pStyle w:val="CommentText"/>
              <w:rPr>
                <w:rFonts w:asciiTheme="minorHAnsi" w:hAnsiTheme="minorHAnsi" w:cstheme="minorHAnsi"/>
                <w:sz w:val="22"/>
                <w:szCs w:val="22"/>
              </w:rPr>
            </w:pPr>
            <w:r w:rsidRPr="0083432C">
              <w:rPr>
                <w:sz w:val="22"/>
                <w:szCs w:val="22"/>
              </w:rPr>
              <w:t>‘Abusive’ use of SSAD - Does this refer to a (which mentions abuse AND misuse), b or both? (IPC)</w:t>
            </w:r>
          </w:p>
        </w:tc>
        <w:tc>
          <w:tcPr>
            <w:tcW w:w="3422" w:type="dxa"/>
            <w:shd w:val="clear" w:color="auto" w:fill="auto"/>
          </w:tcPr>
          <w:p w14:paraId="28281B6B" w14:textId="77777777" w:rsidR="0023175F" w:rsidRDefault="0023175F" w:rsidP="009953C2">
            <w:pPr>
              <w:rPr>
                <w:rFonts w:asciiTheme="minorHAnsi" w:hAnsiTheme="minorHAnsi" w:cstheme="minorHAnsi"/>
                <w:sz w:val="22"/>
                <w:szCs w:val="22"/>
              </w:rPr>
            </w:pPr>
          </w:p>
        </w:tc>
      </w:tr>
      <w:tr w:rsidR="00F26DBD" w:rsidRPr="005B2D14" w14:paraId="02792A37" w14:textId="77777777" w:rsidTr="009953C2">
        <w:tc>
          <w:tcPr>
            <w:tcW w:w="641" w:type="dxa"/>
            <w:shd w:val="clear" w:color="auto" w:fill="auto"/>
          </w:tcPr>
          <w:p w14:paraId="26C5EE2D" w14:textId="6FBDEDCF" w:rsidR="009953C2" w:rsidRDefault="009953C2"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124EE953" w14:textId="59EA1126" w:rsidR="009953C2" w:rsidRDefault="009953C2" w:rsidP="009953C2">
            <w:pPr>
              <w:rPr>
                <w:rFonts w:asciiTheme="minorHAnsi" w:hAnsiTheme="minorHAnsi" w:cstheme="minorHAnsi"/>
                <w:sz w:val="22"/>
                <w:szCs w:val="22"/>
              </w:rPr>
            </w:pPr>
            <w:r>
              <w:rPr>
                <w:rFonts w:asciiTheme="minorHAnsi" w:hAnsiTheme="minorHAnsi" w:cstheme="minorHAnsi"/>
                <w:sz w:val="22"/>
                <w:szCs w:val="22"/>
              </w:rPr>
              <w:t>28 (Query Policy)</w:t>
            </w:r>
          </w:p>
        </w:tc>
        <w:tc>
          <w:tcPr>
            <w:tcW w:w="3504" w:type="dxa"/>
            <w:shd w:val="clear" w:color="auto" w:fill="auto"/>
          </w:tcPr>
          <w:p w14:paraId="7859D8BC" w14:textId="2C87106D" w:rsidR="009953C2" w:rsidRPr="006B4810" w:rsidRDefault="009953C2" w:rsidP="009953C2">
            <w:pPr>
              <w:rPr>
                <w:rFonts w:ascii="Calibri" w:hAnsi="Calibri" w:cs="Calibri"/>
                <w:color w:val="000000"/>
                <w:sz w:val="22"/>
                <w:szCs w:val="22"/>
              </w:rPr>
            </w:pPr>
            <w:r>
              <w:rPr>
                <w:rFonts w:ascii="Calibri" w:hAnsi="Calibri" w:cs="Calibri"/>
                <w:color w:val="000000"/>
                <w:sz w:val="22"/>
                <w:szCs w:val="22"/>
              </w:rPr>
              <w:t xml:space="preserve">a. </w:t>
            </w:r>
            <w:r w:rsidRPr="006B4810">
              <w:rPr>
                <w:rFonts w:ascii="Calibri" w:hAnsi="Calibri" w:cs="Calibri"/>
                <w:color w:val="000000"/>
                <w:sz w:val="22"/>
                <w:szCs w:val="22"/>
              </w:rPr>
              <w:t>Unless otherwise required or permitted, not allow bulk access, wildcard requests, [reverse lookups], nor boolean search capabilities.</w:t>
            </w:r>
          </w:p>
        </w:tc>
        <w:tc>
          <w:tcPr>
            <w:tcW w:w="3657" w:type="dxa"/>
            <w:shd w:val="clear" w:color="auto" w:fill="auto"/>
          </w:tcPr>
          <w:p w14:paraId="3B41F874" w14:textId="099856C8" w:rsidR="009953C2" w:rsidRDefault="009953C2" w:rsidP="009953C2">
            <w:pPr>
              <w:rPr>
                <w:rFonts w:asciiTheme="minorHAnsi" w:hAnsiTheme="minorHAnsi" w:cstheme="minorHAnsi"/>
                <w:sz w:val="22"/>
                <w:szCs w:val="22"/>
              </w:rPr>
            </w:pPr>
            <w:r w:rsidRPr="006B4810">
              <w:rPr>
                <w:rFonts w:asciiTheme="minorHAnsi" w:hAnsiTheme="minorHAnsi" w:cstheme="minorHAnsi"/>
                <w:sz w:val="22"/>
                <w:szCs w:val="22"/>
              </w:rPr>
              <w:t xml:space="preserve">Still don’t know what it means to say “unless otherwise required or permitted (NCSG). </w:t>
            </w:r>
          </w:p>
          <w:p w14:paraId="3445EEB4" w14:textId="79E34422" w:rsidR="00202F23" w:rsidRDefault="00202F23" w:rsidP="009953C2">
            <w:pPr>
              <w:rPr>
                <w:rFonts w:asciiTheme="minorHAnsi" w:hAnsiTheme="minorHAnsi" w:cstheme="minorHAnsi"/>
                <w:sz w:val="22"/>
                <w:szCs w:val="22"/>
              </w:rPr>
            </w:pPr>
          </w:p>
          <w:p w14:paraId="4D7E11CA" w14:textId="77777777" w:rsidR="009953C2" w:rsidRDefault="00202F23" w:rsidP="009953C2">
            <w:pPr>
              <w:rPr>
                <w:rFonts w:asciiTheme="minorHAnsi" w:hAnsiTheme="minorHAnsi" w:cstheme="minorHAnsi"/>
                <w:sz w:val="22"/>
                <w:szCs w:val="22"/>
              </w:rPr>
            </w:pPr>
            <w:r w:rsidRPr="00202F23">
              <w:rPr>
                <w:rFonts w:asciiTheme="minorHAnsi" w:hAnsiTheme="minorHAnsi" w:cstheme="minorHAnsi"/>
                <w:sz w:val="22"/>
                <w:szCs w:val="22"/>
              </w:rPr>
              <w:t>“unless otherwise required or permitted” is from the New gTLD Registry Agreement. The original registration date is in the data formerly known as “thin WHOIS”, so we agree that this language could be clearer.</w:t>
            </w:r>
            <w:r>
              <w:rPr>
                <w:rFonts w:asciiTheme="minorHAnsi" w:hAnsiTheme="minorHAnsi" w:cstheme="minorHAnsi"/>
                <w:sz w:val="22"/>
                <w:szCs w:val="22"/>
              </w:rPr>
              <w:t xml:space="preserve"> (IPC)</w:t>
            </w:r>
          </w:p>
          <w:p w14:paraId="7D03F44B" w14:textId="77777777" w:rsidR="00202F23" w:rsidRDefault="00202F23" w:rsidP="009953C2">
            <w:pPr>
              <w:rPr>
                <w:rFonts w:asciiTheme="minorHAnsi" w:hAnsiTheme="minorHAnsi" w:cstheme="minorHAnsi"/>
                <w:sz w:val="22"/>
                <w:szCs w:val="22"/>
              </w:rPr>
            </w:pPr>
          </w:p>
          <w:p w14:paraId="29DC9E5B" w14:textId="251D09EA" w:rsidR="00202F23" w:rsidRPr="006B4810" w:rsidRDefault="00202F23" w:rsidP="009953C2">
            <w:pPr>
              <w:rPr>
                <w:rFonts w:asciiTheme="minorHAnsi" w:hAnsiTheme="minorHAnsi" w:cstheme="minorHAnsi"/>
                <w:sz w:val="22"/>
                <w:szCs w:val="22"/>
              </w:rPr>
            </w:pPr>
            <w:r w:rsidRPr="00202F23">
              <w:rPr>
                <w:rFonts w:asciiTheme="minorHAnsi" w:hAnsiTheme="minorHAnsi" w:cstheme="minorHAnsi"/>
                <w:sz w:val="22"/>
                <w:szCs w:val="22"/>
              </w:rPr>
              <w:t xml:space="preserve">Define “bulk access” according to meaning in the 2013 RAA Section </w:t>
            </w:r>
            <w:r w:rsidRPr="00202F23">
              <w:rPr>
                <w:rFonts w:asciiTheme="minorHAnsi" w:hAnsiTheme="minorHAnsi" w:cstheme="minorHAnsi"/>
                <w:sz w:val="22"/>
                <w:szCs w:val="22"/>
              </w:rPr>
              <w:lastRenderedPageBreak/>
              <w:t>3.3.6.1 “a complete copy of the data available”</w:t>
            </w:r>
            <w:r>
              <w:rPr>
                <w:rFonts w:asciiTheme="minorHAnsi" w:hAnsiTheme="minorHAnsi" w:cstheme="minorHAnsi"/>
                <w:sz w:val="22"/>
                <w:szCs w:val="22"/>
              </w:rPr>
              <w:t xml:space="preserve"> (IPC)</w:t>
            </w:r>
          </w:p>
        </w:tc>
        <w:tc>
          <w:tcPr>
            <w:tcW w:w="3422" w:type="dxa"/>
            <w:shd w:val="clear" w:color="auto" w:fill="auto"/>
          </w:tcPr>
          <w:p w14:paraId="0FB3DEDB" w14:textId="77777777" w:rsidR="009953C2" w:rsidRDefault="009953C2" w:rsidP="009953C2">
            <w:pPr>
              <w:rPr>
                <w:rFonts w:asciiTheme="minorHAnsi" w:hAnsiTheme="minorHAnsi" w:cstheme="minorHAnsi"/>
                <w:sz w:val="22"/>
                <w:szCs w:val="22"/>
              </w:rPr>
            </w:pPr>
          </w:p>
        </w:tc>
      </w:tr>
      <w:tr w:rsidR="00F26DBD" w:rsidRPr="005B2D14" w14:paraId="78DED3C0" w14:textId="77777777" w:rsidTr="00F26DBD">
        <w:tc>
          <w:tcPr>
            <w:tcW w:w="641" w:type="dxa"/>
            <w:tcBorders>
              <w:bottom w:val="single" w:sz="4" w:space="0" w:color="auto"/>
            </w:tcBorders>
            <w:shd w:val="clear" w:color="auto" w:fill="auto"/>
          </w:tcPr>
          <w:p w14:paraId="0F857D20" w14:textId="64590E5D" w:rsidR="009953C2" w:rsidRDefault="009953C2" w:rsidP="00C60B34">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shd w:val="clear" w:color="auto" w:fill="auto"/>
          </w:tcPr>
          <w:p w14:paraId="0F1DDF56" w14:textId="3CDA9029" w:rsidR="009953C2" w:rsidRDefault="009953C2" w:rsidP="009953C2">
            <w:pPr>
              <w:rPr>
                <w:rFonts w:asciiTheme="minorHAnsi" w:hAnsiTheme="minorHAnsi" w:cstheme="minorHAnsi"/>
                <w:sz w:val="22"/>
                <w:szCs w:val="22"/>
              </w:rPr>
            </w:pPr>
            <w:r>
              <w:rPr>
                <w:rFonts w:asciiTheme="minorHAnsi" w:hAnsiTheme="minorHAnsi" w:cstheme="minorHAnsi"/>
                <w:sz w:val="22"/>
                <w:szCs w:val="22"/>
              </w:rPr>
              <w:t>29 (Query Policy)</w:t>
            </w:r>
          </w:p>
        </w:tc>
        <w:tc>
          <w:tcPr>
            <w:tcW w:w="3504" w:type="dxa"/>
            <w:tcBorders>
              <w:bottom w:val="single" w:sz="4" w:space="0" w:color="auto"/>
            </w:tcBorders>
            <w:shd w:val="clear" w:color="auto" w:fill="auto"/>
          </w:tcPr>
          <w:p w14:paraId="080DAE41" w14:textId="10A40A2A" w:rsidR="009953C2" w:rsidRPr="006B4810" w:rsidRDefault="009953C2" w:rsidP="009953C2">
            <w:r>
              <w:rPr>
                <w:rFonts w:ascii="Calibri" w:hAnsi="Calibri" w:cs="Calibri"/>
                <w:color w:val="000000"/>
                <w:sz w:val="22"/>
                <w:szCs w:val="22"/>
              </w:rPr>
              <w:t xml:space="preserve">d. </w:t>
            </w:r>
            <w:r w:rsidRPr="006B4810">
              <w:rPr>
                <w:rFonts w:ascii="Calibri" w:hAnsi="Calibri" w:cs="Calibri"/>
                <w:color w:val="000000"/>
                <w:sz w:val="22"/>
                <w:szCs w:val="22"/>
              </w:rPr>
              <w:t>Only return current data (no data about the domain name registration’s history)</w:t>
            </w:r>
          </w:p>
        </w:tc>
        <w:tc>
          <w:tcPr>
            <w:tcW w:w="3657" w:type="dxa"/>
            <w:tcBorders>
              <w:bottom w:val="single" w:sz="4" w:space="0" w:color="auto"/>
            </w:tcBorders>
            <w:shd w:val="clear" w:color="auto" w:fill="auto"/>
          </w:tcPr>
          <w:p w14:paraId="76A3A44E" w14:textId="6B42CEFB" w:rsidR="009953C2" w:rsidRPr="006B4810" w:rsidRDefault="009953C2" w:rsidP="009953C2">
            <w:pPr>
              <w:rPr>
                <w:rFonts w:asciiTheme="minorHAnsi" w:hAnsiTheme="minorHAnsi" w:cstheme="minorHAnsi"/>
                <w:sz w:val="22"/>
                <w:szCs w:val="22"/>
              </w:rPr>
            </w:pPr>
            <w:r w:rsidRPr="006B4810">
              <w:rPr>
                <w:rFonts w:asciiTheme="minorHAnsi" w:hAnsiTheme="minorHAnsi" w:cstheme="minorHAnsi"/>
                <w:sz w:val="22"/>
                <w:szCs w:val="22"/>
              </w:rPr>
              <w:t>Re: history, what about the domain's original date of registration? (NCSG)</w:t>
            </w:r>
          </w:p>
          <w:p w14:paraId="0FE29615" w14:textId="77777777" w:rsidR="009953C2" w:rsidRPr="006B4810" w:rsidRDefault="009953C2" w:rsidP="009953C2">
            <w:pPr>
              <w:rPr>
                <w:rFonts w:asciiTheme="minorHAnsi" w:hAnsiTheme="minorHAnsi" w:cstheme="minorHAnsi"/>
                <w:sz w:val="22"/>
                <w:szCs w:val="22"/>
              </w:rPr>
            </w:pPr>
          </w:p>
        </w:tc>
        <w:tc>
          <w:tcPr>
            <w:tcW w:w="3422" w:type="dxa"/>
            <w:tcBorders>
              <w:bottom w:val="single" w:sz="4" w:space="0" w:color="auto"/>
            </w:tcBorders>
            <w:shd w:val="clear" w:color="auto" w:fill="auto"/>
          </w:tcPr>
          <w:p w14:paraId="02A46C63" w14:textId="77777777" w:rsidR="009953C2" w:rsidRDefault="009953C2" w:rsidP="009953C2">
            <w:pPr>
              <w:rPr>
                <w:rFonts w:asciiTheme="minorHAnsi" w:hAnsiTheme="minorHAnsi" w:cstheme="minorHAnsi"/>
                <w:sz w:val="22"/>
                <w:szCs w:val="22"/>
              </w:rPr>
            </w:pPr>
          </w:p>
        </w:tc>
      </w:tr>
      <w:tr w:rsidR="00202F23" w:rsidRPr="005B2D14" w14:paraId="5C78D03B" w14:textId="77777777" w:rsidTr="00F26DBD">
        <w:tc>
          <w:tcPr>
            <w:tcW w:w="641" w:type="dxa"/>
            <w:tcBorders>
              <w:bottom w:val="single" w:sz="4" w:space="0" w:color="auto"/>
            </w:tcBorders>
            <w:shd w:val="clear" w:color="auto" w:fill="auto"/>
          </w:tcPr>
          <w:p w14:paraId="79B149D5" w14:textId="77777777" w:rsidR="00202F23" w:rsidRDefault="00202F23" w:rsidP="00C60B34">
            <w:pPr>
              <w:pStyle w:val="ListParagraph"/>
              <w:numPr>
                <w:ilvl w:val="0"/>
                <w:numId w:val="2"/>
              </w:numPr>
              <w:rPr>
                <w:rFonts w:asciiTheme="minorHAnsi" w:hAnsiTheme="minorHAnsi" w:cstheme="minorHAnsi"/>
                <w:sz w:val="22"/>
                <w:szCs w:val="22"/>
              </w:rPr>
            </w:pPr>
          </w:p>
        </w:tc>
        <w:tc>
          <w:tcPr>
            <w:tcW w:w="1726" w:type="dxa"/>
            <w:tcBorders>
              <w:bottom w:val="single" w:sz="4" w:space="0" w:color="auto"/>
            </w:tcBorders>
            <w:shd w:val="clear" w:color="auto" w:fill="auto"/>
          </w:tcPr>
          <w:p w14:paraId="216A789A" w14:textId="0C0D4242" w:rsidR="00202F23" w:rsidRDefault="00202F23" w:rsidP="009953C2">
            <w:pPr>
              <w:rPr>
                <w:rFonts w:asciiTheme="minorHAnsi" w:hAnsiTheme="minorHAnsi" w:cstheme="minorHAnsi"/>
                <w:sz w:val="22"/>
                <w:szCs w:val="22"/>
              </w:rPr>
            </w:pPr>
            <w:r>
              <w:rPr>
                <w:rFonts w:asciiTheme="minorHAnsi" w:hAnsiTheme="minorHAnsi" w:cstheme="minorHAnsi"/>
                <w:sz w:val="22"/>
                <w:szCs w:val="22"/>
              </w:rPr>
              <w:t>29 (Query Policy)</w:t>
            </w:r>
          </w:p>
        </w:tc>
        <w:tc>
          <w:tcPr>
            <w:tcW w:w="3504" w:type="dxa"/>
            <w:tcBorders>
              <w:bottom w:val="single" w:sz="4" w:space="0" w:color="auto"/>
            </w:tcBorders>
            <w:shd w:val="clear" w:color="auto" w:fill="auto"/>
          </w:tcPr>
          <w:p w14:paraId="0CA1681E" w14:textId="65DC3551" w:rsidR="00202F23" w:rsidRPr="00202F23" w:rsidRDefault="00202F23" w:rsidP="009953C2">
            <w:r w:rsidRPr="00202F23">
              <w:rPr>
                <w:rFonts w:ascii="Calibri" w:hAnsi="Calibri" w:cs="Calibri"/>
                <w:color w:val="000000"/>
                <w:sz w:val="22"/>
                <w:szCs w:val="22"/>
              </w:rPr>
              <w:t>Requests must only refer to current registration data (historical registration data will not be made available via this mechanism).</w:t>
            </w:r>
          </w:p>
        </w:tc>
        <w:tc>
          <w:tcPr>
            <w:tcW w:w="3657" w:type="dxa"/>
            <w:tcBorders>
              <w:bottom w:val="single" w:sz="4" w:space="0" w:color="auto"/>
            </w:tcBorders>
            <w:shd w:val="clear" w:color="auto" w:fill="auto"/>
          </w:tcPr>
          <w:p w14:paraId="265ACE41" w14:textId="77777777" w:rsidR="00202F23" w:rsidRPr="00202F23" w:rsidRDefault="00202F23" w:rsidP="009953C2">
            <w:pPr>
              <w:rPr>
                <w:rFonts w:asciiTheme="minorHAnsi" w:hAnsiTheme="minorHAnsi" w:cstheme="minorHAnsi"/>
                <w:sz w:val="22"/>
                <w:szCs w:val="22"/>
              </w:rPr>
            </w:pPr>
            <w:r w:rsidRPr="00202F23">
              <w:rPr>
                <w:rFonts w:asciiTheme="minorHAnsi" w:hAnsiTheme="minorHAnsi" w:cstheme="minorHAnsi"/>
                <w:sz w:val="22"/>
                <w:szCs w:val="22"/>
              </w:rPr>
              <w:t>Delete: it’s redundant with language in c. above. (IPC)</w:t>
            </w:r>
          </w:p>
          <w:p w14:paraId="26134D55" w14:textId="77777777" w:rsidR="00202F23" w:rsidRPr="00202F23" w:rsidRDefault="00202F23" w:rsidP="009953C2">
            <w:pPr>
              <w:rPr>
                <w:rFonts w:asciiTheme="minorHAnsi" w:hAnsiTheme="minorHAnsi" w:cstheme="minorHAnsi"/>
                <w:sz w:val="22"/>
                <w:szCs w:val="22"/>
              </w:rPr>
            </w:pPr>
          </w:p>
          <w:p w14:paraId="2723F4E8" w14:textId="6F2A76D7" w:rsidR="00202F23" w:rsidRPr="006B4810" w:rsidRDefault="00202F23" w:rsidP="009953C2">
            <w:pPr>
              <w:rPr>
                <w:rFonts w:asciiTheme="minorHAnsi" w:hAnsiTheme="minorHAnsi" w:cstheme="minorHAnsi"/>
                <w:sz w:val="22"/>
                <w:szCs w:val="22"/>
              </w:rPr>
            </w:pPr>
            <w:r w:rsidRPr="00202F23">
              <w:rPr>
                <w:rFonts w:asciiTheme="minorHAnsi" w:hAnsiTheme="minorHAnsi" w:cstheme="minorHAnsi"/>
                <w:sz w:val="22"/>
                <w:szCs w:val="22"/>
              </w:rPr>
              <w:t>redundant with 8(a) and 9(c)#2 (BC)</w:t>
            </w:r>
          </w:p>
        </w:tc>
        <w:tc>
          <w:tcPr>
            <w:tcW w:w="3422" w:type="dxa"/>
            <w:tcBorders>
              <w:bottom w:val="single" w:sz="4" w:space="0" w:color="auto"/>
            </w:tcBorders>
            <w:shd w:val="clear" w:color="auto" w:fill="auto"/>
          </w:tcPr>
          <w:p w14:paraId="29772FFD" w14:textId="77777777" w:rsidR="00202F23" w:rsidRDefault="00202F23" w:rsidP="009953C2">
            <w:pPr>
              <w:rPr>
                <w:rFonts w:asciiTheme="minorHAnsi" w:hAnsiTheme="minorHAnsi" w:cstheme="minorHAnsi"/>
                <w:sz w:val="22"/>
                <w:szCs w:val="22"/>
              </w:rPr>
            </w:pPr>
          </w:p>
        </w:tc>
      </w:tr>
      <w:tr w:rsidR="00C60B34" w:rsidRPr="005B2D14" w14:paraId="557972E8" w14:textId="77777777" w:rsidTr="00F26DBD">
        <w:tc>
          <w:tcPr>
            <w:tcW w:w="641" w:type="dxa"/>
            <w:shd w:val="clear" w:color="auto" w:fill="70AD47" w:themeFill="accent6"/>
          </w:tcPr>
          <w:p w14:paraId="00801F86" w14:textId="77777777" w:rsidR="00C60B34" w:rsidRDefault="00C60B34" w:rsidP="00C60B34">
            <w:pPr>
              <w:pStyle w:val="ListParagraph"/>
              <w:numPr>
                <w:ilvl w:val="0"/>
                <w:numId w:val="2"/>
              </w:numPr>
              <w:rPr>
                <w:rFonts w:asciiTheme="minorHAnsi" w:hAnsiTheme="minorHAnsi" w:cstheme="minorHAnsi"/>
                <w:sz w:val="22"/>
                <w:szCs w:val="22"/>
              </w:rPr>
            </w:pPr>
          </w:p>
        </w:tc>
        <w:tc>
          <w:tcPr>
            <w:tcW w:w="1726" w:type="dxa"/>
            <w:shd w:val="clear" w:color="auto" w:fill="70AD47" w:themeFill="accent6"/>
          </w:tcPr>
          <w:p w14:paraId="4E4610ED" w14:textId="7CB4B372" w:rsidR="00C60B34" w:rsidRDefault="00C60B34" w:rsidP="009953C2">
            <w:pPr>
              <w:rPr>
                <w:rFonts w:asciiTheme="minorHAnsi" w:hAnsiTheme="minorHAnsi" w:cstheme="minorHAnsi"/>
                <w:sz w:val="22"/>
                <w:szCs w:val="22"/>
              </w:rPr>
            </w:pPr>
            <w:r>
              <w:rPr>
                <w:rFonts w:asciiTheme="minorHAnsi" w:hAnsiTheme="minorHAnsi" w:cstheme="minorHAnsi"/>
                <w:sz w:val="22"/>
                <w:szCs w:val="22"/>
              </w:rPr>
              <w:t>28-29 (Query Policy)</w:t>
            </w:r>
          </w:p>
        </w:tc>
        <w:tc>
          <w:tcPr>
            <w:tcW w:w="3504" w:type="dxa"/>
            <w:shd w:val="clear" w:color="auto" w:fill="70AD47" w:themeFill="accent6"/>
          </w:tcPr>
          <w:p w14:paraId="7104253E" w14:textId="77777777" w:rsidR="00C60B34" w:rsidRDefault="00C60B34" w:rsidP="009953C2">
            <w:pPr>
              <w:rPr>
                <w:rFonts w:ascii="Calibri" w:hAnsi="Calibri" w:cs="Calibri"/>
                <w:color w:val="000000"/>
                <w:sz w:val="22"/>
                <w:szCs w:val="22"/>
              </w:rPr>
            </w:pPr>
          </w:p>
        </w:tc>
        <w:tc>
          <w:tcPr>
            <w:tcW w:w="3657" w:type="dxa"/>
            <w:shd w:val="clear" w:color="auto" w:fill="70AD47" w:themeFill="accent6"/>
          </w:tcPr>
          <w:p w14:paraId="4715BC53" w14:textId="10884A1F" w:rsidR="00C60B34" w:rsidRPr="00C60B34" w:rsidRDefault="00C60B34" w:rsidP="009953C2">
            <w:r w:rsidRPr="00C60B34">
              <w:rPr>
                <w:rFonts w:ascii="Calibri" w:hAnsi="Calibri" w:cs="Calibri"/>
                <w:color w:val="000000"/>
                <w:sz w:val="22"/>
                <w:szCs w:val="22"/>
              </w:rPr>
              <w:t>The contents of this section must be mirrored or made reference to in the Acceptable Use Policy.</w:t>
            </w:r>
            <w:r w:rsidRPr="00F26DBD">
              <w:rPr>
                <w:rFonts w:ascii="Calibri" w:hAnsi="Calibri" w:cs="Calibri"/>
                <w:color w:val="000000"/>
                <w:sz w:val="22"/>
                <w:szCs w:val="22"/>
              </w:rPr>
              <w:t xml:space="preserve"> </w:t>
            </w:r>
            <w:r w:rsidR="00F26DBD" w:rsidRPr="00F26DBD">
              <w:rPr>
                <w:rFonts w:ascii="Calibri" w:hAnsi="Calibri" w:cs="Calibri"/>
                <w:color w:val="000000"/>
                <w:sz w:val="22"/>
                <w:szCs w:val="22"/>
              </w:rPr>
              <w:t>(ISPCP)</w:t>
            </w:r>
          </w:p>
        </w:tc>
        <w:tc>
          <w:tcPr>
            <w:tcW w:w="3422" w:type="dxa"/>
            <w:shd w:val="clear" w:color="auto" w:fill="70AD47" w:themeFill="accent6"/>
          </w:tcPr>
          <w:p w14:paraId="27E69F49" w14:textId="78CAB7BE" w:rsidR="00C60B34" w:rsidRDefault="00C60B34" w:rsidP="009953C2">
            <w:pPr>
              <w:rPr>
                <w:rFonts w:asciiTheme="minorHAnsi" w:hAnsiTheme="minorHAnsi" w:cstheme="minorHAnsi"/>
                <w:sz w:val="22"/>
                <w:szCs w:val="22"/>
              </w:rPr>
            </w:pPr>
            <w:r>
              <w:rPr>
                <w:rFonts w:asciiTheme="minorHAnsi" w:hAnsiTheme="minorHAnsi" w:cstheme="minorHAnsi"/>
                <w:sz w:val="22"/>
                <w:szCs w:val="22"/>
              </w:rPr>
              <w:t xml:space="preserve">Staff support team to update </w:t>
            </w:r>
            <w:r w:rsidR="00F26DBD">
              <w:rPr>
                <w:rFonts w:asciiTheme="minorHAnsi" w:hAnsiTheme="minorHAnsi" w:cstheme="minorHAnsi"/>
                <w:sz w:val="22"/>
                <w:szCs w:val="22"/>
              </w:rPr>
              <w:t xml:space="preserve">Acceptable Use Policy by including reference to query policy recommendation. </w:t>
            </w:r>
          </w:p>
        </w:tc>
      </w:tr>
      <w:tr w:rsidR="00F26DBD" w:rsidRPr="005B2D14" w14:paraId="6491FCB2" w14:textId="77777777" w:rsidTr="009953C2">
        <w:tc>
          <w:tcPr>
            <w:tcW w:w="641" w:type="dxa"/>
            <w:shd w:val="clear" w:color="auto" w:fill="auto"/>
          </w:tcPr>
          <w:p w14:paraId="038CCB56" w14:textId="77777777" w:rsidR="00F26DBD" w:rsidRDefault="00F26DBD"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4B61509F" w14:textId="5485952F" w:rsidR="00F26DBD" w:rsidRDefault="00F26DBD" w:rsidP="009953C2">
            <w:pPr>
              <w:rPr>
                <w:rFonts w:asciiTheme="minorHAnsi" w:hAnsiTheme="minorHAnsi" w:cstheme="minorHAnsi"/>
                <w:sz w:val="22"/>
                <w:szCs w:val="22"/>
              </w:rPr>
            </w:pPr>
            <w:r>
              <w:rPr>
                <w:rFonts w:asciiTheme="minorHAnsi" w:hAnsiTheme="minorHAnsi" w:cstheme="minorHAnsi"/>
                <w:sz w:val="22"/>
                <w:szCs w:val="22"/>
              </w:rPr>
              <w:t>29 (Terms of Use)</w:t>
            </w:r>
          </w:p>
        </w:tc>
        <w:tc>
          <w:tcPr>
            <w:tcW w:w="3504" w:type="dxa"/>
            <w:shd w:val="clear" w:color="auto" w:fill="auto"/>
          </w:tcPr>
          <w:p w14:paraId="1A0FE2FC" w14:textId="77777777" w:rsidR="00F26DBD" w:rsidRPr="00F26DBD" w:rsidRDefault="00F26DBD" w:rsidP="00F26DBD">
            <w:pPr>
              <w:pStyle w:val="NormalWeb"/>
              <w:spacing w:before="0" w:beforeAutospacing="0" w:after="0" w:afterAutospacing="0"/>
              <w:rPr>
                <w:sz w:val="22"/>
                <w:szCs w:val="22"/>
              </w:rPr>
            </w:pPr>
            <w:r w:rsidRPr="00F26DBD">
              <w:rPr>
                <w:rFonts w:ascii="Calibri" w:hAnsi="Calibri" w:cs="Calibri"/>
                <w:color w:val="000000"/>
                <w:sz w:val="22"/>
                <w:szCs w:val="22"/>
              </w:rPr>
              <w:t>Privacy Policy</w:t>
            </w:r>
          </w:p>
          <w:p w14:paraId="6E8391FF" w14:textId="77777777" w:rsidR="00F26DBD" w:rsidRPr="00F26DBD" w:rsidRDefault="00F26DBD" w:rsidP="00F26DBD">
            <w:pPr>
              <w:rPr>
                <w:sz w:val="22"/>
                <w:szCs w:val="22"/>
              </w:rPr>
            </w:pPr>
          </w:p>
          <w:p w14:paraId="4884C32C" w14:textId="77777777" w:rsidR="00F26DBD" w:rsidRPr="00F26DBD" w:rsidRDefault="00F26DBD" w:rsidP="00F26DBD">
            <w:pPr>
              <w:pStyle w:val="NormalWeb"/>
              <w:spacing w:before="0" w:beforeAutospacing="0" w:after="0" w:afterAutospacing="0"/>
              <w:rPr>
                <w:sz w:val="22"/>
                <w:szCs w:val="22"/>
              </w:rPr>
            </w:pPr>
            <w:r w:rsidRPr="00F26DBD">
              <w:rPr>
                <w:rFonts w:ascii="Calibri" w:hAnsi="Calibri" w:cs="Calibri"/>
                <w:color w:val="000000"/>
                <w:sz w:val="22"/>
                <w:szCs w:val="22"/>
              </w:rPr>
              <w:t>The EPDP recommends, at a minimum, the privacy policy shall include:</w:t>
            </w:r>
          </w:p>
          <w:p w14:paraId="2840393D" w14:textId="77777777" w:rsidR="00F26DBD" w:rsidRPr="00F26DBD" w:rsidRDefault="00F26DBD" w:rsidP="00F26DBD">
            <w:pPr>
              <w:pStyle w:val="NormalWeb"/>
              <w:numPr>
                <w:ilvl w:val="0"/>
                <w:numId w:val="16"/>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Relevant data protection principles, for example,</w:t>
            </w:r>
          </w:p>
          <w:p w14:paraId="42E0B339" w14:textId="77777777" w:rsidR="00F26DBD" w:rsidRPr="00F26DBD" w:rsidRDefault="00F26DBD" w:rsidP="00F26DBD">
            <w:pPr>
              <w:pStyle w:val="NormalWeb"/>
              <w:numPr>
                <w:ilvl w:val="0"/>
                <w:numId w:val="16"/>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The type(s) of personal data processed</w:t>
            </w:r>
          </w:p>
          <w:p w14:paraId="41487849" w14:textId="77777777" w:rsidR="00F26DBD" w:rsidRPr="00F26DBD" w:rsidRDefault="00F26DBD" w:rsidP="00F26DBD">
            <w:pPr>
              <w:pStyle w:val="NormalWeb"/>
              <w:numPr>
                <w:ilvl w:val="0"/>
                <w:numId w:val="16"/>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How and why the personal data is processed, for example,</w:t>
            </w:r>
          </w:p>
          <w:p w14:paraId="143B558C" w14:textId="77777777" w:rsidR="00F26DBD" w:rsidRPr="00F26DBD" w:rsidRDefault="00F26DBD" w:rsidP="00F26DBD">
            <w:pPr>
              <w:pStyle w:val="NormalWeb"/>
              <w:numPr>
                <w:ilvl w:val="1"/>
                <w:numId w:val="17"/>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verifying identity</w:t>
            </w:r>
          </w:p>
          <w:p w14:paraId="434DAB35" w14:textId="77777777" w:rsidR="00F26DBD" w:rsidRPr="00F26DBD" w:rsidRDefault="00F26DBD" w:rsidP="00F26DBD">
            <w:pPr>
              <w:pStyle w:val="NormalWeb"/>
              <w:numPr>
                <w:ilvl w:val="1"/>
                <w:numId w:val="17"/>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communicating service notices</w:t>
            </w:r>
          </w:p>
          <w:p w14:paraId="15ADF7CF" w14:textId="77777777" w:rsidR="00F26DBD" w:rsidRPr="00F26DBD" w:rsidRDefault="00F26DBD" w:rsidP="00F26DBD">
            <w:pPr>
              <w:pStyle w:val="NormalWeb"/>
              <w:numPr>
                <w:ilvl w:val="0"/>
                <w:numId w:val="17"/>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 xml:space="preserve">How long personal data will be </w:t>
            </w:r>
            <w:proofErr w:type="gramStart"/>
            <w:r w:rsidRPr="00F26DBD">
              <w:rPr>
                <w:rFonts w:ascii="Calibri" w:hAnsi="Calibri" w:cs="Calibri"/>
                <w:color w:val="000000"/>
                <w:sz w:val="22"/>
                <w:szCs w:val="22"/>
              </w:rPr>
              <w:t>retained</w:t>
            </w:r>
            <w:proofErr w:type="gramEnd"/>
          </w:p>
          <w:p w14:paraId="4E0874B9" w14:textId="77777777" w:rsidR="00F26DBD" w:rsidRPr="00F26DBD" w:rsidRDefault="00F26DBD" w:rsidP="00F26DBD">
            <w:pPr>
              <w:pStyle w:val="NormalWeb"/>
              <w:numPr>
                <w:ilvl w:val="0"/>
                <w:numId w:val="17"/>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The types of third parties with whom personal data is shared</w:t>
            </w:r>
          </w:p>
          <w:p w14:paraId="3572C3B6" w14:textId="77777777" w:rsidR="00F26DBD" w:rsidRPr="00F26DBD" w:rsidRDefault="00F26DBD" w:rsidP="00F26DBD">
            <w:pPr>
              <w:pStyle w:val="NormalWeb"/>
              <w:numPr>
                <w:ilvl w:val="0"/>
                <w:numId w:val="17"/>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 xml:space="preserve">Where applicable, details of any international data </w:t>
            </w:r>
            <w:r w:rsidRPr="00F26DBD">
              <w:rPr>
                <w:rFonts w:ascii="Calibri" w:hAnsi="Calibri" w:cs="Calibri"/>
                <w:color w:val="000000"/>
                <w:sz w:val="22"/>
                <w:szCs w:val="22"/>
              </w:rPr>
              <w:lastRenderedPageBreak/>
              <w:t>transfers/requirements thereof</w:t>
            </w:r>
          </w:p>
          <w:p w14:paraId="0ECAE32E" w14:textId="77777777" w:rsidR="00F26DBD" w:rsidRPr="00F26DBD" w:rsidRDefault="00F26DBD" w:rsidP="00F26DBD">
            <w:pPr>
              <w:pStyle w:val="NormalWeb"/>
              <w:numPr>
                <w:ilvl w:val="0"/>
                <w:numId w:val="17"/>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Information about the data subject rights and the method by which they can exercise these rights</w:t>
            </w:r>
          </w:p>
          <w:p w14:paraId="187A08D2" w14:textId="77777777" w:rsidR="00F26DBD" w:rsidRPr="00F26DBD" w:rsidRDefault="00F26DBD" w:rsidP="00F26DBD">
            <w:pPr>
              <w:pStyle w:val="NormalWeb"/>
              <w:numPr>
                <w:ilvl w:val="0"/>
                <w:numId w:val="17"/>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Notification of how changes to the privacy policy will be communicated</w:t>
            </w:r>
          </w:p>
          <w:p w14:paraId="1CB1211B" w14:textId="77777777" w:rsidR="00F26DBD" w:rsidRPr="00F26DBD" w:rsidRDefault="00F26DBD" w:rsidP="00F26DBD">
            <w:pPr>
              <w:rPr>
                <w:sz w:val="22"/>
                <w:szCs w:val="22"/>
              </w:rPr>
            </w:pPr>
          </w:p>
          <w:p w14:paraId="6F5ECE4F" w14:textId="58A6664D" w:rsidR="00F26DBD" w:rsidRPr="00F26DBD" w:rsidRDefault="00F26DBD" w:rsidP="00F26DBD">
            <w:pPr>
              <w:pStyle w:val="NormalWeb"/>
              <w:spacing w:before="0" w:beforeAutospacing="0" w:after="0" w:afterAutospacing="0"/>
              <w:rPr>
                <w:sz w:val="22"/>
                <w:szCs w:val="22"/>
              </w:rPr>
            </w:pPr>
            <w:r w:rsidRPr="00F26DBD">
              <w:rPr>
                <w:rFonts w:ascii="Calibri" w:hAnsi="Calibri" w:cs="Calibri"/>
                <w:color w:val="000000"/>
                <w:sz w:val="22"/>
                <w:szCs w:val="22"/>
              </w:rPr>
              <w:t xml:space="preserve">Further consideration should be given during implementation whether updates to the RAA are necessary to ensure compliance with these recommendations. </w:t>
            </w:r>
          </w:p>
        </w:tc>
        <w:tc>
          <w:tcPr>
            <w:tcW w:w="3657" w:type="dxa"/>
            <w:shd w:val="clear" w:color="auto" w:fill="auto"/>
          </w:tcPr>
          <w:p w14:paraId="47104D23" w14:textId="77777777" w:rsidR="00F26DBD" w:rsidRDefault="00F26DBD" w:rsidP="009953C2">
            <w:pPr>
              <w:rPr>
                <w:rFonts w:asciiTheme="minorHAnsi" w:hAnsiTheme="minorHAnsi" w:cstheme="minorHAnsi"/>
                <w:sz w:val="22"/>
                <w:szCs w:val="22"/>
              </w:rPr>
            </w:pPr>
            <w:r w:rsidRPr="00F26DBD">
              <w:rPr>
                <w:rFonts w:asciiTheme="minorHAnsi" w:hAnsiTheme="minorHAnsi" w:cstheme="minorHAnsi"/>
                <w:sz w:val="22"/>
                <w:szCs w:val="22"/>
              </w:rPr>
              <w:lastRenderedPageBreak/>
              <w:t>We should make reference to the component parts and information that a privacy policy must have under the GDPR.</w:t>
            </w:r>
            <w:r>
              <w:rPr>
                <w:rFonts w:asciiTheme="minorHAnsi" w:hAnsiTheme="minorHAnsi" w:cstheme="minorHAnsi"/>
                <w:sz w:val="22"/>
                <w:szCs w:val="22"/>
              </w:rPr>
              <w:t xml:space="preserve"> (ISPCP)</w:t>
            </w:r>
          </w:p>
          <w:p w14:paraId="5ABA507F" w14:textId="77777777" w:rsidR="00202F23" w:rsidRDefault="00202F23" w:rsidP="009953C2">
            <w:pPr>
              <w:rPr>
                <w:sz w:val="22"/>
                <w:szCs w:val="22"/>
              </w:rPr>
            </w:pPr>
          </w:p>
          <w:p w14:paraId="2A075B2F" w14:textId="1D44744D" w:rsidR="00202F23" w:rsidRDefault="00202F23" w:rsidP="009953C2">
            <w:pPr>
              <w:rPr>
                <w:rFonts w:asciiTheme="minorHAnsi" w:hAnsiTheme="minorHAnsi" w:cstheme="minorHAnsi"/>
                <w:sz w:val="22"/>
                <w:szCs w:val="22"/>
              </w:rPr>
            </w:pPr>
            <w:r w:rsidRPr="00202F23">
              <w:rPr>
                <w:rFonts w:asciiTheme="minorHAnsi" w:hAnsiTheme="minorHAnsi" w:cstheme="minorHAnsi"/>
                <w:sz w:val="22"/>
                <w:szCs w:val="22"/>
              </w:rPr>
              <w:t xml:space="preserve">‘The types of third parties with whom personal data is shared’ - Replace with “may be” </w:t>
            </w:r>
            <w:r>
              <w:rPr>
                <w:rFonts w:asciiTheme="minorHAnsi" w:hAnsiTheme="minorHAnsi" w:cstheme="minorHAnsi"/>
                <w:sz w:val="22"/>
                <w:szCs w:val="22"/>
              </w:rPr>
              <w:t>(</w:t>
            </w:r>
            <w:r w:rsidRPr="00202F23">
              <w:rPr>
                <w:rFonts w:asciiTheme="minorHAnsi" w:hAnsiTheme="minorHAnsi" w:cstheme="minorHAnsi"/>
                <w:sz w:val="22"/>
                <w:szCs w:val="22"/>
              </w:rPr>
              <w:t>IPC)</w:t>
            </w:r>
          </w:p>
          <w:p w14:paraId="662E638B" w14:textId="1CADC6D5" w:rsidR="00202F23" w:rsidRDefault="00202F23" w:rsidP="009953C2">
            <w:pPr>
              <w:rPr>
                <w:rFonts w:asciiTheme="minorHAnsi" w:hAnsiTheme="minorHAnsi" w:cstheme="minorHAnsi"/>
                <w:sz w:val="22"/>
                <w:szCs w:val="22"/>
              </w:rPr>
            </w:pPr>
          </w:p>
          <w:p w14:paraId="51B18C1B" w14:textId="4C55AFF9" w:rsidR="00202F23" w:rsidRPr="00202F23" w:rsidRDefault="00202F23" w:rsidP="00202F23">
            <w:pPr>
              <w:rPr>
                <w:rFonts w:asciiTheme="minorHAnsi" w:hAnsiTheme="minorHAnsi" w:cstheme="minorHAnsi"/>
                <w:sz w:val="22"/>
                <w:szCs w:val="22"/>
              </w:rPr>
            </w:pPr>
            <w:r w:rsidRPr="00202F23">
              <w:rPr>
                <w:rFonts w:asciiTheme="minorHAnsi" w:hAnsiTheme="minorHAnsi" w:cstheme="minorHAnsi"/>
                <w:sz w:val="22"/>
                <w:szCs w:val="22"/>
              </w:rPr>
              <w:t>‘Where applicable, details of any international data transfers/requirements thereof’ - To what does thereof refer? If to “transfers”, then edit sentence to read “data transfers and their requirements.”</w:t>
            </w:r>
            <w:r>
              <w:rPr>
                <w:rFonts w:asciiTheme="minorHAnsi" w:hAnsiTheme="minorHAnsi" w:cstheme="minorHAnsi"/>
                <w:sz w:val="22"/>
                <w:szCs w:val="22"/>
              </w:rPr>
              <w:t xml:space="preserve"> (IPC)</w:t>
            </w:r>
          </w:p>
          <w:p w14:paraId="36937C90" w14:textId="77777777" w:rsidR="00202F23" w:rsidRDefault="00202F23" w:rsidP="009953C2">
            <w:pPr>
              <w:rPr>
                <w:rFonts w:asciiTheme="minorHAnsi" w:hAnsiTheme="minorHAnsi" w:cstheme="minorHAnsi"/>
                <w:sz w:val="22"/>
                <w:szCs w:val="22"/>
              </w:rPr>
            </w:pPr>
          </w:p>
          <w:p w14:paraId="231D91C8" w14:textId="7741E8F8" w:rsidR="00202F23" w:rsidRPr="00202F23" w:rsidRDefault="00202F23" w:rsidP="009953C2">
            <w:pPr>
              <w:rPr>
                <w:rFonts w:asciiTheme="minorHAnsi" w:hAnsiTheme="minorHAnsi" w:cstheme="minorHAnsi"/>
                <w:sz w:val="22"/>
                <w:szCs w:val="22"/>
              </w:rPr>
            </w:pPr>
          </w:p>
        </w:tc>
        <w:tc>
          <w:tcPr>
            <w:tcW w:w="3422" w:type="dxa"/>
            <w:shd w:val="clear" w:color="auto" w:fill="auto"/>
          </w:tcPr>
          <w:p w14:paraId="406E5A7B" w14:textId="77777777" w:rsidR="00F26DBD" w:rsidRDefault="00F26DBD" w:rsidP="009953C2">
            <w:pPr>
              <w:rPr>
                <w:rFonts w:asciiTheme="minorHAnsi" w:hAnsiTheme="minorHAnsi" w:cstheme="minorHAnsi"/>
                <w:sz w:val="22"/>
                <w:szCs w:val="22"/>
              </w:rPr>
            </w:pPr>
          </w:p>
        </w:tc>
      </w:tr>
      <w:tr w:rsidR="00F26DBD" w:rsidRPr="005B2D14" w14:paraId="1DDDBC6E" w14:textId="77777777" w:rsidTr="009953C2">
        <w:tc>
          <w:tcPr>
            <w:tcW w:w="641" w:type="dxa"/>
            <w:shd w:val="clear" w:color="auto" w:fill="auto"/>
          </w:tcPr>
          <w:p w14:paraId="5787523B" w14:textId="77777777" w:rsidR="00F26DBD" w:rsidRDefault="00F26DBD"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7D6A8323" w14:textId="0D445F45" w:rsidR="00F26DBD" w:rsidRDefault="00F26DBD" w:rsidP="009953C2">
            <w:pPr>
              <w:rPr>
                <w:rFonts w:asciiTheme="minorHAnsi" w:hAnsiTheme="minorHAnsi" w:cstheme="minorHAnsi"/>
                <w:sz w:val="22"/>
                <w:szCs w:val="22"/>
              </w:rPr>
            </w:pPr>
            <w:r>
              <w:rPr>
                <w:rFonts w:asciiTheme="minorHAnsi" w:hAnsiTheme="minorHAnsi" w:cstheme="minorHAnsi"/>
                <w:sz w:val="22"/>
                <w:szCs w:val="22"/>
              </w:rPr>
              <w:t>29 (Terms of Use)</w:t>
            </w:r>
          </w:p>
        </w:tc>
        <w:tc>
          <w:tcPr>
            <w:tcW w:w="3504" w:type="dxa"/>
            <w:shd w:val="clear" w:color="auto" w:fill="auto"/>
          </w:tcPr>
          <w:p w14:paraId="374D2502" w14:textId="77777777" w:rsidR="00F26DBD" w:rsidRPr="00F26DBD" w:rsidRDefault="00F26DBD" w:rsidP="00F26DBD">
            <w:pPr>
              <w:pStyle w:val="NormalWeb"/>
              <w:spacing w:before="0" w:beforeAutospacing="0" w:after="0" w:afterAutospacing="0"/>
              <w:rPr>
                <w:sz w:val="22"/>
                <w:szCs w:val="22"/>
              </w:rPr>
            </w:pPr>
            <w:r w:rsidRPr="00F26DBD">
              <w:rPr>
                <w:rFonts w:ascii="Calibri" w:hAnsi="Calibri" w:cs="Calibri"/>
                <w:color w:val="000000"/>
                <w:sz w:val="22"/>
                <w:szCs w:val="22"/>
              </w:rPr>
              <w:t>The EPDP recommends, at a minimum, the terms of use shall address:</w:t>
            </w:r>
          </w:p>
          <w:p w14:paraId="259190AD" w14:textId="77777777" w:rsidR="00F26DBD" w:rsidRPr="00F26DBD" w:rsidRDefault="00F26DBD" w:rsidP="00F26DBD">
            <w:pPr>
              <w:rPr>
                <w:sz w:val="22"/>
                <w:szCs w:val="22"/>
              </w:rPr>
            </w:pPr>
          </w:p>
          <w:p w14:paraId="7A35D085" w14:textId="6485365F" w:rsidR="00F26DBD" w:rsidRPr="00F26DBD" w:rsidRDefault="00F26DBD" w:rsidP="00F26DBD">
            <w:pPr>
              <w:pStyle w:val="NormalWeb"/>
              <w:numPr>
                <w:ilvl w:val="0"/>
                <w:numId w:val="18"/>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Indemnification of the disclosing party and ICANN.</w:t>
            </w:r>
          </w:p>
        </w:tc>
        <w:tc>
          <w:tcPr>
            <w:tcW w:w="3657" w:type="dxa"/>
            <w:shd w:val="clear" w:color="auto" w:fill="auto"/>
          </w:tcPr>
          <w:p w14:paraId="0E30F2BE" w14:textId="77777777" w:rsidR="00F26DBD" w:rsidRDefault="00F26DBD" w:rsidP="00F26DBD">
            <w:pPr>
              <w:pStyle w:val="NormalWeb"/>
              <w:spacing w:before="0" w:beforeAutospacing="0" w:after="0" w:afterAutospacing="0"/>
              <w:rPr>
                <w:rFonts w:ascii="Calibri" w:hAnsi="Calibri" w:cs="Calibri"/>
                <w:color w:val="000000"/>
                <w:sz w:val="22"/>
                <w:szCs w:val="22"/>
              </w:rPr>
            </w:pPr>
            <w:r w:rsidRPr="00F26DBD">
              <w:rPr>
                <w:rFonts w:ascii="Calibri" w:hAnsi="Calibri" w:cs="Calibri"/>
                <w:color w:val="000000"/>
                <w:sz w:val="22"/>
                <w:szCs w:val="22"/>
              </w:rPr>
              <w:t>Not only the disclosing party and ICANN, but all parties involved in the SSAD must be indemnified.</w:t>
            </w:r>
            <w:r>
              <w:rPr>
                <w:rFonts w:ascii="Calibri" w:hAnsi="Calibri" w:cs="Calibri"/>
                <w:color w:val="000000"/>
                <w:sz w:val="22"/>
                <w:szCs w:val="22"/>
              </w:rPr>
              <w:t xml:space="preserve"> (ISPCP)</w:t>
            </w:r>
          </w:p>
          <w:p w14:paraId="6B7E351E" w14:textId="77777777" w:rsidR="00F26DBD" w:rsidRDefault="00F26DBD" w:rsidP="00F26DBD">
            <w:pPr>
              <w:pStyle w:val="NormalWeb"/>
              <w:spacing w:before="0" w:beforeAutospacing="0" w:after="0" w:afterAutospacing="0"/>
              <w:rPr>
                <w:rFonts w:ascii="Calibri" w:hAnsi="Calibri" w:cs="Calibri"/>
                <w:color w:val="000000"/>
                <w:sz w:val="22"/>
                <w:szCs w:val="22"/>
              </w:rPr>
            </w:pPr>
          </w:p>
          <w:p w14:paraId="5095FEDF" w14:textId="77777777" w:rsidR="00F26DBD" w:rsidRDefault="00F26DBD" w:rsidP="00F26DBD">
            <w:pPr>
              <w:pStyle w:val="NormalWeb"/>
              <w:spacing w:before="0" w:beforeAutospacing="0" w:after="0" w:afterAutospacing="0"/>
              <w:rPr>
                <w:rFonts w:ascii="Calibri" w:hAnsi="Calibri" w:cs="Calibri"/>
                <w:color w:val="000000"/>
                <w:sz w:val="22"/>
                <w:szCs w:val="22"/>
              </w:rPr>
            </w:pPr>
            <w:r w:rsidRPr="00F26DBD">
              <w:rPr>
                <w:rFonts w:ascii="Calibri" w:hAnsi="Calibri" w:cs="Calibri"/>
                <w:color w:val="000000"/>
                <w:sz w:val="22"/>
                <w:szCs w:val="22"/>
              </w:rPr>
              <w:t>Are we contemplating that requestors indemnify the disclosing party and/or ICANN as a condition of using the SSAD? (GAC)</w:t>
            </w:r>
          </w:p>
          <w:p w14:paraId="5D1F61B6" w14:textId="77777777" w:rsidR="00DF7DFE" w:rsidRDefault="00DF7DFE" w:rsidP="00F26DBD">
            <w:pPr>
              <w:pStyle w:val="NormalWeb"/>
              <w:spacing w:before="0" w:beforeAutospacing="0" w:after="0" w:afterAutospacing="0"/>
            </w:pPr>
          </w:p>
          <w:p w14:paraId="7D8D736D" w14:textId="4AA6861D" w:rsidR="00DF7DFE" w:rsidRPr="00F26DBD" w:rsidRDefault="00DF7DFE" w:rsidP="00F26DBD">
            <w:pPr>
              <w:pStyle w:val="NormalWeb"/>
              <w:spacing w:before="0" w:beforeAutospacing="0" w:after="0" w:afterAutospacing="0"/>
            </w:pPr>
            <w:r w:rsidRPr="00DF7DFE">
              <w:rPr>
                <w:rFonts w:ascii="Calibri" w:hAnsi="Calibri" w:cs="Calibri"/>
                <w:color w:val="000000"/>
                <w:sz w:val="22"/>
                <w:szCs w:val="22"/>
              </w:rPr>
              <w:t>Red flag: this is likely not possible. We can discuss insurance, bonding, and other options, but many requestors (e.g. law enforcement and other government uses) will not be able to indemnify. (IPC)</w:t>
            </w:r>
          </w:p>
        </w:tc>
        <w:tc>
          <w:tcPr>
            <w:tcW w:w="3422" w:type="dxa"/>
            <w:shd w:val="clear" w:color="auto" w:fill="auto"/>
          </w:tcPr>
          <w:p w14:paraId="36921934" w14:textId="77777777" w:rsidR="00F26DBD" w:rsidRDefault="00F26DBD" w:rsidP="009953C2">
            <w:pPr>
              <w:rPr>
                <w:rFonts w:asciiTheme="minorHAnsi" w:hAnsiTheme="minorHAnsi" w:cstheme="minorHAnsi"/>
                <w:sz w:val="22"/>
                <w:szCs w:val="22"/>
              </w:rPr>
            </w:pPr>
          </w:p>
        </w:tc>
      </w:tr>
      <w:tr w:rsidR="00DF7DFE" w:rsidRPr="005B2D14" w14:paraId="476EC31B" w14:textId="77777777" w:rsidTr="009953C2">
        <w:tc>
          <w:tcPr>
            <w:tcW w:w="641" w:type="dxa"/>
            <w:shd w:val="clear" w:color="auto" w:fill="auto"/>
          </w:tcPr>
          <w:p w14:paraId="2358A876" w14:textId="77777777" w:rsidR="00DF7DFE" w:rsidRDefault="00DF7DFE"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1B438A57" w14:textId="22949D5F" w:rsidR="00DF7DFE" w:rsidRDefault="00DF7DFE" w:rsidP="009953C2">
            <w:pPr>
              <w:rPr>
                <w:rFonts w:asciiTheme="minorHAnsi" w:hAnsiTheme="minorHAnsi" w:cstheme="minorHAnsi"/>
                <w:sz w:val="22"/>
                <w:szCs w:val="22"/>
              </w:rPr>
            </w:pPr>
            <w:r>
              <w:rPr>
                <w:rFonts w:asciiTheme="minorHAnsi" w:hAnsiTheme="minorHAnsi" w:cstheme="minorHAnsi"/>
                <w:sz w:val="22"/>
                <w:szCs w:val="22"/>
              </w:rPr>
              <w:t>32 (Logging)</w:t>
            </w:r>
          </w:p>
        </w:tc>
        <w:tc>
          <w:tcPr>
            <w:tcW w:w="3504" w:type="dxa"/>
            <w:shd w:val="clear" w:color="auto" w:fill="auto"/>
          </w:tcPr>
          <w:p w14:paraId="3A660607" w14:textId="77777777" w:rsidR="00DF7DFE" w:rsidRPr="00DF7DFE" w:rsidRDefault="00DF7DFE" w:rsidP="00DF7DFE">
            <w:pPr>
              <w:rPr>
                <w:rFonts w:ascii="Calibri" w:eastAsia="Calibri" w:hAnsi="Calibri" w:cs="Calibri"/>
                <w:sz w:val="22"/>
                <w:szCs w:val="22"/>
              </w:rPr>
            </w:pPr>
            <w:r w:rsidRPr="00DF7DFE">
              <w:rPr>
                <w:rFonts w:ascii="Calibri" w:eastAsia="Calibri" w:hAnsi="Calibri" w:cs="Calibri"/>
                <w:sz w:val="22"/>
                <w:szCs w:val="22"/>
              </w:rPr>
              <w:t>At a minimum, the following events must be logged</w:t>
            </w:r>
          </w:p>
          <w:p w14:paraId="091EEC6C" w14:textId="7701FD14" w:rsidR="00DF7DFE" w:rsidRPr="006B4810" w:rsidRDefault="00DF7DFE" w:rsidP="00DF7DFE">
            <w:pPr>
              <w:rPr>
                <w:rFonts w:ascii="Calibri" w:hAnsi="Calibri" w:cs="Calibri"/>
                <w:color w:val="000000"/>
                <w:sz w:val="22"/>
                <w:szCs w:val="22"/>
              </w:rPr>
            </w:pPr>
            <w:r w:rsidRPr="00DF7DFE">
              <w:rPr>
                <w:rFonts w:ascii="Calibri" w:eastAsia="Calibri" w:hAnsi="Calibri" w:cs="Calibri"/>
                <w:color w:val="000000"/>
                <w:sz w:val="22"/>
                <w:szCs w:val="22"/>
              </w:rPr>
              <w:t>Logging related to the Identity Provider</w:t>
            </w:r>
          </w:p>
        </w:tc>
        <w:tc>
          <w:tcPr>
            <w:tcW w:w="3657" w:type="dxa"/>
            <w:shd w:val="clear" w:color="auto" w:fill="auto"/>
          </w:tcPr>
          <w:p w14:paraId="163B99DC" w14:textId="77777777" w:rsidR="00DF7DFE" w:rsidRDefault="00DF7DFE" w:rsidP="009953C2">
            <w:pPr>
              <w:rPr>
                <w:rFonts w:ascii="Calibri" w:hAnsi="Calibri" w:cs="Calibri"/>
                <w:color w:val="000000"/>
                <w:sz w:val="22"/>
                <w:szCs w:val="22"/>
              </w:rPr>
            </w:pPr>
            <w:r w:rsidRPr="00DF7DFE">
              <w:rPr>
                <w:rFonts w:ascii="Calibri" w:eastAsia="Calibri" w:hAnsi="Calibri" w:cs="Calibri"/>
              </w:rPr>
              <w:t xml:space="preserve">I </w:t>
            </w:r>
            <w:r w:rsidRPr="00DF7DFE">
              <w:rPr>
                <w:rFonts w:ascii="Calibri" w:hAnsi="Calibri" w:cs="Calibri"/>
                <w:color w:val="000000"/>
                <w:sz w:val="22"/>
                <w:szCs w:val="22"/>
              </w:rPr>
              <w:t>think we should split ID provider and accred provider into separate bullets. This verbiage seems to conflate them. (BC)</w:t>
            </w:r>
          </w:p>
          <w:p w14:paraId="5D87BE38" w14:textId="77777777" w:rsidR="00DF7DFE" w:rsidRPr="00DF7DFE" w:rsidRDefault="00DF7DFE" w:rsidP="009953C2">
            <w:pPr>
              <w:rPr>
                <w:rFonts w:ascii="Calibri" w:hAnsi="Calibri" w:cs="Calibri"/>
                <w:color w:val="000000"/>
                <w:sz w:val="22"/>
                <w:szCs w:val="22"/>
              </w:rPr>
            </w:pPr>
          </w:p>
          <w:p w14:paraId="0260A349" w14:textId="71D8D3E6" w:rsidR="00DF7DFE" w:rsidRPr="00DF7DFE" w:rsidRDefault="00DF7DFE" w:rsidP="009953C2">
            <w:pPr>
              <w:rPr>
                <w:rFonts w:ascii="Calibri" w:hAnsi="Calibri" w:cs="Calibri"/>
                <w:color w:val="000000"/>
                <w:sz w:val="22"/>
                <w:szCs w:val="22"/>
              </w:rPr>
            </w:pPr>
            <w:r w:rsidRPr="00DF7DFE">
              <w:rPr>
                <w:rFonts w:ascii="Calibri" w:hAnsi="Calibri" w:cs="Calibri"/>
                <w:color w:val="000000"/>
                <w:sz w:val="22"/>
                <w:szCs w:val="22"/>
              </w:rPr>
              <w:t>Identity or accreditation provider? (IPC)</w:t>
            </w:r>
          </w:p>
        </w:tc>
        <w:tc>
          <w:tcPr>
            <w:tcW w:w="3422" w:type="dxa"/>
            <w:shd w:val="clear" w:color="auto" w:fill="auto"/>
          </w:tcPr>
          <w:p w14:paraId="5064D5E6" w14:textId="77777777" w:rsidR="00DF7DFE" w:rsidRDefault="00DF7DFE" w:rsidP="009953C2">
            <w:pPr>
              <w:rPr>
                <w:rFonts w:asciiTheme="minorHAnsi" w:hAnsiTheme="minorHAnsi" w:cstheme="minorHAnsi"/>
                <w:sz w:val="22"/>
                <w:szCs w:val="22"/>
              </w:rPr>
            </w:pPr>
          </w:p>
        </w:tc>
      </w:tr>
      <w:tr w:rsidR="00F26DBD" w:rsidRPr="005B2D14" w14:paraId="68D76178" w14:textId="77777777" w:rsidTr="009953C2">
        <w:tc>
          <w:tcPr>
            <w:tcW w:w="641" w:type="dxa"/>
            <w:shd w:val="clear" w:color="auto" w:fill="auto"/>
          </w:tcPr>
          <w:p w14:paraId="53EF2EF8" w14:textId="478902D7" w:rsidR="009953C2" w:rsidRDefault="009953C2"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19E9D103" w14:textId="33DA46B7" w:rsidR="009953C2" w:rsidRDefault="009953C2" w:rsidP="009953C2">
            <w:pPr>
              <w:rPr>
                <w:rFonts w:asciiTheme="minorHAnsi" w:hAnsiTheme="minorHAnsi" w:cstheme="minorHAnsi"/>
                <w:sz w:val="22"/>
                <w:szCs w:val="22"/>
              </w:rPr>
            </w:pPr>
            <w:r>
              <w:rPr>
                <w:rFonts w:asciiTheme="minorHAnsi" w:hAnsiTheme="minorHAnsi" w:cstheme="minorHAnsi"/>
                <w:sz w:val="22"/>
                <w:szCs w:val="22"/>
              </w:rPr>
              <w:t>32 (Automation)</w:t>
            </w:r>
          </w:p>
        </w:tc>
        <w:tc>
          <w:tcPr>
            <w:tcW w:w="3504" w:type="dxa"/>
            <w:shd w:val="clear" w:color="auto" w:fill="auto"/>
          </w:tcPr>
          <w:p w14:paraId="3A042FAA" w14:textId="579B9DB6" w:rsidR="009953C2" w:rsidRPr="006B4810" w:rsidRDefault="009953C2" w:rsidP="009953C2">
            <w:r w:rsidRPr="006B4810">
              <w:rPr>
                <w:rFonts w:ascii="Calibri" w:hAnsi="Calibri" w:cs="Calibri"/>
                <w:color w:val="000000"/>
                <w:sz w:val="22"/>
                <w:szCs w:val="22"/>
              </w:rPr>
              <w:t>The SSAD [</w:t>
            </w:r>
            <w:r w:rsidRPr="006B4810">
              <w:rPr>
                <w:rFonts w:ascii="Calibri" w:hAnsi="Calibri" w:cs="Calibri"/>
                <w:i/>
                <w:iCs/>
                <w:color w:val="000000"/>
                <w:sz w:val="22"/>
                <w:szCs w:val="22"/>
              </w:rPr>
              <w:t>must or should</w:t>
            </w:r>
            <w:r w:rsidRPr="006B4810">
              <w:rPr>
                <w:rFonts w:ascii="Calibri" w:hAnsi="Calibri" w:cs="Calibri"/>
                <w:color w:val="000000"/>
                <w:sz w:val="22"/>
                <w:szCs w:val="22"/>
              </w:rPr>
              <w:t>] allow for automation of the processing of well-formed, valid, complete, properly-identified requests from accredited users with some limited and specific set of legal basis and data processing purposes which are yet to be determined. These requests MAY be automatically processed and result in the disclosure of non-public RDS data without human intervention.</w:t>
            </w:r>
          </w:p>
        </w:tc>
        <w:tc>
          <w:tcPr>
            <w:tcW w:w="3657" w:type="dxa"/>
            <w:shd w:val="clear" w:color="auto" w:fill="auto"/>
          </w:tcPr>
          <w:p w14:paraId="48CC489F" w14:textId="77777777" w:rsidR="009953C2" w:rsidRPr="006B4810" w:rsidRDefault="009953C2" w:rsidP="009953C2">
            <w:pPr>
              <w:rPr>
                <w:rFonts w:asciiTheme="minorHAnsi" w:hAnsiTheme="minorHAnsi" w:cstheme="minorHAnsi"/>
                <w:sz w:val="22"/>
                <w:szCs w:val="22"/>
              </w:rPr>
            </w:pPr>
            <w:r w:rsidRPr="006B4810">
              <w:rPr>
                <w:rFonts w:asciiTheme="minorHAnsi" w:hAnsiTheme="minorHAnsi" w:cstheme="minorHAnsi"/>
                <w:sz w:val="22"/>
                <w:szCs w:val="22"/>
              </w:rPr>
              <w:t xml:space="preserve">Revisit factoring in guidance received from ICANN org (see </w:t>
            </w:r>
            <w:hyperlink r:id="rId9" w:tgtFrame="_blank" w:history="1">
              <w:r w:rsidRPr="006B4810">
                <w:rPr>
                  <w:rStyle w:val="Hyperlink"/>
                  <w:rFonts w:asciiTheme="minorHAnsi" w:hAnsiTheme="minorHAnsi" w:cstheme="minorHAnsi"/>
                  <w:sz w:val="22"/>
                  <w:szCs w:val="22"/>
                </w:rPr>
                <w:t>https://mm.icann.org/pipermail/gnso-epdp-team/2019-December/002873.html</w:t>
              </w:r>
            </w:hyperlink>
            <w:r w:rsidRPr="006B4810">
              <w:rPr>
                <w:rFonts w:asciiTheme="minorHAnsi" w:hAnsiTheme="minorHAnsi" w:cstheme="minorHAnsi"/>
                <w:sz w:val="22"/>
                <w:szCs w:val="22"/>
              </w:rPr>
              <w:t>.</w:t>
            </w:r>
          </w:p>
          <w:p w14:paraId="4DA562DA" w14:textId="77777777" w:rsidR="009953C2" w:rsidRPr="006B4810" w:rsidRDefault="009953C2" w:rsidP="009953C2">
            <w:pPr>
              <w:rPr>
                <w:rFonts w:asciiTheme="minorHAnsi" w:hAnsiTheme="minorHAnsi" w:cstheme="minorHAnsi"/>
                <w:sz w:val="22"/>
                <w:szCs w:val="22"/>
              </w:rPr>
            </w:pPr>
          </w:p>
        </w:tc>
        <w:tc>
          <w:tcPr>
            <w:tcW w:w="3422" w:type="dxa"/>
            <w:shd w:val="clear" w:color="auto" w:fill="auto"/>
          </w:tcPr>
          <w:p w14:paraId="5CCE13B8" w14:textId="77777777" w:rsidR="009953C2" w:rsidRDefault="009953C2" w:rsidP="009953C2">
            <w:pPr>
              <w:rPr>
                <w:rFonts w:asciiTheme="minorHAnsi" w:hAnsiTheme="minorHAnsi" w:cstheme="minorHAnsi"/>
                <w:sz w:val="22"/>
                <w:szCs w:val="22"/>
              </w:rPr>
            </w:pPr>
          </w:p>
        </w:tc>
      </w:tr>
      <w:tr w:rsidR="006A2661" w:rsidRPr="005B2D14" w14:paraId="1C3EE156" w14:textId="77777777" w:rsidTr="009953C2">
        <w:tc>
          <w:tcPr>
            <w:tcW w:w="641" w:type="dxa"/>
            <w:shd w:val="clear" w:color="auto" w:fill="auto"/>
          </w:tcPr>
          <w:p w14:paraId="44627D58" w14:textId="6E3ED203" w:rsidR="009953C2" w:rsidRDefault="009953C2" w:rsidP="00C60B34">
            <w:pPr>
              <w:pStyle w:val="ListParagraph"/>
              <w:numPr>
                <w:ilvl w:val="0"/>
                <w:numId w:val="2"/>
              </w:numPr>
              <w:rPr>
                <w:rFonts w:asciiTheme="minorHAnsi" w:hAnsiTheme="minorHAnsi" w:cstheme="minorHAnsi"/>
                <w:sz w:val="22"/>
                <w:szCs w:val="22"/>
              </w:rPr>
            </w:pPr>
          </w:p>
        </w:tc>
        <w:tc>
          <w:tcPr>
            <w:tcW w:w="1726" w:type="dxa"/>
            <w:shd w:val="clear" w:color="auto" w:fill="auto"/>
          </w:tcPr>
          <w:p w14:paraId="116F6C4B" w14:textId="278C1A05" w:rsidR="009953C2" w:rsidRDefault="009953C2" w:rsidP="009953C2">
            <w:pPr>
              <w:rPr>
                <w:rFonts w:asciiTheme="minorHAnsi" w:hAnsiTheme="minorHAnsi" w:cstheme="minorHAnsi"/>
                <w:sz w:val="22"/>
                <w:szCs w:val="22"/>
              </w:rPr>
            </w:pPr>
            <w:r>
              <w:rPr>
                <w:rFonts w:asciiTheme="minorHAnsi" w:hAnsiTheme="minorHAnsi" w:cstheme="minorHAnsi"/>
                <w:sz w:val="22"/>
                <w:szCs w:val="22"/>
              </w:rPr>
              <w:t>35 (Implementation Guidance)</w:t>
            </w:r>
          </w:p>
        </w:tc>
        <w:tc>
          <w:tcPr>
            <w:tcW w:w="3504" w:type="dxa"/>
            <w:shd w:val="clear" w:color="auto" w:fill="auto"/>
          </w:tcPr>
          <w:p w14:paraId="7A9A2C1F" w14:textId="29AE22E8" w:rsidR="009953C2" w:rsidRPr="006B4810" w:rsidRDefault="009953C2" w:rsidP="009953C2">
            <w:pPr>
              <w:rPr>
                <w:sz w:val="22"/>
                <w:szCs w:val="22"/>
              </w:rPr>
            </w:pPr>
            <w:r w:rsidRPr="006B4810">
              <w:rPr>
                <w:rFonts w:ascii="Calibri" w:hAnsi="Calibri" w:cs="Calibri"/>
                <w:color w:val="000000"/>
                <w:sz w:val="22"/>
                <w:szCs w:val="22"/>
              </w:rPr>
              <w:t xml:space="preserve">The EPDP Team recommends that, </w:t>
            </w:r>
            <w:r w:rsidRPr="006B4810">
              <w:rPr>
                <w:rFonts w:ascii="Calibri" w:hAnsi="Calibri" w:cs="Calibri"/>
                <w:i/>
                <w:iCs/>
                <w:color w:val="000000"/>
                <w:sz w:val="22"/>
                <w:szCs w:val="22"/>
              </w:rPr>
              <w:t>consistent with the preliminary recommendation that an SSAD request must be received for each domain name registration for which non-public registration is requested to be disclosed, it must be possible for requestors to submit multiple requests at the same time, for example, by entering multiple domain name registrations in the same request form if the same request information applies.</w:t>
            </w:r>
          </w:p>
        </w:tc>
        <w:tc>
          <w:tcPr>
            <w:tcW w:w="3657" w:type="dxa"/>
            <w:shd w:val="clear" w:color="auto" w:fill="auto"/>
          </w:tcPr>
          <w:p w14:paraId="14BBB6C7" w14:textId="6BAC437F" w:rsidR="009953C2" w:rsidRDefault="009953C2" w:rsidP="009953C2">
            <w:pPr>
              <w:rPr>
                <w:rFonts w:asciiTheme="minorHAnsi" w:hAnsiTheme="minorHAnsi" w:cstheme="minorHAnsi"/>
                <w:sz w:val="22"/>
                <w:szCs w:val="22"/>
              </w:rPr>
            </w:pPr>
            <w:r w:rsidRPr="006B4810">
              <w:rPr>
                <w:rFonts w:asciiTheme="minorHAnsi" w:hAnsiTheme="minorHAnsi" w:cstheme="minorHAnsi"/>
                <w:sz w:val="22"/>
                <w:szCs w:val="22"/>
              </w:rPr>
              <w:t>Problem is, multiple requests at the same time is NOT consistent with the preliminary recommendation. We could not accept this formulation. (NCSG)</w:t>
            </w:r>
          </w:p>
          <w:p w14:paraId="4AA64F61" w14:textId="694019F9" w:rsidR="00DF7DFE" w:rsidRDefault="00DF7DFE" w:rsidP="009953C2">
            <w:pPr>
              <w:rPr>
                <w:rFonts w:asciiTheme="minorHAnsi" w:hAnsiTheme="minorHAnsi" w:cstheme="minorHAnsi"/>
                <w:sz w:val="22"/>
                <w:szCs w:val="22"/>
              </w:rPr>
            </w:pPr>
          </w:p>
          <w:p w14:paraId="5B314836" w14:textId="0D1C380F" w:rsidR="00DF7DFE" w:rsidRDefault="00DF7DFE" w:rsidP="009953C2">
            <w:pPr>
              <w:rPr>
                <w:rFonts w:asciiTheme="minorHAnsi" w:hAnsiTheme="minorHAnsi" w:cstheme="minorHAnsi"/>
                <w:sz w:val="22"/>
                <w:szCs w:val="22"/>
              </w:rPr>
            </w:pPr>
            <w:r w:rsidRPr="00DF7DFE">
              <w:rPr>
                <w:rFonts w:asciiTheme="minorHAnsi" w:hAnsiTheme="minorHAnsi" w:cstheme="minorHAnsi"/>
                <w:sz w:val="22"/>
                <w:szCs w:val="22"/>
              </w:rPr>
              <w:t>I don’t see any inconsistency, as we noted above. (IPC)</w:t>
            </w:r>
          </w:p>
          <w:p w14:paraId="0E9F466F" w14:textId="0F5DBF88" w:rsidR="00DF7DFE" w:rsidRDefault="00DF7DFE" w:rsidP="009953C2">
            <w:pPr>
              <w:rPr>
                <w:rFonts w:asciiTheme="minorHAnsi" w:hAnsiTheme="minorHAnsi" w:cstheme="minorHAnsi"/>
                <w:sz w:val="22"/>
                <w:szCs w:val="22"/>
              </w:rPr>
            </w:pPr>
          </w:p>
          <w:p w14:paraId="1A898885" w14:textId="35BED8D9" w:rsidR="00DF7DFE" w:rsidRDefault="00DF7DFE" w:rsidP="009953C2">
            <w:pPr>
              <w:rPr>
                <w:rFonts w:asciiTheme="minorHAnsi" w:hAnsiTheme="minorHAnsi" w:cstheme="minorHAnsi"/>
                <w:sz w:val="22"/>
                <w:szCs w:val="22"/>
              </w:rPr>
            </w:pPr>
            <w:r w:rsidRPr="00DF7DFE">
              <w:rPr>
                <w:rFonts w:asciiTheme="minorHAnsi" w:hAnsiTheme="minorHAnsi" w:cstheme="minorHAnsi"/>
                <w:sz w:val="22"/>
                <w:szCs w:val="22"/>
              </w:rPr>
              <w:t>I don't envisage any mechanism which would enable this within SSAD (BC)</w:t>
            </w:r>
          </w:p>
          <w:p w14:paraId="7591C8BB" w14:textId="74CEAE35" w:rsidR="00D41DED" w:rsidRDefault="00D41DED" w:rsidP="009953C2">
            <w:pPr>
              <w:rPr>
                <w:rFonts w:asciiTheme="minorHAnsi" w:hAnsiTheme="minorHAnsi" w:cstheme="minorHAnsi"/>
                <w:sz w:val="22"/>
                <w:szCs w:val="22"/>
              </w:rPr>
            </w:pPr>
          </w:p>
          <w:p w14:paraId="079B87EB" w14:textId="410EFD89" w:rsidR="009953C2" w:rsidRPr="00D41DED" w:rsidRDefault="00D41DED" w:rsidP="009953C2">
            <w:r w:rsidRPr="00D41DED">
              <w:rPr>
                <w:rFonts w:asciiTheme="minorHAnsi" w:hAnsiTheme="minorHAnsi" w:cstheme="minorHAnsi"/>
                <w:sz w:val="22"/>
                <w:szCs w:val="22"/>
              </w:rPr>
              <w:t xml:space="preserve">submitting multiple domain names in the same request </w:t>
            </w:r>
            <w:proofErr w:type="spellStart"/>
            <w:r w:rsidRPr="00D41DED">
              <w:rPr>
                <w:rFonts w:asciiTheme="minorHAnsi" w:hAnsiTheme="minorHAnsi" w:cstheme="minorHAnsi"/>
                <w:sz w:val="22"/>
                <w:szCs w:val="22"/>
              </w:rPr>
              <w:t>dos</w:t>
            </w:r>
            <w:proofErr w:type="spellEnd"/>
            <w:r w:rsidRPr="00D41DED">
              <w:rPr>
                <w:rFonts w:asciiTheme="minorHAnsi" w:hAnsiTheme="minorHAnsi" w:cstheme="minorHAnsi"/>
                <w:sz w:val="22"/>
                <w:szCs w:val="22"/>
              </w:rPr>
              <w:t xml:space="preserve"> not mean that it will be handled as one single request (ALAC)</w:t>
            </w:r>
          </w:p>
        </w:tc>
        <w:tc>
          <w:tcPr>
            <w:tcW w:w="3422" w:type="dxa"/>
            <w:shd w:val="clear" w:color="auto" w:fill="auto"/>
          </w:tcPr>
          <w:p w14:paraId="74B9F026" w14:textId="77777777" w:rsidR="009953C2" w:rsidRDefault="009953C2" w:rsidP="009953C2">
            <w:pPr>
              <w:rPr>
                <w:rFonts w:asciiTheme="minorHAnsi" w:hAnsiTheme="minorHAnsi" w:cstheme="minorHAnsi"/>
                <w:sz w:val="22"/>
                <w:szCs w:val="22"/>
              </w:rPr>
            </w:pPr>
          </w:p>
        </w:tc>
      </w:tr>
    </w:tbl>
    <w:p w14:paraId="744EC682" w14:textId="77777777" w:rsidR="00F920FC" w:rsidRPr="005B2D14" w:rsidRDefault="00F920FC">
      <w:pPr>
        <w:rPr>
          <w:rFonts w:asciiTheme="minorHAnsi" w:hAnsiTheme="minorHAnsi" w:cstheme="minorHAnsi"/>
          <w:sz w:val="22"/>
          <w:szCs w:val="22"/>
        </w:rPr>
      </w:pPr>
    </w:p>
    <w:sectPr w:rsidR="00F920FC" w:rsidRPr="005B2D14" w:rsidSect="009953C2">
      <w:footerReference w:type="even"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F5DE6" w14:textId="77777777" w:rsidR="002C4A96" w:rsidRDefault="002C4A96" w:rsidP="0026769E">
      <w:r>
        <w:separator/>
      </w:r>
    </w:p>
  </w:endnote>
  <w:endnote w:type="continuationSeparator" w:id="0">
    <w:p w14:paraId="53E0CAD5" w14:textId="77777777" w:rsidR="002C4A96" w:rsidRDefault="002C4A96" w:rsidP="0026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1940525"/>
      <w:docPartObj>
        <w:docPartGallery w:val="Page Numbers (Bottom of Page)"/>
        <w:docPartUnique/>
      </w:docPartObj>
    </w:sdtPr>
    <w:sdtEndPr>
      <w:rPr>
        <w:rStyle w:val="PageNumber"/>
      </w:rPr>
    </w:sdtEndPr>
    <w:sdtContent>
      <w:p w14:paraId="762090E1" w14:textId="2106FED3" w:rsidR="004C1640" w:rsidRDefault="004C1640" w:rsidP="003455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0BEA19" w14:textId="77777777" w:rsidR="004C1640" w:rsidRDefault="004C1640" w:rsidP="004C16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2853503"/>
      <w:docPartObj>
        <w:docPartGallery w:val="Page Numbers (Bottom of Page)"/>
        <w:docPartUnique/>
      </w:docPartObj>
    </w:sdtPr>
    <w:sdtEndPr>
      <w:rPr>
        <w:rStyle w:val="PageNumber"/>
      </w:rPr>
    </w:sdtEndPr>
    <w:sdtContent>
      <w:p w14:paraId="12373326" w14:textId="595CD39E" w:rsidR="004C1640" w:rsidRDefault="004C1640" w:rsidP="00345535">
        <w:pPr>
          <w:pStyle w:val="Footer"/>
          <w:framePr w:wrap="none" w:vAnchor="text" w:hAnchor="margin" w:xAlign="right" w:y="1"/>
          <w:rPr>
            <w:rStyle w:val="PageNumber"/>
          </w:rPr>
        </w:pPr>
        <w:r w:rsidRPr="004C1640">
          <w:rPr>
            <w:rStyle w:val="PageNumber"/>
            <w:rFonts w:asciiTheme="minorHAnsi" w:hAnsiTheme="minorHAnsi" w:cstheme="minorHAnsi"/>
            <w:sz w:val="22"/>
            <w:szCs w:val="22"/>
          </w:rPr>
          <w:fldChar w:fldCharType="begin"/>
        </w:r>
        <w:r w:rsidRPr="004C1640">
          <w:rPr>
            <w:rStyle w:val="PageNumber"/>
            <w:rFonts w:asciiTheme="minorHAnsi" w:hAnsiTheme="minorHAnsi" w:cstheme="minorHAnsi"/>
            <w:sz w:val="22"/>
            <w:szCs w:val="22"/>
          </w:rPr>
          <w:instrText xml:space="preserve"> PAGE </w:instrText>
        </w:r>
        <w:r w:rsidRPr="004C1640">
          <w:rPr>
            <w:rStyle w:val="PageNumber"/>
            <w:rFonts w:asciiTheme="minorHAnsi" w:hAnsiTheme="minorHAnsi" w:cstheme="minorHAnsi"/>
            <w:sz w:val="22"/>
            <w:szCs w:val="22"/>
          </w:rPr>
          <w:fldChar w:fldCharType="separate"/>
        </w:r>
        <w:r w:rsidRPr="004C1640">
          <w:rPr>
            <w:rStyle w:val="PageNumber"/>
            <w:rFonts w:asciiTheme="minorHAnsi" w:hAnsiTheme="minorHAnsi" w:cstheme="minorHAnsi"/>
            <w:noProof/>
            <w:sz w:val="22"/>
            <w:szCs w:val="22"/>
          </w:rPr>
          <w:t>1</w:t>
        </w:r>
        <w:r w:rsidRPr="004C1640">
          <w:rPr>
            <w:rStyle w:val="PageNumber"/>
            <w:rFonts w:asciiTheme="minorHAnsi" w:hAnsiTheme="minorHAnsi" w:cstheme="minorHAnsi"/>
            <w:sz w:val="22"/>
            <w:szCs w:val="22"/>
          </w:rPr>
          <w:fldChar w:fldCharType="end"/>
        </w:r>
      </w:p>
    </w:sdtContent>
  </w:sdt>
  <w:p w14:paraId="52A15498" w14:textId="77777777" w:rsidR="004C1640" w:rsidRDefault="004C1640" w:rsidP="004C1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4EAE1" w14:textId="77777777" w:rsidR="002C4A96" w:rsidRDefault="002C4A96" w:rsidP="0026769E">
      <w:r>
        <w:separator/>
      </w:r>
    </w:p>
  </w:footnote>
  <w:footnote w:type="continuationSeparator" w:id="0">
    <w:p w14:paraId="58B7262D" w14:textId="77777777" w:rsidR="002C4A96" w:rsidRDefault="002C4A96" w:rsidP="0026769E">
      <w:r>
        <w:continuationSeparator/>
      </w:r>
    </w:p>
  </w:footnote>
  <w:footnote w:id="1">
    <w:p w14:paraId="2E5E2CC8" w14:textId="77777777" w:rsidR="0026769E" w:rsidRDefault="0026769E" w:rsidP="0026769E">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595959"/>
          <w:sz w:val="18"/>
          <w:szCs w:val="18"/>
        </w:rPr>
        <w:t xml:space="preserve"> [</w:t>
      </w:r>
      <w:r>
        <w:rPr>
          <w:rFonts w:ascii="Calibri" w:eastAsia="Calibri" w:hAnsi="Calibri" w:cs="Calibri"/>
          <w:color w:val="595959"/>
          <w:sz w:val="18"/>
          <w:szCs w:val="18"/>
          <w:highlight w:val="yellow"/>
        </w:rPr>
        <w:t>include reference to relevant GDPR provision</w:t>
      </w:r>
      <w:r>
        <w:rPr>
          <w:rFonts w:ascii="Calibri" w:eastAsia="Calibri" w:hAnsi="Calibri" w:cs="Calibri"/>
          <w:color w:val="595959"/>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FD3"/>
    <w:multiLevelType w:val="multilevel"/>
    <w:tmpl w:val="239EA65C"/>
    <w:lvl w:ilvl="0">
      <w:start w:val="1"/>
      <w:numFmt w:val="lowerLetter"/>
      <w:lvlText w:val="%1)"/>
      <w:lvlJc w:val="left"/>
      <w:pPr>
        <w:ind w:left="360" w:hanging="360"/>
      </w:pPr>
    </w:lvl>
    <w:lvl w:ilvl="1">
      <w:start w:val="1"/>
      <w:numFmt w:val="decimal"/>
      <w:lvlText w:val="%2."/>
      <w:lvlJc w:val="left"/>
      <w:pPr>
        <w:ind w:left="1120" w:hanging="40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B56DDD"/>
    <w:multiLevelType w:val="multilevel"/>
    <w:tmpl w:val="00AE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B0B57"/>
    <w:multiLevelType w:val="multilevel"/>
    <w:tmpl w:val="81A8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F3B51"/>
    <w:multiLevelType w:val="multilevel"/>
    <w:tmpl w:val="B98E35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0AF4C59"/>
    <w:multiLevelType w:val="multilevel"/>
    <w:tmpl w:val="7792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C39AA"/>
    <w:multiLevelType w:val="hybridMultilevel"/>
    <w:tmpl w:val="A704BF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595F9A"/>
    <w:multiLevelType w:val="multilevel"/>
    <w:tmpl w:val="DD9C6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7C3FEF"/>
    <w:multiLevelType w:val="multilevel"/>
    <w:tmpl w:val="FB2C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FE5A6C"/>
    <w:multiLevelType w:val="hybridMultilevel"/>
    <w:tmpl w:val="D6E8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0501F"/>
    <w:multiLevelType w:val="multilevel"/>
    <w:tmpl w:val="DFDC9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B4DEE"/>
    <w:multiLevelType w:val="multilevel"/>
    <w:tmpl w:val="F3E42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229ED"/>
    <w:multiLevelType w:val="multilevel"/>
    <w:tmpl w:val="E0BA00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B3513CA"/>
    <w:multiLevelType w:val="multilevel"/>
    <w:tmpl w:val="AA7E52E8"/>
    <w:lvl w:ilvl="0">
      <w:start w:val="1"/>
      <w:numFmt w:val="lowerLetter"/>
      <w:lvlText w:val="%1)"/>
      <w:lvlJc w:val="left"/>
      <w:pPr>
        <w:ind w:left="360" w:hanging="360"/>
      </w:pPr>
      <w:rPr>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6433C77"/>
    <w:multiLevelType w:val="hybridMultilevel"/>
    <w:tmpl w:val="C6007688"/>
    <w:lvl w:ilvl="0" w:tplc="A8041AAE">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8110B7"/>
    <w:multiLevelType w:val="multilevel"/>
    <w:tmpl w:val="EA02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023B6"/>
    <w:multiLevelType w:val="multilevel"/>
    <w:tmpl w:val="47BE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95472"/>
    <w:multiLevelType w:val="multilevel"/>
    <w:tmpl w:val="D1646B5C"/>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7" w15:restartNumberingAfterBreak="0">
    <w:nsid w:val="5A094C8D"/>
    <w:multiLevelType w:val="multilevel"/>
    <w:tmpl w:val="09AE91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0172D0F"/>
    <w:multiLevelType w:val="multilevel"/>
    <w:tmpl w:val="9CF4E0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3B155D1"/>
    <w:multiLevelType w:val="multilevel"/>
    <w:tmpl w:val="012A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262CB0"/>
    <w:multiLevelType w:val="multilevel"/>
    <w:tmpl w:val="3B0A61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A3F4B81"/>
    <w:multiLevelType w:val="multilevel"/>
    <w:tmpl w:val="BDD6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683348"/>
    <w:multiLevelType w:val="multilevel"/>
    <w:tmpl w:val="F984E3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940612"/>
    <w:multiLevelType w:val="multilevel"/>
    <w:tmpl w:val="28BE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7276D8"/>
    <w:multiLevelType w:val="multilevel"/>
    <w:tmpl w:val="24FEA4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9AE6AFE"/>
    <w:multiLevelType w:val="multilevel"/>
    <w:tmpl w:val="DCDA52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abstractNumId w:val="10"/>
    <w:lvlOverride w:ilvl="0">
      <w:lvl w:ilvl="0">
        <w:numFmt w:val="lowerLetter"/>
        <w:lvlText w:val="%1."/>
        <w:lvlJc w:val="left"/>
      </w:lvl>
    </w:lvlOverride>
  </w:num>
  <w:num w:numId="2">
    <w:abstractNumId w:val="13"/>
  </w:num>
  <w:num w:numId="3">
    <w:abstractNumId w:val="5"/>
  </w:num>
  <w:num w:numId="4">
    <w:abstractNumId w:val="21"/>
  </w:num>
  <w:num w:numId="5">
    <w:abstractNumId w:val="11"/>
  </w:num>
  <w:num w:numId="6">
    <w:abstractNumId w:val="2"/>
    <w:lvlOverride w:ilvl="0">
      <w:lvl w:ilvl="0">
        <w:numFmt w:val="lowerLetter"/>
        <w:lvlText w:val="%1."/>
        <w:lvlJc w:val="left"/>
      </w:lvl>
    </w:lvlOverride>
  </w:num>
  <w:num w:numId="7">
    <w:abstractNumId w:val="14"/>
    <w:lvlOverride w:ilvl="1">
      <w:lvl w:ilvl="1">
        <w:numFmt w:val="bullet"/>
        <w:lvlText w:val=""/>
        <w:lvlJc w:val="left"/>
        <w:pPr>
          <w:tabs>
            <w:tab w:val="num" w:pos="360"/>
          </w:tabs>
          <w:ind w:left="360" w:hanging="360"/>
        </w:pPr>
        <w:rPr>
          <w:rFonts w:ascii="Symbol" w:hAnsi="Symbol" w:hint="default"/>
          <w:sz w:val="20"/>
        </w:rPr>
      </w:lvl>
    </w:lvlOverride>
  </w:num>
  <w:num w:numId="8">
    <w:abstractNumId w:val="7"/>
  </w:num>
  <w:num w:numId="9">
    <w:abstractNumId w:val="16"/>
  </w:num>
  <w:num w:numId="10">
    <w:abstractNumId w:val="16"/>
    <w:lvlOverride w:ilvl="1">
      <w:lvl w:ilvl="1">
        <w:numFmt w:val="bullet"/>
        <w:lvlText w:val=""/>
        <w:lvlJc w:val="left"/>
        <w:pPr>
          <w:tabs>
            <w:tab w:val="num" w:pos="1440"/>
          </w:tabs>
          <w:ind w:left="1440" w:hanging="360"/>
        </w:pPr>
        <w:rPr>
          <w:rFonts w:ascii="Symbol" w:hAnsi="Symbol" w:hint="default"/>
          <w:sz w:val="20"/>
        </w:rPr>
      </w:lvl>
    </w:lvlOverride>
  </w:num>
  <w:num w:numId="11">
    <w:abstractNumId w:val="4"/>
  </w:num>
  <w:num w:numId="12">
    <w:abstractNumId w:val="15"/>
  </w:num>
  <w:num w:numId="13">
    <w:abstractNumId w:val="1"/>
  </w:num>
  <w:num w:numId="14">
    <w:abstractNumId w:val="25"/>
  </w:num>
  <w:num w:numId="15">
    <w:abstractNumId w:val="23"/>
    <w:lvlOverride w:ilvl="0">
      <w:lvl w:ilvl="0">
        <w:numFmt w:val="lowerLetter"/>
        <w:lvlText w:val="%1."/>
        <w:lvlJc w:val="left"/>
      </w:lvl>
    </w:lvlOverride>
  </w:num>
  <w:num w:numId="16">
    <w:abstractNumId w:val="22"/>
  </w:num>
  <w:num w:numId="17">
    <w:abstractNumId w:val="22"/>
    <w:lvlOverride w:ilvl="1">
      <w:lvl w:ilvl="1">
        <w:numFmt w:val="bullet"/>
        <w:lvlText w:val=""/>
        <w:lvlJc w:val="left"/>
        <w:pPr>
          <w:tabs>
            <w:tab w:val="num" w:pos="1440"/>
          </w:tabs>
          <w:ind w:left="1440" w:hanging="360"/>
        </w:pPr>
        <w:rPr>
          <w:rFonts w:ascii="Symbol" w:hAnsi="Symbol" w:hint="default"/>
          <w:sz w:val="20"/>
        </w:rPr>
      </w:lvl>
    </w:lvlOverride>
  </w:num>
  <w:num w:numId="18">
    <w:abstractNumId w:val="24"/>
  </w:num>
  <w:num w:numId="19">
    <w:abstractNumId w:val="3"/>
  </w:num>
  <w:num w:numId="20">
    <w:abstractNumId w:val="6"/>
  </w:num>
  <w:num w:numId="21">
    <w:abstractNumId w:val="19"/>
  </w:num>
  <w:num w:numId="22">
    <w:abstractNumId w:val="9"/>
    <w:lvlOverride w:ilvl="1">
      <w:lvl w:ilvl="1">
        <w:numFmt w:val="bullet"/>
        <w:lvlText w:val=""/>
        <w:lvlJc w:val="left"/>
        <w:pPr>
          <w:tabs>
            <w:tab w:val="num" w:pos="720"/>
          </w:tabs>
          <w:ind w:left="720" w:hanging="360"/>
        </w:pPr>
        <w:rPr>
          <w:rFonts w:ascii="Symbol" w:hAnsi="Symbol" w:hint="default"/>
          <w:sz w:val="20"/>
        </w:rPr>
      </w:lvl>
    </w:lvlOverride>
  </w:num>
  <w:num w:numId="23">
    <w:abstractNumId w:val="18"/>
  </w:num>
  <w:num w:numId="24">
    <w:abstractNumId w:val="18"/>
    <w:lvlOverride w:ilvl="1">
      <w:lvl w:ilvl="1">
        <w:numFmt w:val="bullet"/>
        <w:lvlText w:val=""/>
        <w:lvlJc w:val="left"/>
        <w:pPr>
          <w:tabs>
            <w:tab w:val="num" w:pos="1440"/>
          </w:tabs>
          <w:ind w:left="1440" w:hanging="360"/>
        </w:pPr>
        <w:rPr>
          <w:rFonts w:ascii="Symbol" w:hAnsi="Symbol" w:hint="default"/>
          <w:sz w:val="20"/>
        </w:rPr>
      </w:lvl>
    </w:lvlOverride>
  </w:num>
  <w:num w:numId="25">
    <w:abstractNumId w:val="20"/>
  </w:num>
  <w:num w:numId="26">
    <w:abstractNumId w:val="17"/>
  </w:num>
  <w:num w:numId="27">
    <w:abstractNumId w:val="12"/>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FC"/>
    <w:rsid w:val="000B7A30"/>
    <w:rsid w:val="0010612F"/>
    <w:rsid w:val="00154D87"/>
    <w:rsid w:val="001F1FEF"/>
    <w:rsid w:val="00202F23"/>
    <w:rsid w:val="00205315"/>
    <w:rsid w:val="0023175F"/>
    <w:rsid w:val="00246C3B"/>
    <w:rsid w:val="0026769E"/>
    <w:rsid w:val="002C4A96"/>
    <w:rsid w:val="003215F7"/>
    <w:rsid w:val="00385D74"/>
    <w:rsid w:val="00420437"/>
    <w:rsid w:val="004B137E"/>
    <w:rsid w:val="004C1640"/>
    <w:rsid w:val="005B2D14"/>
    <w:rsid w:val="005E720C"/>
    <w:rsid w:val="005F102F"/>
    <w:rsid w:val="0069186A"/>
    <w:rsid w:val="006930F5"/>
    <w:rsid w:val="006A2661"/>
    <w:rsid w:val="006B4810"/>
    <w:rsid w:val="007F1FED"/>
    <w:rsid w:val="0083432C"/>
    <w:rsid w:val="008363A6"/>
    <w:rsid w:val="00904FE9"/>
    <w:rsid w:val="009140DA"/>
    <w:rsid w:val="009953C2"/>
    <w:rsid w:val="009F66B0"/>
    <w:rsid w:val="00AF7278"/>
    <w:rsid w:val="00B3310D"/>
    <w:rsid w:val="00B34569"/>
    <w:rsid w:val="00B6427C"/>
    <w:rsid w:val="00BE5129"/>
    <w:rsid w:val="00C60B34"/>
    <w:rsid w:val="00C924B8"/>
    <w:rsid w:val="00D41DED"/>
    <w:rsid w:val="00DF7DFE"/>
    <w:rsid w:val="00E50F98"/>
    <w:rsid w:val="00E53B3D"/>
    <w:rsid w:val="00E941FD"/>
    <w:rsid w:val="00E95488"/>
    <w:rsid w:val="00EC293C"/>
    <w:rsid w:val="00EF35AF"/>
    <w:rsid w:val="00F10689"/>
    <w:rsid w:val="00F26DBD"/>
    <w:rsid w:val="00F76A69"/>
    <w:rsid w:val="00F920FC"/>
    <w:rsid w:val="00FA4A7A"/>
    <w:rsid w:val="00FB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069C"/>
  <w15:chartTrackingRefBased/>
  <w15:docId w15:val="{D9D783F6-4F2D-FF4C-8B7C-9AC62D5A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4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5F7"/>
    <w:pPr>
      <w:ind w:left="720"/>
      <w:contextualSpacing/>
    </w:pPr>
  </w:style>
  <w:style w:type="paragraph" w:styleId="NormalWeb">
    <w:name w:val="Normal (Web)"/>
    <w:basedOn w:val="Normal"/>
    <w:uiPriority w:val="99"/>
    <w:unhideWhenUsed/>
    <w:rsid w:val="006B4810"/>
    <w:pPr>
      <w:spacing w:before="100" w:beforeAutospacing="1" w:after="100" w:afterAutospacing="1"/>
    </w:pPr>
  </w:style>
  <w:style w:type="character" w:styleId="Hyperlink">
    <w:name w:val="Hyperlink"/>
    <w:basedOn w:val="DefaultParagraphFont"/>
    <w:uiPriority w:val="99"/>
    <w:unhideWhenUsed/>
    <w:rsid w:val="006B4810"/>
    <w:rPr>
      <w:color w:val="0000FF"/>
      <w:u w:val="single"/>
    </w:rPr>
  </w:style>
  <w:style w:type="paragraph" w:styleId="BalloonText">
    <w:name w:val="Balloon Text"/>
    <w:basedOn w:val="Normal"/>
    <w:link w:val="BalloonTextChar"/>
    <w:uiPriority w:val="99"/>
    <w:semiHidden/>
    <w:unhideWhenUsed/>
    <w:rsid w:val="006930F5"/>
    <w:rPr>
      <w:sz w:val="18"/>
      <w:szCs w:val="18"/>
    </w:rPr>
  </w:style>
  <w:style w:type="character" w:customStyle="1" w:styleId="BalloonTextChar">
    <w:name w:val="Balloon Text Char"/>
    <w:basedOn w:val="DefaultParagraphFont"/>
    <w:link w:val="BalloonText"/>
    <w:uiPriority w:val="99"/>
    <w:semiHidden/>
    <w:rsid w:val="006930F5"/>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69186A"/>
    <w:rPr>
      <w:sz w:val="16"/>
      <w:szCs w:val="16"/>
    </w:rPr>
  </w:style>
  <w:style w:type="paragraph" w:styleId="CommentText">
    <w:name w:val="annotation text"/>
    <w:basedOn w:val="Normal"/>
    <w:link w:val="CommentTextChar"/>
    <w:uiPriority w:val="99"/>
    <w:unhideWhenUsed/>
    <w:rsid w:val="0069186A"/>
    <w:rPr>
      <w:rFonts w:ascii="Calibri" w:hAnsi="Calibri" w:cstheme="minorBidi"/>
      <w:sz w:val="20"/>
      <w:szCs w:val="20"/>
    </w:rPr>
  </w:style>
  <w:style w:type="character" w:customStyle="1" w:styleId="CommentTextChar">
    <w:name w:val="Comment Text Char"/>
    <w:basedOn w:val="DefaultParagraphFont"/>
    <w:link w:val="CommentText"/>
    <w:uiPriority w:val="99"/>
    <w:rsid w:val="0069186A"/>
    <w:rPr>
      <w:rFonts w:ascii="Calibri" w:eastAsia="Times New Roman" w:hAnsi="Calibri"/>
      <w:sz w:val="20"/>
      <w:szCs w:val="20"/>
    </w:rPr>
  </w:style>
  <w:style w:type="character" w:styleId="FootnoteReference">
    <w:name w:val="footnote reference"/>
    <w:basedOn w:val="DefaultParagraphFont"/>
    <w:uiPriority w:val="99"/>
    <w:unhideWhenUsed/>
    <w:qFormat/>
    <w:rsid w:val="0026769E"/>
    <w:rPr>
      <w:rFonts w:ascii="Calibri" w:hAnsi="Calibri"/>
      <w:vertAlign w:val="superscript"/>
    </w:rPr>
  </w:style>
  <w:style w:type="paragraph" w:styleId="Footer">
    <w:name w:val="footer"/>
    <w:basedOn w:val="Normal"/>
    <w:link w:val="FooterChar"/>
    <w:uiPriority w:val="99"/>
    <w:unhideWhenUsed/>
    <w:rsid w:val="004C1640"/>
    <w:pPr>
      <w:tabs>
        <w:tab w:val="center" w:pos="4680"/>
        <w:tab w:val="right" w:pos="9360"/>
      </w:tabs>
    </w:pPr>
  </w:style>
  <w:style w:type="character" w:customStyle="1" w:styleId="FooterChar">
    <w:name w:val="Footer Char"/>
    <w:basedOn w:val="DefaultParagraphFont"/>
    <w:link w:val="Footer"/>
    <w:uiPriority w:val="99"/>
    <w:rsid w:val="004C1640"/>
    <w:rPr>
      <w:rFonts w:ascii="Times New Roman" w:eastAsia="Times New Roman" w:hAnsi="Times New Roman" w:cs="Times New Roman"/>
    </w:rPr>
  </w:style>
  <w:style w:type="character" w:styleId="PageNumber">
    <w:name w:val="page number"/>
    <w:basedOn w:val="DefaultParagraphFont"/>
    <w:uiPriority w:val="99"/>
    <w:semiHidden/>
    <w:unhideWhenUsed/>
    <w:rsid w:val="004C1640"/>
  </w:style>
  <w:style w:type="paragraph" w:styleId="Header">
    <w:name w:val="header"/>
    <w:basedOn w:val="Normal"/>
    <w:link w:val="HeaderChar"/>
    <w:uiPriority w:val="99"/>
    <w:unhideWhenUsed/>
    <w:rsid w:val="004C1640"/>
    <w:pPr>
      <w:tabs>
        <w:tab w:val="center" w:pos="4680"/>
        <w:tab w:val="right" w:pos="9360"/>
      </w:tabs>
    </w:pPr>
  </w:style>
  <w:style w:type="character" w:customStyle="1" w:styleId="HeaderChar">
    <w:name w:val="Header Char"/>
    <w:basedOn w:val="DefaultParagraphFont"/>
    <w:link w:val="Header"/>
    <w:uiPriority w:val="99"/>
    <w:rsid w:val="004C164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C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8733">
      <w:bodyDiv w:val="1"/>
      <w:marLeft w:val="0"/>
      <w:marRight w:val="0"/>
      <w:marTop w:val="0"/>
      <w:marBottom w:val="0"/>
      <w:divBdr>
        <w:top w:val="none" w:sz="0" w:space="0" w:color="auto"/>
        <w:left w:val="none" w:sz="0" w:space="0" w:color="auto"/>
        <w:bottom w:val="none" w:sz="0" w:space="0" w:color="auto"/>
        <w:right w:val="none" w:sz="0" w:space="0" w:color="auto"/>
      </w:divBdr>
    </w:div>
    <w:div w:id="118186803">
      <w:bodyDiv w:val="1"/>
      <w:marLeft w:val="0"/>
      <w:marRight w:val="0"/>
      <w:marTop w:val="0"/>
      <w:marBottom w:val="0"/>
      <w:divBdr>
        <w:top w:val="none" w:sz="0" w:space="0" w:color="auto"/>
        <w:left w:val="none" w:sz="0" w:space="0" w:color="auto"/>
        <w:bottom w:val="none" w:sz="0" w:space="0" w:color="auto"/>
        <w:right w:val="none" w:sz="0" w:space="0" w:color="auto"/>
      </w:divBdr>
    </w:div>
    <w:div w:id="149912127">
      <w:bodyDiv w:val="1"/>
      <w:marLeft w:val="0"/>
      <w:marRight w:val="0"/>
      <w:marTop w:val="0"/>
      <w:marBottom w:val="0"/>
      <w:divBdr>
        <w:top w:val="none" w:sz="0" w:space="0" w:color="auto"/>
        <w:left w:val="none" w:sz="0" w:space="0" w:color="auto"/>
        <w:bottom w:val="none" w:sz="0" w:space="0" w:color="auto"/>
        <w:right w:val="none" w:sz="0" w:space="0" w:color="auto"/>
      </w:divBdr>
    </w:div>
    <w:div w:id="153424481">
      <w:bodyDiv w:val="1"/>
      <w:marLeft w:val="0"/>
      <w:marRight w:val="0"/>
      <w:marTop w:val="0"/>
      <w:marBottom w:val="0"/>
      <w:divBdr>
        <w:top w:val="none" w:sz="0" w:space="0" w:color="auto"/>
        <w:left w:val="none" w:sz="0" w:space="0" w:color="auto"/>
        <w:bottom w:val="none" w:sz="0" w:space="0" w:color="auto"/>
        <w:right w:val="none" w:sz="0" w:space="0" w:color="auto"/>
      </w:divBdr>
    </w:div>
    <w:div w:id="180556309">
      <w:bodyDiv w:val="1"/>
      <w:marLeft w:val="0"/>
      <w:marRight w:val="0"/>
      <w:marTop w:val="0"/>
      <w:marBottom w:val="0"/>
      <w:divBdr>
        <w:top w:val="none" w:sz="0" w:space="0" w:color="auto"/>
        <w:left w:val="none" w:sz="0" w:space="0" w:color="auto"/>
        <w:bottom w:val="none" w:sz="0" w:space="0" w:color="auto"/>
        <w:right w:val="none" w:sz="0" w:space="0" w:color="auto"/>
      </w:divBdr>
    </w:div>
    <w:div w:id="207958929">
      <w:bodyDiv w:val="1"/>
      <w:marLeft w:val="0"/>
      <w:marRight w:val="0"/>
      <w:marTop w:val="0"/>
      <w:marBottom w:val="0"/>
      <w:divBdr>
        <w:top w:val="none" w:sz="0" w:space="0" w:color="auto"/>
        <w:left w:val="none" w:sz="0" w:space="0" w:color="auto"/>
        <w:bottom w:val="none" w:sz="0" w:space="0" w:color="auto"/>
        <w:right w:val="none" w:sz="0" w:space="0" w:color="auto"/>
      </w:divBdr>
    </w:div>
    <w:div w:id="229310673">
      <w:bodyDiv w:val="1"/>
      <w:marLeft w:val="0"/>
      <w:marRight w:val="0"/>
      <w:marTop w:val="0"/>
      <w:marBottom w:val="0"/>
      <w:divBdr>
        <w:top w:val="none" w:sz="0" w:space="0" w:color="auto"/>
        <w:left w:val="none" w:sz="0" w:space="0" w:color="auto"/>
        <w:bottom w:val="none" w:sz="0" w:space="0" w:color="auto"/>
        <w:right w:val="none" w:sz="0" w:space="0" w:color="auto"/>
      </w:divBdr>
    </w:div>
    <w:div w:id="237634938">
      <w:bodyDiv w:val="1"/>
      <w:marLeft w:val="0"/>
      <w:marRight w:val="0"/>
      <w:marTop w:val="0"/>
      <w:marBottom w:val="0"/>
      <w:divBdr>
        <w:top w:val="none" w:sz="0" w:space="0" w:color="auto"/>
        <w:left w:val="none" w:sz="0" w:space="0" w:color="auto"/>
        <w:bottom w:val="none" w:sz="0" w:space="0" w:color="auto"/>
        <w:right w:val="none" w:sz="0" w:space="0" w:color="auto"/>
      </w:divBdr>
    </w:div>
    <w:div w:id="249436621">
      <w:bodyDiv w:val="1"/>
      <w:marLeft w:val="0"/>
      <w:marRight w:val="0"/>
      <w:marTop w:val="0"/>
      <w:marBottom w:val="0"/>
      <w:divBdr>
        <w:top w:val="none" w:sz="0" w:space="0" w:color="auto"/>
        <w:left w:val="none" w:sz="0" w:space="0" w:color="auto"/>
        <w:bottom w:val="none" w:sz="0" w:space="0" w:color="auto"/>
        <w:right w:val="none" w:sz="0" w:space="0" w:color="auto"/>
      </w:divBdr>
    </w:div>
    <w:div w:id="253366008">
      <w:bodyDiv w:val="1"/>
      <w:marLeft w:val="0"/>
      <w:marRight w:val="0"/>
      <w:marTop w:val="0"/>
      <w:marBottom w:val="0"/>
      <w:divBdr>
        <w:top w:val="none" w:sz="0" w:space="0" w:color="auto"/>
        <w:left w:val="none" w:sz="0" w:space="0" w:color="auto"/>
        <w:bottom w:val="none" w:sz="0" w:space="0" w:color="auto"/>
        <w:right w:val="none" w:sz="0" w:space="0" w:color="auto"/>
      </w:divBdr>
    </w:div>
    <w:div w:id="257637305">
      <w:bodyDiv w:val="1"/>
      <w:marLeft w:val="0"/>
      <w:marRight w:val="0"/>
      <w:marTop w:val="0"/>
      <w:marBottom w:val="0"/>
      <w:divBdr>
        <w:top w:val="none" w:sz="0" w:space="0" w:color="auto"/>
        <w:left w:val="none" w:sz="0" w:space="0" w:color="auto"/>
        <w:bottom w:val="none" w:sz="0" w:space="0" w:color="auto"/>
        <w:right w:val="none" w:sz="0" w:space="0" w:color="auto"/>
      </w:divBdr>
    </w:div>
    <w:div w:id="258025516">
      <w:bodyDiv w:val="1"/>
      <w:marLeft w:val="0"/>
      <w:marRight w:val="0"/>
      <w:marTop w:val="0"/>
      <w:marBottom w:val="0"/>
      <w:divBdr>
        <w:top w:val="none" w:sz="0" w:space="0" w:color="auto"/>
        <w:left w:val="none" w:sz="0" w:space="0" w:color="auto"/>
        <w:bottom w:val="none" w:sz="0" w:space="0" w:color="auto"/>
        <w:right w:val="none" w:sz="0" w:space="0" w:color="auto"/>
      </w:divBdr>
    </w:div>
    <w:div w:id="259023987">
      <w:bodyDiv w:val="1"/>
      <w:marLeft w:val="0"/>
      <w:marRight w:val="0"/>
      <w:marTop w:val="0"/>
      <w:marBottom w:val="0"/>
      <w:divBdr>
        <w:top w:val="none" w:sz="0" w:space="0" w:color="auto"/>
        <w:left w:val="none" w:sz="0" w:space="0" w:color="auto"/>
        <w:bottom w:val="none" w:sz="0" w:space="0" w:color="auto"/>
        <w:right w:val="none" w:sz="0" w:space="0" w:color="auto"/>
      </w:divBdr>
    </w:div>
    <w:div w:id="259339363">
      <w:bodyDiv w:val="1"/>
      <w:marLeft w:val="0"/>
      <w:marRight w:val="0"/>
      <w:marTop w:val="0"/>
      <w:marBottom w:val="0"/>
      <w:divBdr>
        <w:top w:val="none" w:sz="0" w:space="0" w:color="auto"/>
        <w:left w:val="none" w:sz="0" w:space="0" w:color="auto"/>
        <w:bottom w:val="none" w:sz="0" w:space="0" w:color="auto"/>
        <w:right w:val="none" w:sz="0" w:space="0" w:color="auto"/>
      </w:divBdr>
    </w:div>
    <w:div w:id="306671792">
      <w:bodyDiv w:val="1"/>
      <w:marLeft w:val="0"/>
      <w:marRight w:val="0"/>
      <w:marTop w:val="0"/>
      <w:marBottom w:val="0"/>
      <w:divBdr>
        <w:top w:val="none" w:sz="0" w:space="0" w:color="auto"/>
        <w:left w:val="none" w:sz="0" w:space="0" w:color="auto"/>
        <w:bottom w:val="none" w:sz="0" w:space="0" w:color="auto"/>
        <w:right w:val="none" w:sz="0" w:space="0" w:color="auto"/>
      </w:divBdr>
    </w:div>
    <w:div w:id="334500783">
      <w:bodyDiv w:val="1"/>
      <w:marLeft w:val="0"/>
      <w:marRight w:val="0"/>
      <w:marTop w:val="0"/>
      <w:marBottom w:val="0"/>
      <w:divBdr>
        <w:top w:val="none" w:sz="0" w:space="0" w:color="auto"/>
        <w:left w:val="none" w:sz="0" w:space="0" w:color="auto"/>
        <w:bottom w:val="none" w:sz="0" w:space="0" w:color="auto"/>
        <w:right w:val="none" w:sz="0" w:space="0" w:color="auto"/>
      </w:divBdr>
    </w:div>
    <w:div w:id="349187767">
      <w:bodyDiv w:val="1"/>
      <w:marLeft w:val="0"/>
      <w:marRight w:val="0"/>
      <w:marTop w:val="0"/>
      <w:marBottom w:val="0"/>
      <w:divBdr>
        <w:top w:val="none" w:sz="0" w:space="0" w:color="auto"/>
        <w:left w:val="none" w:sz="0" w:space="0" w:color="auto"/>
        <w:bottom w:val="none" w:sz="0" w:space="0" w:color="auto"/>
        <w:right w:val="none" w:sz="0" w:space="0" w:color="auto"/>
      </w:divBdr>
    </w:div>
    <w:div w:id="349717452">
      <w:bodyDiv w:val="1"/>
      <w:marLeft w:val="0"/>
      <w:marRight w:val="0"/>
      <w:marTop w:val="0"/>
      <w:marBottom w:val="0"/>
      <w:divBdr>
        <w:top w:val="none" w:sz="0" w:space="0" w:color="auto"/>
        <w:left w:val="none" w:sz="0" w:space="0" w:color="auto"/>
        <w:bottom w:val="none" w:sz="0" w:space="0" w:color="auto"/>
        <w:right w:val="none" w:sz="0" w:space="0" w:color="auto"/>
      </w:divBdr>
    </w:div>
    <w:div w:id="417678134">
      <w:bodyDiv w:val="1"/>
      <w:marLeft w:val="0"/>
      <w:marRight w:val="0"/>
      <w:marTop w:val="0"/>
      <w:marBottom w:val="0"/>
      <w:divBdr>
        <w:top w:val="none" w:sz="0" w:space="0" w:color="auto"/>
        <w:left w:val="none" w:sz="0" w:space="0" w:color="auto"/>
        <w:bottom w:val="none" w:sz="0" w:space="0" w:color="auto"/>
        <w:right w:val="none" w:sz="0" w:space="0" w:color="auto"/>
      </w:divBdr>
    </w:div>
    <w:div w:id="435322708">
      <w:bodyDiv w:val="1"/>
      <w:marLeft w:val="0"/>
      <w:marRight w:val="0"/>
      <w:marTop w:val="0"/>
      <w:marBottom w:val="0"/>
      <w:divBdr>
        <w:top w:val="none" w:sz="0" w:space="0" w:color="auto"/>
        <w:left w:val="none" w:sz="0" w:space="0" w:color="auto"/>
        <w:bottom w:val="none" w:sz="0" w:space="0" w:color="auto"/>
        <w:right w:val="none" w:sz="0" w:space="0" w:color="auto"/>
      </w:divBdr>
    </w:div>
    <w:div w:id="454831040">
      <w:bodyDiv w:val="1"/>
      <w:marLeft w:val="0"/>
      <w:marRight w:val="0"/>
      <w:marTop w:val="0"/>
      <w:marBottom w:val="0"/>
      <w:divBdr>
        <w:top w:val="none" w:sz="0" w:space="0" w:color="auto"/>
        <w:left w:val="none" w:sz="0" w:space="0" w:color="auto"/>
        <w:bottom w:val="none" w:sz="0" w:space="0" w:color="auto"/>
        <w:right w:val="none" w:sz="0" w:space="0" w:color="auto"/>
      </w:divBdr>
    </w:div>
    <w:div w:id="487331544">
      <w:bodyDiv w:val="1"/>
      <w:marLeft w:val="0"/>
      <w:marRight w:val="0"/>
      <w:marTop w:val="0"/>
      <w:marBottom w:val="0"/>
      <w:divBdr>
        <w:top w:val="none" w:sz="0" w:space="0" w:color="auto"/>
        <w:left w:val="none" w:sz="0" w:space="0" w:color="auto"/>
        <w:bottom w:val="none" w:sz="0" w:space="0" w:color="auto"/>
        <w:right w:val="none" w:sz="0" w:space="0" w:color="auto"/>
      </w:divBdr>
    </w:div>
    <w:div w:id="550577881">
      <w:bodyDiv w:val="1"/>
      <w:marLeft w:val="0"/>
      <w:marRight w:val="0"/>
      <w:marTop w:val="0"/>
      <w:marBottom w:val="0"/>
      <w:divBdr>
        <w:top w:val="none" w:sz="0" w:space="0" w:color="auto"/>
        <w:left w:val="none" w:sz="0" w:space="0" w:color="auto"/>
        <w:bottom w:val="none" w:sz="0" w:space="0" w:color="auto"/>
        <w:right w:val="none" w:sz="0" w:space="0" w:color="auto"/>
      </w:divBdr>
    </w:div>
    <w:div w:id="574557813">
      <w:bodyDiv w:val="1"/>
      <w:marLeft w:val="0"/>
      <w:marRight w:val="0"/>
      <w:marTop w:val="0"/>
      <w:marBottom w:val="0"/>
      <w:divBdr>
        <w:top w:val="none" w:sz="0" w:space="0" w:color="auto"/>
        <w:left w:val="none" w:sz="0" w:space="0" w:color="auto"/>
        <w:bottom w:val="none" w:sz="0" w:space="0" w:color="auto"/>
        <w:right w:val="none" w:sz="0" w:space="0" w:color="auto"/>
      </w:divBdr>
    </w:div>
    <w:div w:id="577057875">
      <w:bodyDiv w:val="1"/>
      <w:marLeft w:val="0"/>
      <w:marRight w:val="0"/>
      <w:marTop w:val="0"/>
      <w:marBottom w:val="0"/>
      <w:divBdr>
        <w:top w:val="none" w:sz="0" w:space="0" w:color="auto"/>
        <w:left w:val="none" w:sz="0" w:space="0" w:color="auto"/>
        <w:bottom w:val="none" w:sz="0" w:space="0" w:color="auto"/>
        <w:right w:val="none" w:sz="0" w:space="0" w:color="auto"/>
      </w:divBdr>
    </w:div>
    <w:div w:id="586773151">
      <w:bodyDiv w:val="1"/>
      <w:marLeft w:val="0"/>
      <w:marRight w:val="0"/>
      <w:marTop w:val="0"/>
      <w:marBottom w:val="0"/>
      <w:divBdr>
        <w:top w:val="none" w:sz="0" w:space="0" w:color="auto"/>
        <w:left w:val="none" w:sz="0" w:space="0" w:color="auto"/>
        <w:bottom w:val="none" w:sz="0" w:space="0" w:color="auto"/>
        <w:right w:val="none" w:sz="0" w:space="0" w:color="auto"/>
      </w:divBdr>
    </w:div>
    <w:div w:id="605116416">
      <w:bodyDiv w:val="1"/>
      <w:marLeft w:val="0"/>
      <w:marRight w:val="0"/>
      <w:marTop w:val="0"/>
      <w:marBottom w:val="0"/>
      <w:divBdr>
        <w:top w:val="none" w:sz="0" w:space="0" w:color="auto"/>
        <w:left w:val="none" w:sz="0" w:space="0" w:color="auto"/>
        <w:bottom w:val="none" w:sz="0" w:space="0" w:color="auto"/>
        <w:right w:val="none" w:sz="0" w:space="0" w:color="auto"/>
      </w:divBdr>
    </w:div>
    <w:div w:id="641807027">
      <w:bodyDiv w:val="1"/>
      <w:marLeft w:val="0"/>
      <w:marRight w:val="0"/>
      <w:marTop w:val="0"/>
      <w:marBottom w:val="0"/>
      <w:divBdr>
        <w:top w:val="none" w:sz="0" w:space="0" w:color="auto"/>
        <w:left w:val="none" w:sz="0" w:space="0" w:color="auto"/>
        <w:bottom w:val="none" w:sz="0" w:space="0" w:color="auto"/>
        <w:right w:val="none" w:sz="0" w:space="0" w:color="auto"/>
      </w:divBdr>
    </w:div>
    <w:div w:id="650331561">
      <w:bodyDiv w:val="1"/>
      <w:marLeft w:val="0"/>
      <w:marRight w:val="0"/>
      <w:marTop w:val="0"/>
      <w:marBottom w:val="0"/>
      <w:divBdr>
        <w:top w:val="none" w:sz="0" w:space="0" w:color="auto"/>
        <w:left w:val="none" w:sz="0" w:space="0" w:color="auto"/>
        <w:bottom w:val="none" w:sz="0" w:space="0" w:color="auto"/>
        <w:right w:val="none" w:sz="0" w:space="0" w:color="auto"/>
      </w:divBdr>
    </w:div>
    <w:div w:id="675378894">
      <w:bodyDiv w:val="1"/>
      <w:marLeft w:val="0"/>
      <w:marRight w:val="0"/>
      <w:marTop w:val="0"/>
      <w:marBottom w:val="0"/>
      <w:divBdr>
        <w:top w:val="none" w:sz="0" w:space="0" w:color="auto"/>
        <w:left w:val="none" w:sz="0" w:space="0" w:color="auto"/>
        <w:bottom w:val="none" w:sz="0" w:space="0" w:color="auto"/>
        <w:right w:val="none" w:sz="0" w:space="0" w:color="auto"/>
      </w:divBdr>
    </w:div>
    <w:div w:id="738594185">
      <w:bodyDiv w:val="1"/>
      <w:marLeft w:val="0"/>
      <w:marRight w:val="0"/>
      <w:marTop w:val="0"/>
      <w:marBottom w:val="0"/>
      <w:divBdr>
        <w:top w:val="none" w:sz="0" w:space="0" w:color="auto"/>
        <w:left w:val="none" w:sz="0" w:space="0" w:color="auto"/>
        <w:bottom w:val="none" w:sz="0" w:space="0" w:color="auto"/>
        <w:right w:val="none" w:sz="0" w:space="0" w:color="auto"/>
      </w:divBdr>
    </w:div>
    <w:div w:id="781533809">
      <w:bodyDiv w:val="1"/>
      <w:marLeft w:val="0"/>
      <w:marRight w:val="0"/>
      <w:marTop w:val="0"/>
      <w:marBottom w:val="0"/>
      <w:divBdr>
        <w:top w:val="none" w:sz="0" w:space="0" w:color="auto"/>
        <w:left w:val="none" w:sz="0" w:space="0" w:color="auto"/>
        <w:bottom w:val="none" w:sz="0" w:space="0" w:color="auto"/>
        <w:right w:val="none" w:sz="0" w:space="0" w:color="auto"/>
      </w:divBdr>
    </w:div>
    <w:div w:id="820082452">
      <w:bodyDiv w:val="1"/>
      <w:marLeft w:val="0"/>
      <w:marRight w:val="0"/>
      <w:marTop w:val="0"/>
      <w:marBottom w:val="0"/>
      <w:divBdr>
        <w:top w:val="none" w:sz="0" w:space="0" w:color="auto"/>
        <w:left w:val="none" w:sz="0" w:space="0" w:color="auto"/>
        <w:bottom w:val="none" w:sz="0" w:space="0" w:color="auto"/>
        <w:right w:val="none" w:sz="0" w:space="0" w:color="auto"/>
      </w:divBdr>
    </w:div>
    <w:div w:id="871457305">
      <w:bodyDiv w:val="1"/>
      <w:marLeft w:val="0"/>
      <w:marRight w:val="0"/>
      <w:marTop w:val="0"/>
      <w:marBottom w:val="0"/>
      <w:divBdr>
        <w:top w:val="none" w:sz="0" w:space="0" w:color="auto"/>
        <w:left w:val="none" w:sz="0" w:space="0" w:color="auto"/>
        <w:bottom w:val="none" w:sz="0" w:space="0" w:color="auto"/>
        <w:right w:val="none" w:sz="0" w:space="0" w:color="auto"/>
      </w:divBdr>
    </w:div>
    <w:div w:id="894778222">
      <w:bodyDiv w:val="1"/>
      <w:marLeft w:val="0"/>
      <w:marRight w:val="0"/>
      <w:marTop w:val="0"/>
      <w:marBottom w:val="0"/>
      <w:divBdr>
        <w:top w:val="none" w:sz="0" w:space="0" w:color="auto"/>
        <w:left w:val="none" w:sz="0" w:space="0" w:color="auto"/>
        <w:bottom w:val="none" w:sz="0" w:space="0" w:color="auto"/>
        <w:right w:val="none" w:sz="0" w:space="0" w:color="auto"/>
      </w:divBdr>
    </w:div>
    <w:div w:id="905383045">
      <w:bodyDiv w:val="1"/>
      <w:marLeft w:val="0"/>
      <w:marRight w:val="0"/>
      <w:marTop w:val="0"/>
      <w:marBottom w:val="0"/>
      <w:divBdr>
        <w:top w:val="none" w:sz="0" w:space="0" w:color="auto"/>
        <w:left w:val="none" w:sz="0" w:space="0" w:color="auto"/>
        <w:bottom w:val="none" w:sz="0" w:space="0" w:color="auto"/>
        <w:right w:val="none" w:sz="0" w:space="0" w:color="auto"/>
      </w:divBdr>
    </w:div>
    <w:div w:id="909463103">
      <w:bodyDiv w:val="1"/>
      <w:marLeft w:val="0"/>
      <w:marRight w:val="0"/>
      <w:marTop w:val="0"/>
      <w:marBottom w:val="0"/>
      <w:divBdr>
        <w:top w:val="none" w:sz="0" w:space="0" w:color="auto"/>
        <w:left w:val="none" w:sz="0" w:space="0" w:color="auto"/>
        <w:bottom w:val="none" w:sz="0" w:space="0" w:color="auto"/>
        <w:right w:val="none" w:sz="0" w:space="0" w:color="auto"/>
      </w:divBdr>
    </w:div>
    <w:div w:id="934243409">
      <w:bodyDiv w:val="1"/>
      <w:marLeft w:val="0"/>
      <w:marRight w:val="0"/>
      <w:marTop w:val="0"/>
      <w:marBottom w:val="0"/>
      <w:divBdr>
        <w:top w:val="none" w:sz="0" w:space="0" w:color="auto"/>
        <w:left w:val="none" w:sz="0" w:space="0" w:color="auto"/>
        <w:bottom w:val="none" w:sz="0" w:space="0" w:color="auto"/>
        <w:right w:val="none" w:sz="0" w:space="0" w:color="auto"/>
      </w:divBdr>
    </w:div>
    <w:div w:id="935670002">
      <w:bodyDiv w:val="1"/>
      <w:marLeft w:val="0"/>
      <w:marRight w:val="0"/>
      <w:marTop w:val="0"/>
      <w:marBottom w:val="0"/>
      <w:divBdr>
        <w:top w:val="none" w:sz="0" w:space="0" w:color="auto"/>
        <w:left w:val="none" w:sz="0" w:space="0" w:color="auto"/>
        <w:bottom w:val="none" w:sz="0" w:space="0" w:color="auto"/>
        <w:right w:val="none" w:sz="0" w:space="0" w:color="auto"/>
      </w:divBdr>
    </w:div>
    <w:div w:id="937906961">
      <w:bodyDiv w:val="1"/>
      <w:marLeft w:val="0"/>
      <w:marRight w:val="0"/>
      <w:marTop w:val="0"/>
      <w:marBottom w:val="0"/>
      <w:divBdr>
        <w:top w:val="none" w:sz="0" w:space="0" w:color="auto"/>
        <w:left w:val="none" w:sz="0" w:space="0" w:color="auto"/>
        <w:bottom w:val="none" w:sz="0" w:space="0" w:color="auto"/>
        <w:right w:val="none" w:sz="0" w:space="0" w:color="auto"/>
      </w:divBdr>
    </w:div>
    <w:div w:id="965740180">
      <w:bodyDiv w:val="1"/>
      <w:marLeft w:val="0"/>
      <w:marRight w:val="0"/>
      <w:marTop w:val="0"/>
      <w:marBottom w:val="0"/>
      <w:divBdr>
        <w:top w:val="none" w:sz="0" w:space="0" w:color="auto"/>
        <w:left w:val="none" w:sz="0" w:space="0" w:color="auto"/>
        <w:bottom w:val="none" w:sz="0" w:space="0" w:color="auto"/>
        <w:right w:val="none" w:sz="0" w:space="0" w:color="auto"/>
      </w:divBdr>
    </w:div>
    <w:div w:id="968904012">
      <w:bodyDiv w:val="1"/>
      <w:marLeft w:val="0"/>
      <w:marRight w:val="0"/>
      <w:marTop w:val="0"/>
      <w:marBottom w:val="0"/>
      <w:divBdr>
        <w:top w:val="none" w:sz="0" w:space="0" w:color="auto"/>
        <w:left w:val="none" w:sz="0" w:space="0" w:color="auto"/>
        <w:bottom w:val="none" w:sz="0" w:space="0" w:color="auto"/>
        <w:right w:val="none" w:sz="0" w:space="0" w:color="auto"/>
      </w:divBdr>
    </w:div>
    <w:div w:id="1040740492">
      <w:bodyDiv w:val="1"/>
      <w:marLeft w:val="0"/>
      <w:marRight w:val="0"/>
      <w:marTop w:val="0"/>
      <w:marBottom w:val="0"/>
      <w:divBdr>
        <w:top w:val="none" w:sz="0" w:space="0" w:color="auto"/>
        <w:left w:val="none" w:sz="0" w:space="0" w:color="auto"/>
        <w:bottom w:val="none" w:sz="0" w:space="0" w:color="auto"/>
        <w:right w:val="none" w:sz="0" w:space="0" w:color="auto"/>
      </w:divBdr>
    </w:div>
    <w:div w:id="1051804823">
      <w:bodyDiv w:val="1"/>
      <w:marLeft w:val="0"/>
      <w:marRight w:val="0"/>
      <w:marTop w:val="0"/>
      <w:marBottom w:val="0"/>
      <w:divBdr>
        <w:top w:val="none" w:sz="0" w:space="0" w:color="auto"/>
        <w:left w:val="none" w:sz="0" w:space="0" w:color="auto"/>
        <w:bottom w:val="none" w:sz="0" w:space="0" w:color="auto"/>
        <w:right w:val="none" w:sz="0" w:space="0" w:color="auto"/>
      </w:divBdr>
    </w:div>
    <w:div w:id="1061439466">
      <w:bodyDiv w:val="1"/>
      <w:marLeft w:val="0"/>
      <w:marRight w:val="0"/>
      <w:marTop w:val="0"/>
      <w:marBottom w:val="0"/>
      <w:divBdr>
        <w:top w:val="none" w:sz="0" w:space="0" w:color="auto"/>
        <w:left w:val="none" w:sz="0" w:space="0" w:color="auto"/>
        <w:bottom w:val="none" w:sz="0" w:space="0" w:color="auto"/>
        <w:right w:val="none" w:sz="0" w:space="0" w:color="auto"/>
      </w:divBdr>
    </w:div>
    <w:div w:id="1066341689">
      <w:bodyDiv w:val="1"/>
      <w:marLeft w:val="0"/>
      <w:marRight w:val="0"/>
      <w:marTop w:val="0"/>
      <w:marBottom w:val="0"/>
      <w:divBdr>
        <w:top w:val="none" w:sz="0" w:space="0" w:color="auto"/>
        <w:left w:val="none" w:sz="0" w:space="0" w:color="auto"/>
        <w:bottom w:val="none" w:sz="0" w:space="0" w:color="auto"/>
        <w:right w:val="none" w:sz="0" w:space="0" w:color="auto"/>
      </w:divBdr>
    </w:div>
    <w:div w:id="1136292144">
      <w:bodyDiv w:val="1"/>
      <w:marLeft w:val="0"/>
      <w:marRight w:val="0"/>
      <w:marTop w:val="0"/>
      <w:marBottom w:val="0"/>
      <w:divBdr>
        <w:top w:val="none" w:sz="0" w:space="0" w:color="auto"/>
        <w:left w:val="none" w:sz="0" w:space="0" w:color="auto"/>
        <w:bottom w:val="none" w:sz="0" w:space="0" w:color="auto"/>
        <w:right w:val="none" w:sz="0" w:space="0" w:color="auto"/>
      </w:divBdr>
    </w:div>
    <w:div w:id="1148280636">
      <w:bodyDiv w:val="1"/>
      <w:marLeft w:val="0"/>
      <w:marRight w:val="0"/>
      <w:marTop w:val="0"/>
      <w:marBottom w:val="0"/>
      <w:divBdr>
        <w:top w:val="none" w:sz="0" w:space="0" w:color="auto"/>
        <w:left w:val="none" w:sz="0" w:space="0" w:color="auto"/>
        <w:bottom w:val="none" w:sz="0" w:space="0" w:color="auto"/>
        <w:right w:val="none" w:sz="0" w:space="0" w:color="auto"/>
      </w:divBdr>
    </w:div>
    <w:div w:id="1164511349">
      <w:bodyDiv w:val="1"/>
      <w:marLeft w:val="0"/>
      <w:marRight w:val="0"/>
      <w:marTop w:val="0"/>
      <w:marBottom w:val="0"/>
      <w:divBdr>
        <w:top w:val="none" w:sz="0" w:space="0" w:color="auto"/>
        <w:left w:val="none" w:sz="0" w:space="0" w:color="auto"/>
        <w:bottom w:val="none" w:sz="0" w:space="0" w:color="auto"/>
        <w:right w:val="none" w:sz="0" w:space="0" w:color="auto"/>
      </w:divBdr>
    </w:div>
    <w:div w:id="1184589655">
      <w:bodyDiv w:val="1"/>
      <w:marLeft w:val="0"/>
      <w:marRight w:val="0"/>
      <w:marTop w:val="0"/>
      <w:marBottom w:val="0"/>
      <w:divBdr>
        <w:top w:val="none" w:sz="0" w:space="0" w:color="auto"/>
        <w:left w:val="none" w:sz="0" w:space="0" w:color="auto"/>
        <w:bottom w:val="none" w:sz="0" w:space="0" w:color="auto"/>
        <w:right w:val="none" w:sz="0" w:space="0" w:color="auto"/>
      </w:divBdr>
    </w:div>
    <w:div w:id="1187597934">
      <w:bodyDiv w:val="1"/>
      <w:marLeft w:val="0"/>
      <w:marRight w:val="0"/>
      <w:marTop w:val="0"/>
      <w:marBottom w:val="0"/>
      <w:divBdr>
        <w:top w:val="none" w:sz="0" w:space="0" w:color="auto"/>
        <w:left w:val="none" w:sz="0" w:space="0" w:color="auto"/>
        <w:bottom w:val="none" w:sz="0" w:space="0" w:color="auto"/>
        <w:right w:val="none" w:sz="0" w:space="0" w:color="auto"/>
      </w:divBdr>
    </w:div>
    <w:div w:id="1203834242">
      <w:bodyDiv w:val="1"/>
      <w:marLeft w:val="0"/>
      <w:marRight w:val="0"/>
      <w:marTop w:val="0"/>
      <w:marBottom w:val="0"/>
      <w:divBdr>
        <w:top w:val="none" w:sz="0" w:space="0" w:color="auto"/>
        <w:left w:val="none" w:sz="0" w:space="0" w:color="auto"/>
        <w:bottom w:val="none" w:sz="0" w:space="0" w:color="auto"/>
        <w:right w:val="none" w:sz="0" w:space="0" w:color="auto"/>
      </w:divBdr>
    </w:div>
    <w:div w:id="1212959137">
      <w:bodyDiv w:val="1"/>
      <w:marLeft w:val="0"/>
      <w:marRight w:val="0"/>
      <w:marTop w:val="0"/>
      <w:marBottom w:val="0"/>
      <w:divBdr>
        <w:top w:val="none" w:sz="0" w:space="0" w:color="auto"/>
        <w:left w:val="none" w:sz="0" w:space="0" w:color="auto"/>
        <w:bottom w:val="none" w:sz="0" w:space="0" w:color="auto"/>
        <w:right w:val="none" w:sz="0" w:space="0" w:color="auto"/>
      </w:divBdr>
    </w:div>
    <w:div w:id="1214732811">
      <w:bodyDiv w:val="1"/>
      <w:marLeft w:val="0"/>
      <w:marRight w:val="0"/>
      <w:marTop w:val="0"/>
      <w:marBottom w:val="0"/>
      <w:divBdr>
        <w:top w:val="none" w:sz="0" w:space="0" w:color="auto"/>
        <w:left w:val="none" w:sz="0" w:space="0" w:color="auto"/>
        <w:bottom w:val="none" w:sz="0" w:space="0" w:color="auto"/>
        <w:right w:val="none" w:sz="0" w:space="0" w:color="auto"/>
      </w:divBdr>
    </w:div>
    <w:div w:id="1227645780">
      <w:bodyDiv w:val="1"/>
      <w:marLeft w:val="0"/>
      <w:marRight w:val="0"/>
      <w:marTop w:val="0"/>
      <w:marBottom w:val="0"/>
      <w:divBdr>
        <w:top w:val="none" w:sz="0" w:space="0" w:color="auto"/>
        <w:left w:val="none" w:sz="0" w:space="0" w:color="auto"/>
        <w:bottom w:val="none" w:sz="0" w:space="0" w:color="auto"/>
        <w:right w:val="none" w:sz="0" w:space="0" w:color="auto"/>
      </w:divBdr>
    </w:div>
    <w:div w:id="1227833931">
      <w:bodyDiv w:val="1"/>
      <w:marLeft w:val="0"/>
      <w:marRight w:val="0"/>
      <w:marTop w:val="0"/>
      <w:marBottom w:val="0"/>
      <w:divBdr>
        <w:top w:val="none" w:sz="0" w:space="0" w:color="auto"/>
        <w:left w:val="none" w:sz="0" w:space="0" w:color="auto"/>
        <w:bottom w:val="none" w:sz="0" w:space="0" w:color="auto"/>
        <w:right w:val="none" w:sz="0" w:space="0" w:color="auto"/>
      </w:divBdr>
    </w:div>
    <w:div w:id="1234317830">
      <w:bodyDiv w:val="1"/>
      <w:marLeft w:val="0"/>
      <w:marRight w:val="0"/>
      <w:marTop w:val="0"/>
      <w:marBottom w:val="0"/>
      <w:divBdr>
        <w:top w:val="none" w:sz="0" w:space="0" w:color="auto"/>
        <w:left w:val="none" w:sz="0" w:space="0" w:color="auto"/>
        <w:bottom w:val="none" w:sz="0" w:space="0" w:color="auto"/>
        <w:right w:val="none" w:sz="0" w:space="0" w:color="auto"/>
      </w:divBdr>
    </w:div>
    <w:div w:id="1240096920">
      <w:bodyDiv w:val="1"/>
      <w:marLeft w:val="0"/>
      <w:marRight w:val="0"/>
      <w:marTop w:val="0"/>
      <w:marBottom w:val="0"/>
      <w:divBdr>
        <w:top w:val="none" w:sz="0" w:space="0" w:color="auto"/>
        <w:left w:val="none" w:sz="0" w:space="0" w:color="auto"/>
        <w:bottom w:val="none" w:sz="0" w:space="0" w:color="auto"/>
        <w:right w:val="none" w:sz="0" w:space="0" w:color="auto"/>
      </w:divBdr>
    </w:div>
    <w:div w:id="1245719544">
      <w:bodyDiv w:val="1"/>
      <w:marLeft w:val="0"/>
      <w:marRight w:val="0"/>
      <w:marTop w:val="0"/>
      <w:marBottom w:val="0"/>
      <w:divBdr>
        <w:top w:val="none" w:sz="0" w:space="0" w:color="auto"/>
        <w:left w:val="none" w:sz="0" w:space="0" w:color="auto"/>
        <w:bottom w:val="none" w:sz="0" w:space="0" w:color="auto"/>
        <w:right w:val="none" w:sz="0" w:space="0" w:color="auto"/>
      </w:divBdr>
    </w:div>
    <w:div w:id="1334259041">
      <w:bodyDiv w:val="1"/>
      <w:marLeft w:val="0"/>
      <w:marRight w:val="0"/>
      <w:marTop w:val="0"/>
      <w:marBottom w:val="0"/>
      <w:divBdr>
        <w:top w:val="none" w:sz="0" w:space="0" w:color="auto"/>
        <w:left w:val="none" w:sz="0" w:space="0" w:color="auto"/>
        <w:bottom w:val="none" w:sz="0" w:space="0" w:color="auto"/>
        <w:right w:val="none" w:sz="0" w:space="0" w:color="auto"/>
      </w:divBdr>
    </w:div>
    <w:div w:id="1402483969">
      <w:bodyDiv w:val="1"/>
      <w:marLeft w:val="0"/>
      <w:marRight w:val="0"/>
      <w:marTop w:val="0"/>
      <w:marBottom w:val="0"/>
      <w:divBdr>
        <w:top w:val="none" w:sz="0" w:space="0" w:color="auto"/>
        <w:left w:val="none" w:sz="0" w:space="0" w:color="auto"/>
        <w:bottom w:val="none" w:sz="0" w:space="0" w:color="auto"/>
        <w:right w:val="none" w:sz="0" w:space="0" w:color="auto"/>
      </w:divBdr>
    </w:div>
    <w:div w:id="1418673978">
      <w:bodyDiv w:val="1"/>
      <w:marLeft w:val="0"/>
      <w:marRight w:val="0"/>
      <w:marTop w:val="0"/>
      <w:marBottom w:val="0"/>
      <w:divBdr>
        <w:top w:val="none" w:sz="0" w:space="0" w:color="auto"/>
        <w:left w:val="none" w:sz="0" w:space="0" w:color="auto"/>
        <w:bottom w:val="none" w:sz="0" w:space="0" w:color="auto"/>
        <w:right w:val="none" w:sz="0" w:space="0" w:color="auto"/>
      </w:divBdr>
    </w:div>
    <w:div w:id="1425030071">
      <w:bodyDiv w:val="1"/>
      <w:marLeft w:val="0"/>
      <w:marRight w:val="0"/>
      <w:marTop w:val="0"/>
      <w:marBottom w:val="0"/>
      <w:divBdr>
        <w:top w:val="none" w:sz="0" w:space="0" w:color="auto"/>
        <w:left w:val="none" w:sz="0" w:space="0" w:color="auto"/>
        <w:bottom w:val="none" w:sz="0" w:space="0" w:color="auto"/>
        <w:right w:val="none" w:sz="0" w:space="0" w:color="auto"/>
      </w:divBdr>
    </w:div>
    <w:div w:id="1427965128">
      <w:bodyDiv w:val="1"/>
      <w:marLeft w:val="0"/>
      <w:marRight w:val="0"/>
      <w:marTop w:val="0"/>
      <w:marBottom w:val="0"/>
      <w:divBdr>
        <w:top w:val="none" w:sz="0" w:space="0" w:color="auto"/>
        <w:left w:val="none" w:sz="0" w:space="0" w:color="auto"/>
        <w:bottom w:val="none" w:sz="0" w:space="0" w:color="auto"/>
        <w:right w:val="none" w:sz="0" w:space="0" w:color="auto"/>
      </w:divBdr>
    </w:div>
    <w:div w:id="1478842561">
      <w:bodyDiv w:val="1"/>
      <w:marLeft w:val="0"/>
      <w:marRight w:val="0"/>
      <w:marTop w:val="0"/>
      <w:marBottom w:val="0"/>
      <w:divBdr>
        <w:top w:val="none" w:sz="0" w:space="0" w:color="auto"/>
        <w:left w:val="none" w:sz="0" w:space="0" w:color="auto"/>
        <w:bottom w:val="none" w:sz="0" w:space="0" w:color="auto"/>
        <w:right w:val="none" w:sz="0" w:space="0" w:color="auto"/>
      </w:divBdr>
    </w:div>
    <w:div w:id="1481843683">
      <w:bodyDiv w:val="1"/>
      <w:marLeft w:val="0"/>
      <w:marRight w:val="0"/>
      <w:marTop w:val="0"/>
      <w:marBottom w:val="0"/>
      <w:divBdr>
        <w:top w:val="none" w:sz="0" w:space="0" w:color="auto"/>
        <w:left w:val="none" w:sz="0" w:space="0" w:color="auto"/>
        <w:bottom w:val="none" w:sz="0" w:space="0" w:color="auto"/>
        <w:right w:val="none" w:sz="0" w:space="0" w:color="auto"/>
      </w:divBdr>
    </w:div>
    <w:div w:id="1496148946">
      <w:bodyDiv w:val="1"/>
      <w:marLeft w:val="0"/>
      <w:marRight w:val="0"/>
      <w:marTop w:val="0"/>
      <w:marBottom w:val="0"/>
      <w:divBdr>
        <w:top w:val="none" w:sz="0" w:space="0" w:color="auto"/>
        <w:left w:val="none" w:sz="0" w:space="0" w:color="auto"/>
        <w:bottom w:val="none" w:sz="0" w:space="0" w:color="auto"/>
        <w:right w:val="none" w:sz="0" w:space="0" w:color="auto"/>
      </w:divBdr>
    </w:div>
    <w:div w:id="1508591552">
      <w:bodyDiv w:val="1"/>
      <w:marLeft w:val="0"/>
      <w:marRight w:val="0"/>
      <w:marTop w:val="0"/>
      <w:marBottom w:val="0"/>
      <w:divBdr>
        <w:top w:val="none" w:sz="0" w:space="0" w:color="auto"/>
        <w:left w:val="none" w:sz="0" w:space="0" w:color="auto"/>
        <w:bottom w:val="none" w:sz="0" w:space="0" w:color="auto"/>
        <w:right w:val="none" w:sz="0" w:space="0" w:color="auto"/>
      </w:divBdr>
    </w:div>
    <w:div w:id="1513180640">
      <w:bodyDiv w:val="1"/>
      <w:marLeft w:val="0"/>
      <w:marRight w:val="0"/>
      <w:marTop w:val="0"/>
      <w:marBottom w:val="0"/>
      <w:divBdr>
        <w:top w:val="none" w:sz="0" w:space="0" w:color="auto"/>
        <w:left w:val="none" w:sz="0" w:space="0" w:color="auto"/>
        <w:bottom w:val="none" w:sz="0" w:space="0" w:color="auto"/>
        <w:right w:val="none" w:sz="0" w:space="0" w:color="auto"/>
      </w:divBdr>
    </w:div>
    <w:div w:id="1514223070">
      <w:bodyDiv w:val="1"/>
      <w:marLeft w:val="0"/>
      <w:marRight w:val="0"/>
      <w:marTop w:val="0"/>
      <w:marBottom w:val="0"/>
      <w:divBdr>
        <w:top w:val="none" w:sz="0" w:space="0" w:color="auto"/>
        <w:left w:val="none" w:sz="0" w:space="0" w:color="auto"/>
        <w:bottom w:val="none" w:sz="0" w:space="0" w:color="auto"/>
        <w:right w:val="none" w:sz="0" w:space="0" w:color="auto"/>
      </w:divBdr>
    </w:div>
    <w:div w:id="1517112126">
      <w:bodyDiv w:val="1"/>
      <w:marLeft w:val="0"/>
      <w:marRight w:val="0"/>
      <w:marTop w:val="0"/>
      <w:marBottom w:val="0"/>
      <w:divBdr>
        <w:top w:val="none" w:sz="0" w:space="0" w:color="auto"/>
        <w:left w:val="none" w:sz="0" w:space="0" w:color="auto"/>
        <w:bottom w:val="none" w:sz="0" w:space="0" w:color="auto"/>
        <w:right w:val="none" w:sz="0" w:space="0" w:color="auto"/>
      </w:divBdr>
    </w:div>
    <w:div w:id="1542211798">
      <w:bodyDiv w:val="1"/>
      <w:marLeft w:val="0"/>
      <w:marRight w:val="0"/>
      <w:marTop w:val="0"/>
      <w:marBottom w:val="0"/>
      <w:divBdr>
        <w:top w:val="none" w:sz="0" w:space="0" w:color="auto"/>
        <w:left w:val="none" w:sz="0" w:space="0" w:color="auto"/>
        <w:bottom w:val="none" w:sz="0" w:space="0" w:color="auto"/>
        <w:right w:val="none" w:sz="0" w:space="0" w:color="auto"/>
      </w:divBdr>
    </w:div>
    <w:div w:id="1580360276">
      <w:bodyDiv w:val="1"/>
      <w:marLeft w:val="0"/>
      <w:marRight w:val="0"/>
      <w:marTop w:val="0"/>
      <w:marBottom w:val="0"/>
      <w:divBdr>
        <w:top w:val="none" w:sz="0" w:space="0" w:color="auto"/>
        <w:left w:val="none" w:sz="0" w:space="0" w:color="auto"/>
        <w:bottom w:val="none" w:sz="0" w:space="0" w:color="auto"/>
        <w:right w:val="none" w:sz="0" w:space="0" w:color="auto"/>
      </w:divBdr>
    </w:div>
    <w:div w:id="1586302441">
      <w:bodyDiv w:val="1"/>
      <w:marLeft w:val="0"/>
      <w:marRight w:val="0"/>
      <w:marTop w:val="0"/>
      <w:marBottom w:val="0"/>
      <w:divBdr>
        <w:top w:val="none" w:sz="0" w:space="0" w:color="auto"/>
        <w:left w:val="none" w:sz="0" w:space="0" w:color="auto"/>
        <w:bottom w:val="none" w:sz="0" w:space="0" w:color="auto"/>
        <w:right w:val="none" w:sz="0" w:space="0" w:color="auto"/>
      </w:divBdr>
    </w:div>
    <w:div w:id="1656102529">
      <w:bodyDiv w:val="1"/>
      <w:marLeft w:val="0"/>
      <w:marRight w:val="0"/>
      <w:marTop w:val="0"/>
      <w:marBottom w:val="0"/>
      <w:divBdr>
        <w:top w:val="none" w:sz="0" w:space="0" w:color="auto"/>
        <w:left w:val="none" w:sz="0" w:space="0" w:color="auto"/>
        <w:bottom w:val="none" w:sz="0" w:space="0" w:color="auto"/>
        <w:right w:val="none" w:sz="0" w:space="0" w:color="auto"/>
      </w:divBdr>
    </w:div>
    <w:div w:id="1689482775">
      <w:bodyDiv w:val="1"/>
      <w:marLeft w:val="0"/>
      <w:marRight w:val="0"/>
      <w:marTop w:val="0"/>
      <w:marBottom w:val="0"/>
      <w:divBdr>
        <w:top w:val="none" w:sz="0" w:space="0" w:color="auto"/>
        <w:left w:val="none" w:sz="0" w:space="0" w:color="auto"/>
        <w:bottom w:val="none" w:sz="0" w:space="0" w:color="auto"/>
        <w:right w:val="none" w:sz="0" w:space="0" w:color="auto"/>
      </w:divBdr>
    </w:div>
    <w:div w:id="1693988979">
      <w:bodyDiv w:val="1"/>
      <w:marLeft w:val="0"/>
      <w:marRight w:val="0"/>
      <w:marTop w:val="0"/>
      <w:marBottom w:val="0"/>
      <w:divBdr>
        <w:top w:val="none" w:sz="0" w:space="0" w:color="auto"/>
        <w:left w:val="none" w:sz="0" w:space="0" w:color="auto"/>
        <w:bottom w:val="none" w:sz="0" w:space="0" w:color="auto"/>
        <w:right w:val="none" w:sz="0" w:space="0" w:color="auto"/>
      </w:divBdr>
    </w:div>
    <w:div w:id="1714771382">
      <w:bodyDiv w:val="1"/>
      <w:marLeft w:val="0"/>
      <w:marRight w:val="0"/>
      <w:marTop w:val="0"/>
      <w:marBottom w:val="0"/>
      <w:divBdr>
        <w:top w:val="none" w:sz="0" w:space="0" w:color="auto"/>
        <w:left w:val="none" w:sz="0" w:space="0" w:color="auto"/>
        <w:bottom w:val="none" w:sz="0" w:space="0" w:color="auto"/>
        <w:right w:val="none" w:sz="0" w:space="0" w:color="auto"/>
      </w:divBdr>
    </w:div>
    <w:div w:id="1726104416">
      <w:bodyDiv w:val="1"/>
      <w:marLeft w:val="0"/>
      <w:marRight w:val="0"/>
      <w:marTop w:val="0"/>
      <w:marBottom w:val="0"/>
      <w:divBdr>
        <w:top w:val="none" w:sz="0" w:space="0" w:color="auto"/>
        <w:left w:val="none" w:sz="0" w:space="0" w:color="auto"/>
        <w:bottom w:val="none" w:sz="0" w:space="0" w:color="auto"/>
        <w:right w:val="none" w:sz="0" w:space="0" w:color="auto"/>
      </w:divBdr>
    </w:div>
    <w:div w:id="1749381863">
      <w:bodyDiv w:val="1"/>
      <w:marLeft w:val="0"/>
      <w:marRight w:val="0"/>
      <w:marTop w:val="0"/>
      <w:marBottom w:val="0"/>
      <w:divBdr>
        <w:top w:val="none" w:sz="0" w:space="0" w:color="auto"/>
        <w:left w:val="none" w:sz="0" w:space="0" w:color="auto"/>
        <w:bottom w:val="none" w:sz="0" w:space="0" w:color="auto"/>
        <w:right w:val="none" w:sz="0" w:space="0" w:color="auto"/>
      </w:divBdr>
    </w:div>
    <w:div w:id="1795296090">
      <w:bodyDiv w:val="1"/>
      <w:marLeft w:val="0"/>
      <w:marRight w:val="0"/>
      <w:marTop w:val="0"/>
      <w:marBottom w:val="0"/>
      <w:divBdr>
        <w:top w:val="none" w:sz="0" w:space="0" w:color="auto"/>
        <w:left w:val="none" w:sz="0" w:space="0" w:color="auto"/>
        <w:bottom w:val="none" w:sz="0" w:space="0" w:color="auto"/>
        <w:right w:val="none" w:sz="0" w:space="0" w:color="auto"/>
      </w:divBdr>
    </w:div>
    <w:div w:id="1810046989">
      <w:bodyDiv w:val="1"/>
      <w:marLeft w:val="0"/>
      <w:marRight w:val="0"/>
      <w:marTop w:val="0"/>
      <w:marBottom w:val="0"/>
      <w:divBdr>
        <w:top w:val="none" w:sz="0" w:space="0" w:color="auto"/>
        <w:left w:val="none" w:sz="0" w:space="0" w:color="auto"/>
        <w:bottom w:val="none" w:sz="0" w:space="0" w:color="auto"/>
        <w:right w:val="none" w:sz="0" w:space="0" w:color="auto"/>
      </w:divBdr>
    </w:div>
    <w:div w:id="1873767437">
      <w:bodyDiv w:val="1"/>
      <w:marLeft w:val="0"/>
      <w:marRight w:val="0"/>
      <w:marTop w:val="0"/>
      <w:marBottom w:val="0"/>
      <w:divBdr>
        <w:top w:val="none" w:sz="0" w:space="0" w:color="auto"/>
        <w:left w:val="none" w:sz="0" w:space="0" w:color="auto"/>
        <w:bottom w:val="none" w:sz="0" w:space="0" w:color="auto"/>
        <w:right w:val="none" w:sz="0" w:space="0" w:color="auto"/>
      </w:divBdr>
    </w:div>
    <w:div w:id="1884126682">
      <w:bodyDiv w:val="1"/>
      <w:marLeft w:val="0"/>
      <w:marRight w:val="0"/>
      <w:marTop w:val="0"/>
      <w:marBottom w:val="0"/>
      <w:divBdr>
        <w:top w:val="none" w:sz="0" w:space="0" w:color="auto"/>
        <w:left w:val="none" w:sz="0" w:space="0" w:color="auto"/>
        <w:bottom w:val="none" w:sz="0" w:space="0" w:color="auto"/>
        <w:right w:val="none" w:sz="0" w:space="0" w:color="auto"/>
      </w:divBdr>
    </w:div>
    <w:div w:id="1940094344">
      <w:bodyDiv w:val="1"/>
      <w:marLeft w:val="0"/>
      <w:marRight w:val="0"/>
      <w:marTop w:val="0"/>
      <w:marBottom w:val="0"/>
      <w:divBdr>
        <w:top w:val="none" w:sz="0" w:space="0" w:color="auto"/>
        <w:left w:val="none" w:sz="0" w:space="0" w:color="auto"/>
        <w:bottom w:val="none" w:sz="0" w:space="0" w:color="auto"/>
        <w:right w:val="none" w:sz="0" w:space="0" w:color="auto"/>
      </w:divBdr>
    </w:div>
    <w:div w:id="1946379213">
      <w:bodyDiv w:val="1"/>
      <w:marLeft w:val="0"/>
      <w:marRight w:val="0"/>
      <w:marTop w:val="0"/>
      <w:marBottom w:val="0"/>
      <w:divBdr>
        <w:top w:val="none" w:sz="0" w:space="0" w:color="auto"/>
        <w:left w:val="none" w:sz="0" w:space="0" w:color="auto"/>
        <w:bottom w:val="none" w:sz="0" w:space="0" w:color="auto"/>
        <w:right w:val="none" w:sz="0" w:space="0" w:color="auto"/>
      </w:divBdr>
    </w:div>
    <w:div w:id="1974675559">
      <w:bodyDiv w:val="1"/>
      <w:marLeft w:val="0"/>
      <w:marRight w:val="0"/>
      <w:marTop w:val="0"/>
      <w:marBottom w:val="0"/>
      <w:divBdr>
        <w:top w:val="none" w:sz="0" w:space="0" w:color="auto"/>
        <w:left w:val="none" w:sz="0" w:space="0" w:color="auto"/>
        <w:bottom w:val="none" w:sz="0" w:space="0" w:color="auto"/>
        <w:right w:val="none" w:sz="0" w:space="0" w:color="auto"/>
      </w:divBdr>
    </w:div>
    <w:div w:id="1978098757">
      <w:bodyDiv w:val="1"/>
      <w:marLeft w:val="0"/>
      <w:marRight w:val="0"/>
      <w:marTop w:val="0"/>
      <w:marBottom w:val="0"/>
      <w:divBdr>
        <w:top w:val="none" w:sz="0" w:space="0" w:color="auto"/>
        <w:left w:val="none" w:sz="0" w:space="0" w:color="auto"/>
        <w:bottom w:val="none" w:sz="0" w:space="0" w:color="auto"/>
        <w:right w:val="none" w:sz="0" w:space="0" w:color="auto"/>
      </w:divBdr>
    </w:div>
    <w:div w:id="2005739071">
      <w:bodyDiv w:val="1"/>
      <w:marLeft w:val="0"/>
      <w:marRight w:val="0"/>
      <w:marTop w:val="0"/>
      <w:marBottom w:val="0"/>
      <w:divBdr>
        <w:top w:val="none" w:sz="0" w:space="0" w:color="auto"/>
        <w:left w:val="none" w:sz="0" w:space="0" w:color="auto"/>
        <w:bottom w:val="none" w:sz="0" w:space="0" w:color="auto"/>
        <w:right w:val="none" w:sz="0" w:space="0" w:color="auto"/>
      </w:divBdr>
    </w:div>
    <w:div w:id="2009868262">
      <w:bodyDiv w:val="1"/>
      <w:marLeft w:val="0"/>
      <w:marRight w:val="0"/>
      <w:marTop w:val="0"/>
      <w:marBottom w:val="0"/>
      <w:divBdr>
        <w:top w:val="none" w:sz="0" w:space="0" w:color="auto"/>
        <w:left w:val="none" w:sz="0" w:space="0" w:color="auto"/>
        <w:bottom w:val="none" w:sz="0" w:space="0" w:color="auto"/>
        <w:right w:val="none" w:sz="0" w:space="0" w:color="auto"/>
      </w:divBdr>
    </w:div>
    <w:div w:id="2039040805">
      <w:bodyDiv w:val="1"/>
      <w:marLeft w:val="0"/>
      <w:marRight w:val="0"/>
      <w:marTop w:val="0"/>
      <w:marBottom w:val="0"/>
      <w:divBdr>
        <w:top w:val="none" w:sz="0" w:space="0" w:color="auto"/>
        <w:left w:val="none" w:sz="0" w:space="0" w:color="auto"/>
        <w:bottom w:val="none" w:sz="0" w:space="0" w:color="auto"/>
        <w:right w:val="none" w:sz="0" w:space="0" w:color="auto"/>
      </w:divBdr>
    </w:div>
    <w:div w:id="2068718714">
      <w:bodyDiv w:val="1"/>
      <w:marLeft w:val="0"/>
      <w:marRight w:val="0"/>
      <w:marTop w:val="0"/>
      <w:marBottom w:val="0"/>
      <w:divBdr>
        <w:top w:val="none" w:sz="0" w:space="0" w:color="auto"/>
        <w:left w:val="none" w:sz="0" w:space="0" w:color="auto"/>
        <w:bottom w:val="none" w:sz="0" w:space="0" w:color="auto"/>
        <w:right w:val="none" w:sz="0" w:space="0" w:color="auto"/>
      </w:divBdr>
    </w:div>
    <w:div w:id="2091852697">
      <w:bodyDiv w:val="1"/>
      <w:marLeft w:val="0"/>
      <w:marRight w:val="0"/>
      <w:marTop w:val="0"/>
      <w:marBottom w:val="0"/>
      <w:divBdr>
        <w:top w:val="none" w:sz="0" w:space="0" w:color="auto"/>
        <w:left w:val="none" w:sz="0" w:space="0" w:color="auto"/>
        <w:bottom w:val="none" w:sz="0" w:space="0" w:color="auto"/>
        <w:right w:val="none" w:sz="0" w:space="0" w:color="auto"/>
      </w:divBdr>
    </w:div>
    <w:div w:id="210202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bl7GY496uqJ93TIC-39PLB22ZVP0ecW0Bdo91jk1UDI/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m.icann.org/pipermail/gnso-epdp-team/2020-January/00289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url?q=https://mm.icann.org/pipermail/gnso-epdp-team/2019-December/002873.html&amp;sa=D&amp;ust=1578404678962000&amp;usg=AFQjCNELLFLR-MeT98-IESn5_gr5Exyf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7914</Words>
  <Characters>45111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Caitlin Tubergen</cp:lastModifiedBy>
  <cp:revision>2</cp:revision>
  <dcterms:created xsi:type="dcterms:W3CDTF">2020-01-13T13:59:00Z</dcterms:created>
  <dcterms:modified xsi:type="dcterms:W3CDTF">2020-01-13T13:59:00Z</dcterms:modified>
</cp:coreProperties>
</file>