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AF1D9" w14:textId="2998AA07" w:rsidR="007F174E" w:rsidRPr="001A4D87" w:rsidRDefault="005B00A1" w:rsidP="007F174E">
      <w:pPr>
        <w:rPr>
          <w:b/>
          <w:sz w:val="32"/>
          <w:szCs w:val="32"/>
        </w:rPr>
      </w:pPr>
      <w:r>
        <w:rPr>
          <w:b/>
          <w:sz w:val="32"/>
          <w:szCs w:val="32"/>
        </w:rPr>
        <w:t>PURPOSE 5</w:t>
      </w:r>
      <w:r w:rsidR="008E2557">
        <w:rPr>
          <w:b/>
          <w:sz w:val="32"/>
          <w:szCs w:val="32"/>
        </w:rPr>
        <w:t xml:space="preserve"> </w:t>
      </w:r>
      <w:r w:rsidR="008E2557">
        <w:rPr>
          <w:b/>
          <w:sz w:val="32"/>
          <w:szCs w:val="32"/>
        </w:rPr>
        <w:t xml:space="preserve">(UNDER DEVELOPMENT </w:t>
      </w:r>
      <w:r w:rsidR="008E2557" w:rsidRPr="008E0291">
        <w:rPr>
          <w:sz w:val="32"/>
          <w:szCs w:val="32"/>
        </w:rPr>
        <w:t>Small Team B output – 8 January 2019</w:t>
      </w:r>
      <w:r w:rsidR="008E2557">
        <w:rPr>
          <w:sz w:val="32"/>
          <w:szCs w:val="32"/>
        </w:rPr>
        <w:t>)</w:t>
      </w:r>
    </w:p>
    <w:p w14:paraId="332CCAB4" w14:textId="77777777" w:rsidR="007F174E" w:rsidRDefault="007F174E" w:rsidP="007F174E"/>
    <w:p w14:paraId="5869300F" w14:textId="77777777" w:rsidR="007F174E" w:rsidRPr="005B00A1" w:rsidRDefault="005B00A1" w:rsidP="005B00A1">
      <w:pPr>
        <w:pBdr>
          <w:top w:val="single" w:sz="4" w:space="1" w:color="auto"/>
          <w:left w:val="single" w:sz="4" w:space="4" w:color="auto"/>
          <w:bottom w:val="single" w:sz="4" w:space="1" w:color="auto"/>
          <w:right w:val="single" w:sz="4" w:space="4" w:color="auto"/>
        </w:pBdr>
        <w:rPr>
          <w:sz w:val="28"/>
          <w:szCs w:val="28"/>
        </w:rPr>
      </w:pPr>
      <w:r w:rsidRPr="005B00A1">
        <w:rPr>
          <w:sz w:val="28"/>
          <w:szCs w:val="28"/>
        </w:rPr>
        <w:t>Handle contractual compliance monitoring r</w:t>
      </w:r>
      <w:r>
        <w:rPr>
          <w:sz w:val="28"/>
          <w:szCs w:val="28"/>
        </w:rPr>
        <w:t xml:space="preserve">equests, audits, and complaints </w:t>
      </w:r>
      <w:r w:rsidRPr="005B00A1">
        <w:rPr>
          <w:sz w:val="28"/>
          <w:szCs w:val="28"/>
        </w:rPr>
        <w:t>submitted by Registry Operators, Registrars, Registered Name Holders, and</w:t>
      </w:r>
      <w:r>
        <w:rPr>
          <w:sz w:val="28"/>
          <w:szCs w:val="28"/>
        </w:rPr>
        <w:t xml:space="preserve"> </w:t>
      </w:r>
      <w:r w:rsidRPr="005B00A1">
        <w:rPr>
          <w:sz w:val="28"/>
          <w:szCs w:val="28"/>
        </w:rPr>
        <w:t>other Internet users;</w:t>
      </w:r>
    </w:p>
    <w:p w14:paraId="56659E88" w14:textId="0DB1017D" w:rsidR="005B00A1" w:rsidRDefault="005B00A1" w:rsidP="007F174E">
      <w:pPr>
        <w:rPr>
          <w:b/>
          <w:sz w:val="28"/>
          <w:szCs w:val="28"/>
        </w:rPr>
      </w:pPr>
    </w:p>
    <w:p w14:paraId="5A92E06A" w14:textId="50EFEE35" w:rsidR="00AF6EFD" w:rsidRPr="00AF6EFD" w:rsidRDefault="00AF6EFD" w:rsidP="007F174E">
      <w:pPr>
        <w:rPr>
          <w:b/>
          <w:i/>
          <w:sz w:val="28"/>
          <w:szCs w:val="28"/>
        </w:rPr>
      </w:pPr>
      <w:r>
        <w:rPr>
          <w:b/>
          <w:i/>
          <w:sz w:val="28"/>
          <w:szCs w:val="28"/>
        </w:rPr>
        <w:t xml:space="preserve">Disclaimer: </w:t>
      </w:r>
      <w:r w:rsidRPr="00A40CD0">
        <w:rPr>
          <w:i/>
          <w:sz w:val="28"/>
          <w:szCs w:val="28"/>
        </w:rPr>
        <w:t xml:space="preserve">This overview has been developed to facilitate the EPDP Team’s consideration of the concerns expressed and possible updates to the recommendations. However, this does not replace the EPDP Team’s obligation to review all input received in full </w:t>
      </w:r>
      <w:r>
        <w:rPr>
          <w:i/>
          <w:sz w:val="28"/>
          <w:szCs w:val="28"/>
        </w:rPr>
        <w:t>and</w:t>
      </w:r>
      <w:r w:rsidRPr="00A40CD0">
        <w:rPr>
          <w:i/>
          <w:sz w:val="28"/>
          <w:szCs w:val="28"/>
        </w:rPr>
        <w:t xml:space="preserve"> to </w:t>
      </w:r>
      <w:r>
        <w:rPr>
          <w:i/>
          <w:sz w:val="28"/>
          <w:szCs w:val="28"/>
        </w:rPr>
        <w:t>indicate</w:t>
      </w:r>
      <w:r w:rsidRPr="00A40CD0">
        <w:rPr>
          <w:i/>
          <w:sz w:val="28"/>
          <w:szCs w:val="28"/>
        </w:rPr>
        <w:t xml:space="preserve"> if any concerns</w:t>
      </w:r>
      <w:r>
        <w:rPr>
          <w:i/>
          <w:sz w:val="28"/>
          <w:szCs w:val="28"/>
        </w:rPr>
        <w:t xml:space="preserve"> in this overview</w:t>
      </w:r>
      <w:r w:rsidRPr="00A40CD0">
        <w:rPr>
          <w:i/>
          <w:sz w:val="28"/>
          <w:szCs w:val="28"/>
        </w:rPr>
        <w:t xml:space="preserve"> </w:t>
      </w:r>
      <w:r>
        <w:rPr>
          <w:i/>
          <w:sz w:val="28"/>
          <w:szCs w:val="28"/>
        </w:rPr>
        <w:t xml:space="preserve">have </w:t>
      </w:r>
      <w:r w:rsidRPr="00A40CD0">
        <w:rPr>
          <w:i/>
          <w:sz w:val="28"/>
          <w:szCs w:val="28"/>
        </w:rPr>
        <w:t>inadvertently been mischaracterized.</w:t>
      </w:r>
      <w:r>
        <w:rPr>
          <w:b/>
          <w:i/>
          <w:sz w:val="28"/>
          <w:szCs w:val="28"/>
        </w:rPr>
        <w:t xml:space="preserve"> </w:t>
      </w:r>
    </w:p>
    <w:p w14:paraId="68578F25" w14:textId="77777777" w:rsidR="00AF6EFD" w:rsidRDefault="00AF6EFD" w:rsidP="007F174E">
      <w:pPr>
        <w:rPr>
          <w:b/>
          <w:sz w:val="28"/>
          <w:szCs w:val="28"/>
        </w:rPr>
      </w:pPr>
    </w:p>
    <w:p w14:paraId="137F98EE" w14:textId="77777777" w:rsidR="007F174E" w:rsidRDefault="007F174E" w:rsidP="007F174E">
      <w:pPr>
        <w:rPr>
          <w:b/>
          <w:sz w:val="28"/>
          <w:szCs w:val="28"/>
        </w:rPr>
      </w:pPr>
      <w:r>
        <w:rPr>
          <w:b/>
          <w:sz w:val="28"/>
          <w:szCs w:val="28"/>
        </w:rPr>
        <w:t>Noted Concerns</w:t>
      </w:r>
    </w:p>
    <w:p w14:paraId="211AADEA" w14:textId="77777777" w:rsidR="007F174E" w:rsidRDefault="007F174E" w:rsidP="007F174E">
      <w:pPr>
        <w:rPr>
          <w:b/>
          <w:sz w:val="28"/>
          <w:szCs w:val="28"/>
        </w:rPr>
      </w:pPr>
    </w:p>
    <w:tbl>
      <w:tblPr>
        <w:tblStyle w:val="TableGrid"/>
        <w:tblW w:w="0" w:type="auto"/>
        <w:tblLook w:val="04A0" w:firstRow="1" w:lastRow="0" w:firstColumn="1" w:lastColumn="0" w:noHBand="0" w:noVBand="1"/>
      </w:tblPr>
      <w:tblGrid>
        <w:gridCol w:w="3597"/>
        <w:gridCol w:w="3598"/>
        <w:gridCol w:w="3597"/>
        <w:gridCol w:w="3598"/>
      </w:tblGrid>
      <w:tr w:rsidR="008E2557" w14:paraId="58697DB6" w14:textId="42B633C6" w:rsidTr="008E2557">
        <w:tc>
          <w:tcPr>
            <w:tcW w:w="3597" w:type="dxa"/>
            <w:shd w:val="clear" w:color="auto" w:fill="F7CAAC" w:themeFill="accent2" w:themeFillTint="66"/>
          </w:tcPr>
          <w:p w14:paraId="178EC07A" w14:textId="77777777" w:rsidR="008E2557" w:rsidRDefault="008E2557" w:rsidP="00DA3F06">
            <w:pPr>
              <w:rPr>
                <w:b/>
                <w:sz w:val="28"/>
                <w:szCs w:val="28"/>
              </w:rPr>
            </w:pPr>
            <w:r>
              <w:rPr>
                <w:b/>
                <w:sz w:val="28"/>
                <w:szCs w:val="28"/>
              </w:rPr>
              <w:t>Concern</w:t>
            </w:r>
          </w:p>
        </w:tc>
        <w:tc>
          <w:tcPr>
            <w:tcW w:w="3598" w:type="dxa"/>
            <w:shd w:val="clear" w:color="auto" w:fill="F7CAAC" w:themeFill="accent2" w:themeFillTint="66"/>
          </w:tcPr>
          <w:p w14:paraId="5A7AD352" w14:textId="77777777" w:rsidR="008E2557" w:rsidRDefault="008E2557" w:rsidP="00DA3F06">
            <w:pPr>
              <w:rPr>
                <w:b/>
                <w:sz w:val="28"/>
                <w:szCs w:val="28"/>
              </w:rPr>
            </w:pPr>
            <w:r>
              <w:rPr>
                <w:b/>
                <w:sz w:val="28"/>
                <w:szCs w:val="28"/>
              </w:rPr>
              <w:t>Corresponding PCRT Comment #</w:t>
            </w:r>
          </w:p>
        </w:tc>
        <w:tc>
          <w:tcPr>
            <w:tcW w:w="3597" w:type="dxa"/>
            <w:shd w:val="clear" w:color="auto" w:fill="F7CAAC" w:themeFill="accent2" w:themeFillTint="66"/>
          </w:tcPr>
          <w:p w14:paraId="3509EA2D" w14:textId="1A14E658" w:rsidR="008E2557" w:rsidRDefault="008E2557" w:rsidP="00DA3F06">
            <w:pPr>
              <w:rPr>
                <w:b/>
                <w:sz w:val="28"/>
                <w:szCs w:val="28"/>
              </w:rPr>
            </w:pPr>
            <w:r>
              <w:rPr>
                <w:b/>
                <w:sz w:val="28"/>
                <w:szCs w:val="28"/>
              </w:rPr>
              <w:t>Proposed EPDP Team Response to concerns</w:t>
            </w:r>
          </w:p>
        </w:tc>
        <w:tc>
          <w:tcPr>
            <w:tcW w:w="3598" w:type="dxa"/>
            <w:shd w:val="clear" w:color="auto" w:fill="F7CAAC" w:themeFill="accent2" w:themeFillTint="66"/>
          </w:tcPr>
          <w:p w14:paraId="62ED0B1E" w14:textId="40C4F901" w:rsidR="008E2557" w:rsidRDefault="008E2557" w:rsidP="00DA3F06">
            <w:pPr>
              <w:rPr>
                <w:b/>
                <w:sz w:val="28"/>
                <w:szCs w:val="28"/>
              </w:rPr>
            </w:pPr>
            <w:r>
              <w:rPr>
                <w:b/>
                <w:sz w:val="28"/>
                <w:szCs w:val="28"/>
              </w:rPr>
              <w:t>Proposed modification / rewording for EPDP Team Consideration</w:t>
            </w:r>
          </w:p>
        </w:tc>
      </w:tr>
      <w:tr w:rsidR="008E2557" w14:paraId="52D4CFAB" w14:textId="3AD07616" w:rsidTr="008E2557">
        <w:tc>
          <w:tcPr>
            <w:tcW w:w="3597" w:type="dxa"/>
          </w:tcPr>
          <w:p w14:paraId="6208A640" w14:textId="77777777" w:rsidR="008E2557" w:rsidRPr="007950A5" w:rsidRDefault="008E2557" w:rsidP="00DA3F06">
            <w:pPr>
              <w:rPr>
                <w:sz w:val="28"/>
                <w:szCs w:val="28"/>
              </w:rPr>
            </w:pPr>
            <w:r>
              <w:rPr>
                <w:sz w:val="28"/>
                <w:szCs w:val="28"/>
              </w:rPr>
              <w:t xml:space="preserve">Appropriate joint controller agreements/resolution of ICANN as a joint controller/controller are a prerequisite to this purpose. </w:t>
            </w:r>
          </w:p>
        </w:tc>
        <w:tc>
          <w:tcPr>
            <w:tcW w:w="3598" w:type="dxa"/>
          </w:tcPr>
          <w:p w14:paraId="180C3A03" w14:textId="77777777" w:rsidR="008E2557" w:rsidRDefault="008E2557" w:rsidP="00DA3F06">
            <w:pPr>
              <w:rPr>
                <w:sz w:val="28"/>
                <w:szCs w:val="28"/>
              </w:rPr>
            </w:pPr>
            <w:r>
              <w:rPr>
                <w:sz w:val="28"/>
                <w:szCs w:val="28"/>
              </w:rPr>
              <w:t>6, 7, 9</w:t>
            </w:r>
          </w:p>
          <w:p w14:paraId="00DEDE1D" w14:textId="41D9732B" w:rsidR="008E2557" w:rsidRPr="00362929" w:rsidRDefault="008E2557" w:rsidP="00DA3F06">
            <w:pPr>
              <w:rPr>
                <w:sz w:val="28"/>
                <w:szCs w:val="28"/>
              </w:rPr>
            </w:pPr>
            <w:r>
              <w:rPr>
                <w:sz w:val="28"/>
                <w:szCs w:val="28"/>
              </w:rPr>
              <w:t xml:space="preserve">(GoDaddy, Key-Systems, </w:t>
            </w:r>
            <w:proofErr w:type="spellStart"/>
            <w:r>
              <w:rPr>
                <w:sz w:val="28"/>
                <w:szCs w:val="28"/>
              </w:rPr>
              <w:t>RrSG</w:t>
            </w:r>
            <w:proofErr w:type="spellEnd"/>
            <w:r>
              <w:rPr>
                <w:sz w:val="28"/>
                <w:szCs w:val="28"/>
              </w:rPr>
              <w:t xml:space="preserve">) </w:t>
            </w:r>
          </w:p>
        </w:tc>
        <w:tc>
          <w:tcPr>
            <w:tcW w:w="3597" w:type="dxa"/>
          </w:tcPr>
          <w:p w14:paraId="5DE8D7D7" w14:textId="228F7310" w:rsidR="008E2557" w:rsidRDefault="008E2557" w:rsidP="00DA3F06">
            <w:pPr>
              <w:rPr>
                <w:sz w:val="28"/>
                <w:szCs w:val="28"/>
              </w:rPr>
            </w:pPr>
            <w:r>
              <w:rPr>
                <w:sz w:val="28"/>
                <w:szCs w:val="28"/>
              </w:rPr>
              <w:t>(Draft response)</w:t>
            </w:r>
          </w:p>
          <w:p w14:paraId="00FBB17E" w14:textId="2AB6C187" w:rsidR="008E2557" w:rsidRPr="00362929" w:rsidRDefault="008E2557" w:rsidP="00DA3F06">
            <w:pPr>
              <w:rPr>
                <w:sz w:val="28"/>
                <w:szCs w:val="28"/>
              </w:rPr>
            </w:pPr>
            <w:r>
              <w:rPr>
                <w:sz w:val="28"/>
                <w:szCs w:val="28"/>
              </w:rPr>
              <w:t xml:space="preserve">The EPDP Team notes that this is a </w:t>
            </w:r>
            <w:r w:rsidRPr="008E2557">
              <w:rPr>
                <w:sz w:val="28"/>
                <w:szCs w:val="28"/>
              </w:rPr>
              <w:t xml:space="preserve">broader issue that has been discussed and </w:t>
            </w:r>
            <w:r>
              <w:rPr>
                <w:sz w:val="28"/>
                <w:szCs w:val="28"/>
              </w:rPr>
              <w:t xml:space="preserve">is </w:t>
            </w:r>
            <w:r w:rsidRPr="008E2557">
              <w:rPr>
                <w:sz w:val="28"/>
                <w:szCs w:val="28"/>
              </w:rPr>
              <w:t xml:space="preserve">still under discussion. </w:t>
            </w:r>
            <w:r>
              <w:rPr>
                <w:sz w:val="28"/>
                <w:szCs w:val="28"/>
              </w:rPr>
              <w:t>The EPDP Team will review this question in the context of its consideration of recommendation #13</w:t>
            </w:r>
            <w:r w:rsidRPr="008E2557">
              <w:rPr>
                <w:sz w:val="28"/>
                <w:szCs w:val="28"/>
              </w:rPr>
              <w:t xml:space="preserve"> to see the extent to which further refinement would be needed here. </w:t>
            </w:r>
            <w:r>
              <w:rPr>
                <w:sz w:val="28"/>
                <w:szCs w:val="28"/>
              </w:rPr>
              <w:t>It was noted though that a</w:t>
            </w:r>
            <w:r w:rsidRPr="008E2557">
              <w:rPr>
                <w:sz w:val="28"/>
                <w:szCs w:val="28"/>
              </w:rPr>
              <w:t xml:space="preserve">ny transfer of data </w:t>
            </w:r>
            <w:r>
              <w:rPr>
                <w:sz w:val="28"/>
                <w:szCs w:val="28"/>
              </w:rPr>
              <w:t xml:space="preserve">will </w:t>
            </w:r>
            <w:r w:rsidRPr="008E2557">
              <w:rPr>
                <w:sz w:val="28"/>
                <w:szCs w:val="28"/>
              </w:rPr>
              <w:t>require some type of agreement.</w:t>
            </w:r>
          </w:p>
        </w:tc>
        <w:tc>
          <w:tcPr>
            <w:tcW w:w="3598" w:type="dxa"/>
          </w:tcPr>
          <w:p w14:paraId="6A4EEAF4" w14:textId="77777777" w:rsidR="008E2557" w:rsidRPr="00362929" w:rsidRDefault="008E2557" w:rsidP="00DA3F06">
            <w:pPr>
              <w:rPr>
                <w:sz w:val="28"/>
                <w:szCs w:val="28"/>
              </w:rPr>
            </w:pPr>
          </w:p>
        </w:tc>
      </w:tr>
      <w:tr w:rsidR="008E2557" w14:paraId="164C7113" w14:textId="70987EFC" w:rsidTr="008E2557">
        <w:tc>
          <w:tcPr>
            <w:tcW w:w="3597" w:type="dxa"/>
          </w:tcPr>
          <w:p w14:paraId="492FAE7E" w14:textId="77777777" w:rsidR="008E2557" w:rsidRDefault="008E2557" w:rsidP="00DA3F06">
            <w:pPr>
              <w:rPr>
                <w:sz w:val="28"/>
                <w:szCs w:val="28"/>
              </w:rPr>
            </w:pPr>
            <w:r>
              <w:rPr>
                <w:sz w:val="28"/>
                <w:szCs w:val="28"/>
              </w:rPr>
              <w:t xml:space="preserve">The current wording is ambiguous in parts and </w:t>
            </w:r>
            <w:r>
              <w:rPr>
                <w:sz w:val="28"/>
                <w:szCs w:val="28"/>
              </w:rPr>
              <w:lastRenderedPageBreak/>
              <w:t>needs to be narrowly tailored and the data processing needs to be fit-for-purpose. (Various proposals of how to cure ambiguity is included in the corresponding comments.)</w:t>
            </w:r>
          </w:p>
        </w:tc>
        <w:tc>
          <w:tcPr>
            <w:tcW w:w="3598" w:type="dxa"/>
          </w:tcPr>
          <w:p w14:paraId="01EA9208" w14:textId="77777777" w:rsidR="008E2557" w:rsidRDefault="008E2557" w:rsidP="00DA3F06">
            <w:pPr>
              <w:rPr>
                <w:sz w:val="28"/>
                <w:szCs w:val="28"/>
              </w:rPr>
            </w:pPr>
            <w:r>
              <w:rPr>
                <w:sz w:val="28"/>
                <w:szCs w:val="28"/>
              </w:rPr>
              <w:lastRenderedPageBreak/>
              <w:t>6, 8, 11, 12, 13, 15, 17</w:t>
            </w:r>
          </w:p>
          <w:p w14:paraId="4546016C" w14:textId="58555101" w:rsidR="008E2557" w:rsidRDefault="008E2557" w:rsidP="00DA3F06">
            <w:pPr>
              <w:rPr>
                <w:sz w:val="28"/>
                <w:szCs w:val="28"/>
              </w:rPr>
            </w:pPr>
            <w:r>
              <w:rPr>
                <w:sz w:val="28"/>
                <w:szCs w:val="28"/>
              </w:rPr>
              <w:lastRenderedPageBreak/>
              <w:t xml:space="preserve">(GoDaddy, </w:t>
            </w:r>
            <w:r w:rsidRPr="00B97659">
              <w:rPr>
                <w:sz w:val="28"/>
                <w:szCs w:val="28"/>
              </w:rPr>
              <w:t>Association of the Internet Industry</w:t>
            </w:r>
            <w:r>
              <w:rPr>
                <w:sz w:val="28"/>
                <w:szCs w:val="28"/>
              </w:rPr>
              <w:t>, I</w:t>
            </w:r>
            <w:r w:rsidRPr="00B97659">
              <w:rPr>
                <w:sz w:val="28"/>
                <w:szCs w:val="28"/>
              </w:rPr>
              <w:t>SPCP</w:t>
            </w:r>
            <w:r>
              <w:rPr>
                <w:sz w:val="28"/>
                <w:szCs w:val="28"/>
              </w:rPr>
              <w:t>, i2Coalition, L</w:t>
            </w:r>
            <w:r w:rsidRPr="00B97659">
              <w:rPr>
                <w:sz w:val="28"/>
                <w:szCs w:val="28"/>
              </w:rPr>
              <w:t>eap of Faith Financial Services Inc.</w:t>
            </w:r>
            <w:r>
              <w:rPr>
                <w:sz w:val="28"/>
                <w:szCs w:val="28"/>
              </w:rPr>
              <w:t>, RySG, GOVERNMENT OF INDIA, Internet Governance Project)</w:t>
            </w:r>
          </w:p>
        </w:tc>
        <w:tc>
          <w:tcPr>
            <w:tcW w:w="3597" w:type="dxa"/>
          </w:tcPr>
          <w:p w14:paraId="46DF1FDB" w14:textId="2E7AEB26" w:rsidR="008E2557" w:rsidRDefault="008E2557" w:rsidP="008E2557">
            <w:r>
              <w:rPr>
                <w:sz w:val="28"/>
                <w:szCs w:val="28"/>
              </w:rPr>
              <w:lastRenderedPageBreak/>
              <w:t xml:space="preserve">(Action item: </w:t>
            </w:r>
            <w:r w:rsidRPr="008E2557">
              <w:rPr>
                <w:sz w:val="28"/>
                <w:szCs w:val="28"/>
              </w:rPr>
              <w:t xml:space="preserve">Kristina to put together a chart that sets out </w:t>
            </w:r>
            <w:r w:rsidRPr="008E2557">
              <w:rPr>
                <w:sz w:val="28"/>
                <w:szCs w:val="28"/>
              </w:rPr>
              <w:lastRenderedPageBreak/>
              <w:t>the specific requested changes in relation to purpose 5 with the objective to identify a potential compromise</w:t>
            </w:r>
            <w:r>
              <w:rPr>
                <w:sz w:val="28"/>
                <w:szCs w:val="28"/>
              </w:rPr>
              <w:t>)</w:t>
            </w:r>
            <w:r w:rsidRPr="008E2557">
              <w:rPr>
                <w:sz w:val="28"/>
                <w:szCs w:val="28"/>
              </w:rPr>
              <w:t>.</w:t>
            </w:r>
          </w:p>
          <w:p w14:paraId="29B16A6C" w14:textId="4F31D5CE" w:rsidR="008E2557" w:rsidRPr="00362929" w:rsidRDefault="008E2557" w:rsidP="00DA3F06">
            <w:pPr>
              <w:rPr>
                <w:sz w:val="28"/>
                <w:szCs w:val="28"/>
              </w:rPr>
            </w:pPr>
          </w:p>
        </w:tc>
        <w:tc>
          <w:tcPr>
            <w:tcW w:w="3598" w:type="dxa"/>
          </w:tcPr>
          <w:p w14:paraId="254C7C6A" w14:textId="77777777" w:rsidR="008E2557" w:rsidRDefault="008E2557" w:rsidP="00DA3F06">
            <w:pPr>
              <w:rPr>
                <w:sz w:val="28"/>
                <w:szCs w:val="28"/>
              </w:rPr>
            </w:pPr>
          </w:p>
        </w:tc>
      </w:tr>
      <w:tr w:rsidR="008E2557" w14:paraId="58A2912B" w14:textId="024DB385" w:rsidTr="008E2557">
        <w:tc>
          <w:tcPr>
            <w:tcW w:w="3597" w:type="dxa"/>
          </w:tcPr>
          <w:p w14:paraId="0D9AB674" w14:textId="77777777" w:rsidR="008E2557" w:rsidRDefault="008E2557" w:rsidP="00DA3F06">
            <w:pPr>
              <w:rPr>
                <w:sz w:val="28"/>
                <w:szCs w:val="28"/>
              </w:rPr>
            </w:pPr>
            <w:r>
              <w:rPr>
                <w:sz w:val="28"/>
                <w:szCs w:val="28"/>
              </w:rPr>
              <w:t>Data processing should only occur for reasonable complaints.</w:t>
            </w:r>
          </w:p>
        </w:tc>
        <w:tc>
          <w:tcPr>
            <w:tcW w:w="3598" w:type="dxa"/>
          </w:tcPr>
          <w:p w14:paraId="69111609" w14:textId="77777777" w:rsidR="008E2557" w:rsidRDefault="008E2557" w:rsidP="00DA3F06">
            <w:pPr>
              <w:rPr>
                <w:sz w:val="28"/>
                <w:szCs w:val="28"/>
              </w:rPr>
            </w:pPr>
            <w:r>
              <w:rPr>
                <w:sz w:val="28"/>
                <w:szCs w:val="28"/>
              </w:rPr>
              <w:t>14</w:t>
            </w:r>
          </w:p>
          <w:p w14:paraId="03563DBC" w14:textId="25A81DC5" w:rsidR="008E2557" w:rsidRDefault="008E2557" w:rsidP="00DA3F06">
            <w:pPr>
              <w:rPr>
                <w:sz w:val="28"/>
                <w:szCs w:val="28"/>
              </w:rPr>
            </w:pPr>
            <w:r>
              <w:rPr>
                <w:sz w:val="28"/>
                <w:szCs w:val="28"/>
              </w:rPr>
              <w:t>(D</w:t>
            </w:r>
            <w:r w:rsidRPr="00B97659">
              <w:rPr>
                <w:sz w:val="28"/>
                <w:szCs w:val="28"/>
              </w:rPr>
              <w:t>omain Name Rights Coalition</w:t>
            </w:r>
            <w:r>
              <w:rPr>
                <w:sz w:val="28"/>
                <w:szCs w:val="28"/>
              </w:rPr>
              <w:t>)</w:t>
            </w:r>
          </w:p>
        </w:tc>
        <w:tc>
          <w:tcPr>
            <w:tcW w:w="3597" w:type="dxa"/>
          </w:tcPr>
          <w:p w14:paraId="665A5119" w14:textId="77777777" w:rsidR="008E2557" w:rsidRDefault="008E2557" w:rsidP="00DA3F06">
            <w:pPr>
              <w:rPr>
                <w:sz w:val="28"/>
                <w:szCs w:val="28"/>
              </w:rPr>
            </w:pPr>
            <w:r>
              <w:rPr>
                <w:sz w:val="28"/>
                <w:szCs w:val="28"/>
              </w:rPr>
              <w:t>(Draft response)</w:t>
            </w:r>
          </w:p>
          <w:p w14:paraId="1E8B149D" w14:textId="665DEB15" w:rsidR="008E2557" w:rsidRDefault="008E2557" w:rsidP="00DA3F06">
            <w:pPr>
              <w:rPr>
                <w:sz w:val="28"/>
                <w:szCs w:val="28"/>
              </w:rPr>
            </w:pPr>
            <w:r>
              <w:rPr>
                <w:sz w:val="28"/>
                <w:szCs w:val="28"/>
              </w:rPr>
              <w:t>The EPDP Team notes that this is embodied in the GDPR and the related compliance.</w:t>
            </w:r>
          </w:p>
        </w:tc>
        <w:tc>
          <w:tcPr>
            <w:tcW w:w="3598" w:type="dxa"/>
          </w:tcPr>
          <w:p w14:paraId="79ECB3F4" w14:textId="0949D9D3" w:rsidR="008E2557" w:rsidRDefault="008E2557" w:rsidP="00DA3F06">
            <w:pPr>
              <w:rPr>
                <w:sz w:val="28"/>
                <w:szCs w:val="28"/>
              </w:rPr>
            </w:pPr>
            <w:r>
              <w:rPr>
                <w:sz w:val="28"/>
                <w:szCs w:val="28"/>
              </w:rPr>
              <w:t>None</w:t>
            </w:r>
            <w:bookmarkStart w:id="0" w:name="_GoBack"/>
            <w:bookmarkEnd w:id="0"/>
          </w:p>
        </w:tc>
      </w:tr>
      <w:tr w:rsidR="008E2557" w14:paraId="2A3B8745" w14:textId="08C09228" w:rsidTr="008E2557">
        <w:tc>
          <w:tcPr>
            <w:tcW w:w="3597" w:type="dxa"/>
          </w:tcPr>
          <w:p w14:paraId="6FA7F90F" w14:textId="77777777" w:rsidR="008E2557" w:rsidRDefault="008E2557" w:rsidP="00DA3F06">
            <w:pPr>
              <w:rPr>
                <w:sz w:val="28"/>
                <w:szCs w:val="28"/>
              </w:rPr>
            </w:pPr>
            <w:r>
              <w:rPr>
                <w:sz w:val="28"/>
                <w:szCs w:val="28"/>
              </w:rPr>
              <w:t>ICANN org should be entitled to submit compliance monitoring requests.</w:t>
            </w:r>
          </w:p>
        </w:tc>
        <w:tc>
          <w:tcPr>
            <w:tcW w:w="3598" w:type="dxa"/>
          </w:tcPr>
          <w:p w14:paraId="2B4ACB51" w14:textId="77777777" w:rsidR="008E2557" w:rsidRDefault="008E2557" w:rsidP="00DA3F06">
            <w:pPr>
              <w:rPr>
                <w:sz w:val="28"/>
                <w:szCs w:val="28"/>
              </w:rPr>
            </w:pPr>
            <w:r>
              <w:rPr>
                <w:sz w:val="28"/>
                <w:szCs w:val="28"/>
              </w:rPr>
              <w:t>16</w:t>
            </w:r>
          </w:p>
          <w:p w14:paraId="1A0A9782" w14:textId="108AA2EE" w:rsidR="008E2557" w:rsidRDefault="008E2557" w:rsidP="00DA3F06">
            <w:pPr>
              <w:rPr>
                <w:sz w:val="28"/>
                <w:szCs w:val="28"/>
              </w:rPr>
            </w:pPr>
            <w:r>
              <w:rPr>
                <w:sz w:val="28"/>
                <w:szCs w:val="28"/>
              </w:rPr>
              <w:t>(</w:t>
            </w:r>
            <w:proofErr w:type="spellStart"/>
            <w:r>
              <w:rPr>
                <w:sz w:val="28"/>
                <w:szCs w:val="28"/>
              </w:rPr>
              <w:t>i</w:t>
            </w:r>
            <w:r w:rsidRPr="00B97659">
              <w:rPr>
                <w:sz w:val="28"/>
                <w:szCs w:val="28"/>
              </w:rPr>
              <w:t>Threat</w:t>
            </w:r>
            <w:proofErr w:type="spellEnd"/>
            <w:r w:rsidRPr="00B97659">
              <w:rPr>
                <w:sz w:val="28"/>
                <w:szCs w:val="28"/>
              </w:rPr>
              <w:t xml:space="preserve"> Cyber Group</w:t>
            </w:r>
            <w:r>
              <w:rPr>
                <w:sz w:val="28"/>
                <w:szCs w:val="28"/>
              </w:rPr>
              <w:t>)</w:t>
            </w:r>
          </w:p>
        </w:tc>
        <w:tc>
          <w:tcPr>
            <w:tcW w:w="3597" w:type="dxa"/>
          </w:tcPr>
          <w:p w14:paraId="5762F15D" w14:textId="0070EB7F" w:rsidR="008E2557" w:rsidRDefault="008E2557" w:rsidP="00DA3F06">
            <w:pPr>
              <w:rPr>
                <w:sz w:val="28"/>
                <w:szCs w:val="28"/>
              </w:rPr>
            </w:pPr>
            <w:r>
              <w:rPr>
                <w:sz w:val="28"/>
                <w:szCs w:val="28"/>
              </w:rPr>
              <w:t>(Draft response)</w:t>
            </w:r>
          </w:p>
          <w:p w14:paraId="472FB9AD" w14:textId="77777777" w:rsidR="008E2557" w:rsidRDefault="008E2557" w:rsidP="00DA3F06">
            <w:pPr>
              <w:rPr>
                <w:sz w:val="28"/>
                <w:szCs w:val="28"/>
              </w:rPr>
            </w:pPr>
            <w:r>
              <w:rPr>
                <w:sz w:val="28"/>
                <w:szCs w:val="28"/>
              </w:rPr>
              <w:t xml:space="preserve">The EPDP Team noted that this may require further investigation. </w:t>
            </w:r>
          </w:p>
          <w:p w14:paraId="609D2162" w14:textId="77777777" w:rsidR="008E2557" w:rsidRDefault="008E2557" w:rsidP="00DA3F06">
            <w:pPr>
              <w:rPr>
                <w:sz w:val="28"/>
                <w:szCs w:val="28"/>
              </w:rPr>
            </w:pPr>
          </w:p>
          <w:p w14:paraId="23630ECD" w14:textId="0ADB6AE9" w:rsidR="008E2557" w:rsidRDefault="008E2557" w:rsidP="00DA3F06">
            <w:pPr>
              <w:rPr>
                <w:sz w:val="28"/>
                <w:szCs w:val="28"/>
              </w:rPr>
            </w:pPr>
            <w:r>
              <w:rPr>
                <w:sz w:val="28"/>
                <w:szCs w:val="28"/>
              </w:rPr>
              <w:t>(</w:t>
            </w:r>
            <w:r w:rsidRPr="008E2557">
              <w:rPr>
                <w:i/>
                <w:sz w:val="28"/>
                <w:szCs w:val="28"/>
              </w:rPr>
              <w:t>Question for small team B: is ICANN Org prohibited from doing so through the current purpose wording and/or other recommendations?)</w:t>
            </w:r>
          </w:p>
        </w:tc>
        <w:tc>
          <w:tcPr>
            <w:tcW w:w="3598" w:type="dxa"/>
          </w:tcPr>
          <w:p w14:paraId="5EB3ABF9" w14:textId="77777777" w:rsidR="008E2557" w:rsidRDefault="008E2557" w:rsidP="00DA3F06">
            <w:pPr>
              <w:rPr>
                <w:sz w:val="28"/>
                <w:szCs w:val="28"/>
              </w:rPr>
            </w:pPr>
          </w:p>
        </w:tc>
      </w:tr>
      <w:tr w:rsidR="008E2557" w14:paraId="62ADE648" w14:textId="2DD94613" w:rsidTr="008E2557">
        <w:tc>
          <w:tcPr>
            <w:tcW w:w="3597" w:type="dxa"/>
          </w:tcPr>
          <w:p w14:paraId="48C12FC4" w14:textId="77777777" w:rsidR="008E2557" w:rsidRDefault="008E2557" w:rsidP="00DA3F06">
            <w:pPr>
              <w:rPr>
                <w:sz w:val="28"/>
                <w:szCs w:val="28"/>
              </w:rPr>
            </w:pPr>
            <w:r>
              <w:rPr>
                <w:sz w:val="28"/>
                <w:szCs w:val="28"/>
              </w:rPr>
              <w:t>If Purpose 1 is reworded appropriately, this purpose becomes unnecessary.</w:t>
            </w:r>
          </w:p>
        </w:tc>
        <w:tc>
          <w:tcPr>
            <w:tcW w:w="3598" w:type="dxa"/>
          </w:tcPr>
          <w:p w14:paraId="677C1EDE" w14:textId="77777777" w:rsidR="008E2557" w:rsidRDefault="008E2557" w:rsidP="00DA3F06">
            <w:pPr>
              <w:rPr>
                <w:sz w:val="28"/>
                <w:szCs w:val="28"/>
              </w:rPr>
            </w:pPr>
            <w:r>
              <w:rPr>
                <w:sz w:val="28"/>
                <w:szCs w:val="28"/>
              </w:rPr>
              <w:t>18</w:t>
            </w:r>
          </w:p>
          <w:p w14:paraId="365259E8" w14:textId="5C8854EE" w:rsidR="008E2557" w:rsidRDefault="008E2557" w:rsidP="00DA3F06">
            <w:pPr>
              <w:rPr>
                <w:sz w:val="28"/>
                <w:szCs w:val="28"/>
              </w:rPr>
            </w:pPr>
            <w:r>
              <w:rPr>
                <w:sz w:val="28"/>
                <w:szCs w:val="28"/>
              </w:rPr>
              <w:t>(John Poole, Domain Name Registrant)</w:t>
            </w:r>
          </w:p>
        </w:tc>
        <w:tc>
          <w:tcPr>
            <w:tcW w:w="3597" w:type="dxa"/>
          </w:tcPr>
          <w:p w14:paraId="3A11FA7A" w14:textId="77777777" w:rsidR="008E2557" w:rsidRDefault="008E2557" w:rsidP="00DA3F06">
            <w:pPr>
              <w:rPr>
                <w:sz w:val="28"/>
                <w:szCs w:val="28"/>
              </w:rPr>
            </w:pPr>
            <w:r>
              <w:rPr>
                <w:sz w:val="28"/>
                <w:szCs w:val="28"/>
              </w:rPr>
              <w:t>(Draft response)</w:t>
            </w:r>
          </w:p>
          <w:p w14:paraId="7F9770D7" w14:textId="7DC9A9CF" w:rsidR="008E2557" w:rsidRPr="008E2557" w:rsidRDefault="008E2557" w:rsidP="008E2557">
            <w:pPr>
              <w:rPr>
                <w:sz w:val="28"/>
                <w:szCs w:val="28"/>
              </w:rPr>
            </w:pPr>
            <w:r>
              <w:rPr>
                <w:sz w:val="28"/>
                <w:szCs w:val="28"/>
              </w:rPr>
              <w:t xml:space="preserve">The EPDP Team </w:t>
            </w:r>
            <w:r w:rsidRPr="008E2557">
              <w:rPr>
                <w:sz w:val="28"/>
                <w:szCs w:val="28"/>
              </w:rPr>
              <w:t>is of the view that this is clearly a separate purpose</w:t>
            </w:r>
            <w:r>
              <w:rPr>
                <w:sz w:val="28"/>
                <w:szCs w:val="28"/>
              </w:rPr>
              <w:t xml:space="preserve"> from purpose 1. </w:t>
            </w:r>
          </w:p>
          <w:p w14:paraId="104FDBBF" w14:textId="77F2B1CD" w:rsidR="008E2557" w:rsidRDefault="008E2557" w:rsidP="00DA3F06">
            <w:pPr>
              <w:rPr>
                <w:sz w:val="28"/>
                <w:szCs w:val="28"/>
              </w:rPr>
            </w:pPr>
          </w:p>
        </w:tc>
        <w:tc>
          <w:tcPr>
            <w:tcW w:w="3598" w:type="dxa"/>
          </w:tcPr>
          <w:p w14:paraId="03621FD9" w14:textId="24AB85B5" w:rsidR="008E2557" w:rsidRDefault="008E2557" w:rsidP="00DA3F06">
            <w:pPr>
              <w:rPr>
                <w:sz w:val="28"/>
                <w:szCs w:val="28"/>
              </w:rPr>
            </w:pPr>
            <w:r>
              <w:rPr>
                <w:sz w:val="28"/>
                <w:szCs w:val="28"/>
              </w:rPr>
              <w:t>None</w:t>
            </w:r>
          </w:p>
        </w:tc>
      </w:tr>
    </w:tbl>
    <w:p w14:paraId="44684554" w14:textId="77777777" w:rsidR="007F174E" w:rsidRDefault="007F174E" w:rsidP="007F174E">
      <w:pPr>
        <w:rPr>
          <w:b/>
          <w:sz w:val="28"/>
          <w:szCs w:val="28"/>
        </w:rPr>
      </w:pPr>
    </w:p>
    <w:sectPr w:rsidR="007F174E" w:rsidSect="007B7DD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74E"/>
    <w:rsid w:val="00052832"/>
    <w:rsid w:val="00404709"/>
    <w:rsid w:val="004076B0"/>
    <w:rsid w:val="00440B65"/>
    <w:rsid w:val="004C0BA4"/>
    <w:rsid w:val="005A12E4"/>
    <w:rsid w:val="005B00A1"/>
    <w:rsid w:val="007F174E"/>
    <w:rsid w:val="008630F3"/>
    <w:rsid w:val="008E2557"/>
    <w:rsid w:val="00AF6EFD"/>
    <w:rsid w:val="00B97659"/>
    <w:rsid w:val="00CE648C"/>
    <w:rsid w:val="00DC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1233"/>
  <w15:chartTrackingRefBased/>
  <w15:docId w15:val="{9E8F9777-E14B-E544-B778-C0A85465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17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985965">
      <w:bodyDiv w:val="1"/>
      <w:marLeft w:val="0"/>
      <w:marRight w:val="0"/>
      <w:marTop w:val="0"/>
      <w:marBottom w:val="0"/>
      <w:divBdr>
        <w:top w:val="none" w:sz="0" w:space="0" w:color="auto"/>
        <w:left w:val="none" w:sz="0" w:space="0" w:color="auto"/>
        <w:bottom w:val="none" w:sz="0" w:space="0" w:color="auto"/>
        <w:right w:val="none" w:sz="0" w:space="0" w:color="auto"/>
      </w:divBdr>
    </w:div>
    <w:div w:id="522717662">
      <w:bodyDiv w:val="1"/>
      <w:marLeft w:val="0"/>
      <w:marRight w:val="0"/>
      <w:marTop w:val="0"/>
      <w:marBottom w:val="0"/>
      <w:divBdr>
        <w:top w:val="none" w:sz="0" w:space="0" w:color="auto"/>
        <w:left w:val="none" w:sz="0" w:space="0" w:color="auto"/>
        <w:bottom w:val="none" w:sz="0" w:space="0" w:color="auto"/>
        <w:right w:val="none" w:sz="0" w:space="0" w:color="auto"/>
      </w:divBdr>
    </w:div>
    <w:div w:id="665015699">
      <w:bodyDiv w:val="1"/>
      <w:marLeft w:val="0"/>
      <w:marRight w:val="0"/>
      <w:marTop w:val="0"/>
      <w:marBottom w:val="0"/>
      <w:divBdr>
        <w:top w:val="none" w:sz="0" w:space="0" w:color="auto"/>
        <w:left w:val="none" w:sz="0" w:space="0" w:color="auto"/>
        <w:bottom w:val="none" w:sz="0" w:space="0" w:color="auto"/>
        <w:right w:val="none" w:sz="0" w:space="0" w:color="auto"/>
      </w:divBdr>
    </w:div>
    <w:div w:id="850875393">
      <w:bodyDiv w:val="1"/>
      <w:marLeft w:val="0"/>
      <w:marRight w:val="0"/>
      <w:marTop w:val="0"/>
      <w:marBottom w:val="0"/>
      <w:divBdr>
        <w:top w:val="none" w:sz="0" w:space="0" w:color="auto"/>
        <w:left w:val="none" w:sz="0" w:space="0" w:color="auto"/>
        <w:bottom w:val="none" w:sz="0" w:space="0" w:color="auto"/>
        <w:right w:val="none" w:sz="0" w:space="0" w:color="auto"/>
      </w:divBdr>
    </w:div>
    <w:div w:id="887912393">
      <w:bodyDiv w:val="1"/>
      <w:marLeft w:val="0"/>
      <w:marRight w:val="0"/>
      <w:marTop w:val="0"/>
      <w:marBottom w:val="0"/>
      <w:divBdr>
        <w:top w:val="none" w:sz="0" w:space="0" w:color="auto"/>
        <w:left w:val="none" w:sz="0" w:space="0" w:color="auto"/>
        <w:bottom w:val="none" w:sz="0" w:space="0" w:color="auto"/>
        <w:right w:val="none" w:sz="0" w:space="0" w:color="auto"/>
      </w:divBdr>
    </w:div>
    <w:div w:id="970743938">
      <w:bodyDiv w:val="1"/>
      <w:marLeft w:val="0"/>
      <w:marRight w:val="0"/>
      <w:marTop w:val="0"/>
      <w:marBottom w:val="0"/>
      <w:divBdr>
        <w:top w:val="none" w:sz="0" w:space="0" w:color="auto"/>
        <w:left w:val="none" w:sz="0" w:space="0" w:color="auto"/>
        <w:bottom w:val="none" w:sz="0" w:space="0" w:color="auto"/>
        <w:right w:val="none" w:sz="0" w:space="0" w:color="auto"/>
      </w:divBdr>
    </w:div>
    <w:div w:id="1292780715">
      <w:bodyDiv w:val="1"/>
      <w:marLeft w:val="0"/>
      <w:marRight w:val="0"/>
      <w:marTop w:val="0"/>
      <w:marBottom w:val="0"/>
      <w:divBdr>
        <w:top w:val="none" w:sz="0" w:space="0" w:color="auto"/>
        <w:left w:val="none" w:sz="0" w:space="0" w:color="auto"/>
        <w:bottom w:val="none" w:sz="0" w:space="0" w:color="auto"/>
        <w:right w:val="none" w:sz="0" w:space="0" w:color="auto"/>
      </w:divBdr>
    </w:div>
    <w:div w:id="1456869230">
      <w:bodyDiv w:val="1"/>
      <w:marLeft w:val="0"/>
      <w:marRight w:val="0"/>
      <w:marTop w:val="0"/>
      <w:marBottom w:val="0"/>
      <w:divBdr>
        <w:top w:val="none" w:sz="0" w:space="0" w:color="auto"/>
        <w:left w:val="none" w:sz="0" w:space="0" w:color="auto"/>
        <w:bottom w:val="none" w:sz="0" w:space="0" w:color="auto"/>
        <w:right w:val="none" w:sz="0" w:space="0" w:color="auto"/>
      </w:divBdr>
    </w:div>
    <w:div w:id="177420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Marika Konings</cp:lastModifiedBy>
  <cp:revision>2</cp:revision>
  <dcterms:created xsi:type="dcterms:W3CDTF">2019-01-09T08:43:00Z</dcterms:created>
  <dcterms:modified xsi:type="dcterms:W3CDTF">2019-01-09T08:43:00Z</dcterms:modified>
</cp:coreProperties>
</file>