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288F5" w14:textId="48447640" w:rsidR="00974C5E" w:rsidRDefault="00974C5E" w:rsidP="00974C5E">
      <w:pPr>
        <w:rPr>
          <w:b/>
          <w:sz w:val="32"/>
          <w:szCs w:val="32"/>
        </w:rPr>
      </w:pPr>
      <w:r>
        <w:rPr>
          <w:b/>
          <w:sz w:val="32"/>
          <w:szCs w:val="32"/>
        </w:rPr>
        <w:t>RECOMMENDATION 16</w:t>
      </w:r>
      <w:r w:rsidR="000C365E">
        <w:rPr>
          <w:b/>
          <w:sz w:val="32"/>
          <w:szCs w:val="32"/>
        </w:rPr>
        <w:t xml:space="preserve"> – (UNDER DEVELOPMENT </w:t>
      </w:r>
      <w:r w:rsidR="000C365E" w:rsidRPr="008E0291">
        <w:rPr>
          <w:sz w:val="32"/>
          <w:szCs w:val="32"/>
        </w:rPr>
        <w:t>Small Team B output – 8 January 2019</w:t>
      </w:r>
      <w:r w:rsidR="000C365E">
        <w:rPr>
          <w:sz w:val="32"/>
          <w:szCs w:val="32"/>
        </w:rPr>
        <w:t>)</w:t>
      </w:r>
    </w:p>
    <w:p w14:paraId="7E29496F" w14:textId="77777777" w:rsidR="00974C5E" w:rsidRDefault="00974C5E" w:rsidP="00974C5E">
      <w:pPr>
        <w:rPr>
          <w:b/>
          <w:sz w:val="32"/>
          <w:szCs w:val="32"/>
        </w:rPr>
      </w:pPr>
    </w:p>
    <w:p w14:paraId="62A52477" w14:textId="327B81AF" w:rsidR="00974C5E" w:rsidRPr="00974C5E" w:rsidRDefault="00974C5E" w:rsidP="00974C5E">
      <w:pPr>
        <w:pBdr>
          <w:top w:val="single" w:sz="4" w:space="1" w:color="auto"/>
          <w:left w:val="single" w:sz="4" w:space="4" w:color="auto"/>
          <w:bottom w:val="single" w:sz="4" w:space="1" w:color="auto"/>
          <w:right w:val="single" w:sz="4" w:space="4" w:color="auto"/>
        </w:pBdr>
        <w:rPr>
          <w:sz w:val="28"/>
          <w:szCs w:val="28"/>
        </w:rPr>
      </w:pPr>
      <w:r w:rsidRPr="00974C5E">
        <w:rPr>
          <w:sz w:val="28"/>
          <w:szCs w:val="28"/>
        </w:rPr>
        <w:t>The EPDP Team also recommends that the GNSO Council instructs the review of all</w:t>
      </w:r>
      <w:r>
        <w:rPr>
          <w:sz w:val="28"/>
          <w:szCs w:val="28"/>
        </w:rPr>
        <w:t xml:space="preserve"> </w:t>
      </w:r>
      <w:r w:rsidRPr="00974C5E">
        <w:rPr>
          <w:sz w:val="28"/>
          <w:szCs w:val="28"/>
        </w:rPr>
        <w:t>RPMs PDP WG to consider, as part of its deliberations, whether there is a need to</w:t>
      </w:r>
      <w:r>
        <w:rPr>
          <w:sz w:val="28"/>
          <w:szCs w:val="28"/>
        </w:rPr>
        <w:t xml:space="preserve"> </w:t>
      </w:r>
      <w:r w:rsidRPr="00974C5E">
        <w:rPr>
          <w:sz w:val="28"/>
          <w:szCs w:val="28"/>
        </w:rPr>
        <w:t>update existing requirements to clarify that a complainant must only be required to</w:t>
      </w:r>
    </w:p>
    <w:p w14:paraId="4B30AB55" w14:textId="3842DF2C" w:rsidR="00974C5E" w:rsidRPr="00974C5E" w:rsidRDefault="00974C5E" w:rsidP="00974C5E">
      <w:pPr>
        <w:pBdr>
          <w:top w:val="single" w:sz="4" w:space="1" w:color="auto"/>
          <w:left w:val="single" w:sz="4" w:space="4" w:color="auto"/>
          <w:bottom w:val="single" w:sz="4" w:space="1" w:color="auto"/>
          <w:right w:val="single" w:sz="4" w:space="4" w:color="auto"/>
        </w:pBdr>
        <w:rPr>
          <w:sz w:val="28"/>
          <w:szCs w:val="28"/>
        </w:rPr>
      </w:pPr>
      <w:r w:rsidRPr="00974C5E">
        <w:rPr>
          <w:sz w:val="28"/>
          <w:szCs w:val="28"/>
        </w:rPr>
        <w:t>insert the publicly-available RDDS data for the domain name(s) at issue in its initial</w:t>
      </w:r>
      <w:r>
        <w:rPr>
          <w:sz w:val="28"/>
          <w:szCs w:val="28"/>
        </w:rPr>
        <w:t xml:space="preserve"> </w:t>
      </w:r>
      <w:r w:rsidRPr="00974C5E">
        <w:rPr>
          <w:sz w:val="28"/>
          <w:szCs w:val="28"/>
        </w:rPr>
        <w:t>complaint. The EPDP Team also recommends the GNSO Council to instruct the RPMs</w:t>
      </w:r>
      <w:r>
        <w:rPr>
          <w:sz w:val="28"/>
          <w:szCs w:val="28"/>
        </w:rPr>
        <w:t xml:space="preserve"> </w:t>
      </w:r>
      <w:r w:rsidRPr="00974C5E">
        <w:rPr>
          <w:sz w:val="28"/>
          <w:szCs w:val="28"/>
        </w:rPr>
        <w:t>PDP WG to consider whether upon receiving updated RDDS data (if any), the</w:t>
      </w:r>
      <w:r>
        <w:rPr>
          <w:sz w:val="28"/>
          <w:szCs w:val="28"/>
        </w:rPr>
        <w:t xml:space="preserve"> </w:t>
      </w:r>
      <w:r w:rsidRPr="00974C5E">
        <w:rPr>
          <w:sz w:val="28"/>
          <w:szCs w:val="28"/>
        </w:rPr>
        <w:t>complainant must be given the opportunity to file an amended complaint containing the</w:t>
      </w:r>
      <w:r>
        <w:rPr>
          <w:sz w:val="28"/>
          <w:szCs w:val="28"/>
        </w:rPr>
        <w:t xml:space="preserve"> </w:t>
      </w:r>
      <w:r w:rsidRPr="00974C5E">
        <w:rPr>
          <w:sz w:val="28"/>
          <w:szCs w:val="28"/>
        </w:rPr>
        <w:t>updated respondent information.</w:t>
      </w:r>
    </w:p>
    <w:p w14:paraId="1D9D1279" w14:textId="77777777" w:rsidR="00974C5E" w:rsidRDefault="00974C5E" w:rsidP="00974C5E"/>
    <w:p w14:paraId="2D07BCF2" w14:textId="64BEE318" w:rsidR="00974C5E" w:rsidRPr="00961E14" w:rsidRDefault="00961E14" w:rsidP="00974C5E">
      <w:pPr>
        <w:rPr>
          <w:b/>
          <w:i/>
          <w:sz w:val="28"/>
          <w:szCs w:val="28"/>
        </w:rPr>
      </w:pPr>
      <w:r>
        <w:rPr>
          <w:b/>
          <w:i/>
          <w:sz w:val="28"/>
          <w:szCs w:val="28"/>
        </w:rPr>
        <w:t xml:space="preserve">Disclaimer: </w:t>
      </w:r>
      <w:r w:rsidRPr="00A40CD0">
        <w:rPr>
          <w:i/>
          <w:sz w:val="28"/>
          <w:szCs w:val="28"/>
        </w:rPr>
        <w:t xml:space="preserve">This overview has been developed to facilitate the EPDP Team’s consideration of the concerns expressed and possible updates to the recommendations. However, this does not replace the EPDP Team’s obligation to review all input received in full </w:t>
      </w:r>
      <w:r>
        <w:rPr>
          <w:i/>
          <w:sz w:val="28"/>
          <w:szCs w:val="28"/>
        </w:rPr>
        <w:t>and</w:t>
      </w:r>
      <w:r w:rsidRPr="00A40CD0">
        <w:rPr>
          <w:i/>
          <w:sz w:val="28"/>
          <w:szCs w:val="28"/>
        </w:rPr>
        <w:t xml:space="preserve"> to </w:t>
      </w:r>
      <w:r>
        <w:rPr>
          <w:i/>
          <w:sz w:val="28"/>
          <w:szCs w:val="28"/>
        </w:rPr>
        <w:t>indicate</w:t>
      </w:r>
      <w:r w:rsidRPr="00A40CD0">
        <w:rPr>
          <w:i/>
          <w:sz w:val="28"/>
          <w:szCs w:val="28"/>
        </w:rPr>
        <w:t xml:space="preserve"> if any concerns</w:t>
      </w:r>
      <w:r>
        <w:rPr>
          <w:i/>
          <w:sz w:val="28"/>
          <w:szCs w:val="28"/>
        </w:rPr>
        <w:t xml:space="preserve"> in this overview</w:t>
      </w:r>
      <w:r w:rsidRPr="00A40CD0">
        <w:rPr>
          <w:i/>
          <w:sz w:val="28"/>
          <w:szCs w:val="28"/>
        </w:rPr>
        <w:t xml:space="preserve"> </w:t>
      </w:r>
      <w:r>
        <w:rPr>
          <w:i/>
          <w:sz w:val="28"/>
          <w:szCs w:val="28"/>
        </w:rPr>
        <w:t xml:space="preserve">have </w:t>
      </w:r>
      <w:r w:rsidRPr="00A40CD0">
        <w:rPr>
          <w:i/>
          <w:sz w:val="28"/>
          <w:szCs w:val="28"/>
        </w:rPr>
        <w:t>inadvertently been mischaracterized.</w:t>
      </w:r>
      <w:r>
        <w:rPr>
          <w:b/>
          <w:i/>
          <w:sz w:val="28"/>
          <w:szCs w:val="28"/>
        </w:rPr>
        <w:t xml:space="preserve"> </w:t>
      </w:r>
    </w:p>
    <w:p w14:paraId="068AA2F1" w14:textId="77777777" w:rsidR="00961E14" w:rsidRDefault="00961E14" w:rsidP="00974C5E">
      <w:pPr>
        <w:rPr>
          <w:b/>
          <w:sz w:val="28"/>
          <w:szCs w:val="28"/>
        </w:rPr>
      </w:pPr>
    </w:p>
    <w:p w14:paraId="1CE8670F" w14:textId="77777777" w:rsidR="00974C5E" w:rsidRDefault="00974C5E" w:rsidP="00974C5E">
      <w:pPr>
        <w:rPr>
          <w:b/>
          <w:sz w:val="28"/>
          <w:szCs w:val="28"/>
        </w:rPr>
      </w:pPr>
      <w:r>
        <w:rPr>
          <w:b/>
          <w:sz w:val="28"/>
          <w:szCs w:val="28"/>
        </w:rPr>
        <w:t>Noted Concerns</w:t>
      </w:r>
    </w:p>
    <w:p w14:paraId="1AC66772" w14:textId="77777777" w:rsidR="00974C5E" w:rsidRDefault="00974C5E" w:rsidP="00974C5E">
      <w:pPr>
        <w:rPr>
          <w:b/>
          <w:sz w:val="28"/>
          <w:szCs w:val="28"/>
        </w:rPr>
      </w:pPr>
    </w:p>
    <w:tbl>
      <w:tblPr>
        <w:tblStyle w:val="TableGrid"/>
        <w:tblW w:w="0" w:type="auto"/>
        <w:tblLook w:val="04A0" w:firstRow="1" w:lastRow="0" w:firstColumn="1" w:lastColumn="0" w:noHBand="0" w:noVBand="1"/>
      </w:tblPr>
      <w:tblGrid>
        <w:gridCol w:w="3597"/>
        <w:gridCol w:w="3598"/>
        <w:gridCol w:w="3597"/>
        <w:gridCol w:w="3598"/>
      </w:tblGrid>
      <w:tr w:rsidR="000C365E" w14:paraId="01FC300D" w14:textId="2DB1AC2B" w:rsidTr="000C365E">
        <w:tc>
          <w:tcPr>
            <w:tcW w:w="3597" w:type="dxa"/>
            <w:shd w:val="clear" w:color="auto" w:fill="F7CAAC" w:themeFill="accent2" w:themeFillTint="66"/>
          </w:tcPr>
          <w:p w14:paraId="487B2E58" w14:textId="77777777" w:rsidR="000C365E" w:rsidRDefault="000C365E" w:rsidP="00FF746D">
            <w:pPr>
              <w:rPr>
                <w:b/>
                <w:sz w:val="28"/>
                <w:szCs w:val="28"/>
              </w:rPr>
            </w:pPr>
            <w:r>
              <w:rPr>
                <w:b/>
                <w:sz w:val="28"/>
                <w:szCs w:val="28"/>
              </w:rPr>
              <w:t>Concern</w:t>
            </w:r>
          </w:p>
        </w:tc>
        <w:tc>
          <w:tcPr>
            <w:tcW w:w="3598" w:type="dxa"/>
            <w:shd w:val="clear" w:color="auto" w:fill="F7CAAC" w:themeFill="accent2" w:themeFillTint="66"/>
          </w:tcPr>
          <w:p w14:paraId="38ADCD12" w14:textId="77777777" w:rsidR="000C365E" w:rsidRDefault="000C365E" w:rsidP="00FF746D">
            <w:pPr>
              <w:rPr>
                <w:b/>
                <w:sz w:val="28"/>
                <w:szCs w:val="28"/>
              </w:rPr>
            </w:pPr>
            <w:r>
              <w:rPr>
                <w:b/>
                <w:sz w:val="28"/>
                <w:szCs w:val="28"/>
              </w:rPr>
              <w:t>Corresponding PCRT Comment #</w:t>
            </w:r>
          </w:p>
        </w:tc>
        <w:tc>
          <w:tcPr>
            <w:tcW w:w="3597" w:type="dxa"/>
            <w:shd w:val="clear" w:color="auto" w:fill="F7CAAC" w:themeFill="accent2" w:themeFillTint="66"/>
          </w:tcPr>
          <w:p w14:paraId="7EA102FA" w14:textId="5A39FBEA" w:rsidR="000C365E" w:rsidRDefault="000C365E" w:rsidP="00FF746D">
            <w:pPr>
              <w:rPr>
                <w:b/>
                <w:sz w:val="28"/>
                <w:szCs w:val="28"/>
              </w:rPr>
            </w:pPr>
            <w:r>
              <w:rPr>
                <w:b/>
                <w:sz w:val="28"/>
                <w:szCs w:val="28"/>
              </w:rPr>
              <w:t>Proposed EPDP Team Response to concerns</w:t>
            </w:r>
          </w:p>
        </w:tc>
        <w:tc>
          <w:tcPr>
            <w:tcW w:w="3598" w:type="dxa"/>
            <w:shd w:val="clear" w:color="auto" w:fill="F7CAAC" w:themeFill="accent2" w:themeFillTint="66"/>
          </w:tcPr>
          <w:p w14:paraId="1426C657" w14:textId="7B95DC31" w:rsidR="000C365E" w:rsidRDefault="000C365E" w:rsidP="00FF746D">
            <w:pPr>
              <w:rPr>
                <w:b/>
                <w:sz w:val="28"/>
                <w:szCs w:val="28"/>
              </w:rPr>
            </w:pPr>
            <w:r>
              <w:rPr>
                <w:b/>
                <w:sz w:val="28"/>
                <w:szCs w:val="28"/>
              </w:rPr>
              <w:t>Proposed modification / rewording for EPDP Team Consideration</w:t>
            </w:r>
          </w:p>
        </w:tc>
      </w:tr>
      <w:tr w:rsidR="000C365E" w14:paraId="1E91E781" w14:textId="2E93AD7B" w:rsidTr="000C365E">
        <w:tc>
          <w:tcPr>
            <w:tcW w:w="3597" w:type="dxa"/>
          </w:tcPr>
          <w:p w14:paraId="42CC26AF" w14:textId="25B6560D" w:rsidR="000C365E" w:rsidRPr="007950A5" w:rsidRDefault="000C365E" w:rsidP="00FF746D">
            <w:pPr>
              <w:rPr>
                <w:sz w:val="28"/>
                <w:szCs w:val="28"/>
              </w:rPr>
            </w:pPr>
            <w:r>
              <w:rPr>
                <w:sz w:val="28"/>
                <w:szCs w:val="28"/>
              </w:rPr>
              <w:t>Support purpose, but i</w:t>
            </w:r>
            <w:r w:rsidRPr="00974C5E">
              <w:rPr>
                <w:sz w:val="28"/>
                <w:szCs w:val="28"/>
              </w:rPr>
              <w:t>n order to make more impactful and efficient use of dispute resolution procedures, and to confirm infringement, it would be far better to have pre-filing access to the data.</w:t>
            </w:r>
          </w:p>
        </w:tc>
        <w:tc>
          <w:tcPr>
            <w:tcW w:w="3598" w:type="dxa"/>
          </w:tcPr>
          <w:p w14:paraId="2CF4D7C0" w14:textId="0E903D31" w:rsidR="000C365E" w:rsidRPr="00362929" w:rsidRDefault="000C365E" w:rsidP="00FF746D">
            <w:pPr>
              <w:rPr>
                <w:sz w:val="28"/>
                <w:szCs w:val="28"/>
              </w:rPr>
            </w:pPr>
            <w:r>
              <w:rPr>
                <w:sz w:val="28"/>
                <w:szCs w:val="28"/>
              </w:rPr>
              <w:t>2, 3, 6 (BC, Microsoft, IPC)</w:t>
            </w:r>
          </w:p>
        </w:tc>
        <w:tc>
          <w:tcPr>
            <w:tcW w:w="3597" w:type="dxa"/>
          </w:tcPr>
          <w:p w14:paraId="02E6CF2B" w14:textId="7783C040" w:rsidR="000C365E" w:rsidRDefault="000C365E" w:rsidP="00FF746D">
            <w:pPr>
              <w:rPr>
                <w:sz w:val="28"/>
                <w:szCs w:val="28"/>
              </w:rPr>
            </w:pPr>
            <w:r>
              <w:rPr>
                <w:sz w:val="28"/>
                <w:szCs w:val="28"/>
              </w:rPr>
              <w:t>(Draft response)</w:t>
            </w:r>
          </w:p>
          <w:p w14:paraId="4805B8DE" w14:textId="73AE482B" w:rsidR="000C365E" w:rsidRPr="000C365E" w:rsidRDefault="000C365E" w:rsidP="00FF746D">
            <w:r>
              <w:rPr>
                <w:sz w:val="28"/>
                <w:szCs w:val="28"/>
              </w:rPr>
              <w:t>EPDP Team appreciates support expressed for the existing recommendation and has taken note of the proposed additional recommendation to “</w:t>
            </w:r>
            <w:r w:rsidRPr="000C365E">
              <w:rPr>
                <w:sz w:val="28"/>
                <w:szCs w:val="28"/>
              </w:rPr>
              <w:t>recommend</w:t>
            </w:r>
            <w:r w:rsidRPr="000C365E">
              <w:rPr>
                <w:sz w:val="28"/>
                <w:szCs w:val="28"/>
              </w:rPr>
              <w:t xml:space="preserve"> that the GNSO Council instructs the review of all RPMs PDP WG to consider, as part of its deliberations, whether there is a need to develop policy around pre-filing registrant </w:t>
            </w:r>
            <w:r w:rsidRPr="000C365E">
              <w:rPr>
                <w:sz w:val="28"/>
                <w:szCs w:val="28"/>
              </w:rPr>
              <w:lastRenderedPageBreak/>
              <w:t>disclosure requests for of a limited number of registrants when there is a good faith belief that the registrants are acting in bad faith and there is an demonstrable connection between the registrants</w:t>
            </w:r>
            <w:r>
              <w:rPr>
                <w:sz w:val="28"/>
                <w:szCs w:val="28"/>
              </w:rPr>
              <w:t xml:space="preserve">”. The EPDP Team has </w:t>
            </w:r>
            <w:r w:rsidR="00026EF9">
              <w:rPr>
                <w:sz w:val="28"/>
                <w:szCs w:val="28"/>
              </w:rPr>
              <w:t>agreed that</w:t>
            </w:r>
            <w:r>
              <w:rPr>
                <w:sz w:val="28"/>
                <w:szCs w:val="28"/>
              </w:rPr>
              <w:t xml:space="preserve"> [to be completed</w:t>
            </w:r>
            <w:r w:rsidR="00026EF9">
              <w:rPr>
                <w:sz w:val="28"/>
                <w:szCs w:val="28"/>
              </w:rPr>
              <w:t xml:space="preserve"> – options include to include the proposed additional recommendation, to include it in a modified manner or to not include it</w:t>
            </w:r>
            <w:bookmarkStart w:id="0" w:name="_GoBack"/>
            <w:bookmarkEnd w:id="0"/>
            <w:r>
              <w:rPr>
                <w:sz w:val="28"/>
                <w:szCs w:val="28"/>
              </w:rPr>
              <w:t>]</w:t>
            </w:r>
          </w:p>
        </w:tc>
        <w:tc>
          <w:tcPr>
            <w:tcW w:w="3598" w:type="dxa"/>
          </w:tcPr>
          <w:p w14:paraId="72731229" w14:textId="1E888C86" w:rsidR="000C365E" w:rsidRDefault="000C365E" w:rsidP="00FF746D">
            <w:pPr>
              <w:rPr>
                <w:sz w:val="28"/>
                <w:szCs w:val="28"/>
              </w:rPr>
            </w:pPr>
            <w:r>
              <w:rPr>
                <w:sz w:val="28"/>
                <w:szCs w:val="28"/>
              </w:rPr>
              <w:lastRenderedPageBreak/>
              <w:t>[Under discussion]</w:t>
            </w:r>
          </w:p>
        </w:tc>
      </w:tr>
      <w:tr w:rsidR="000C365E" w14:paraId="534F46AC" w14:textId="438C9DDD" w:rsidTr="000C365E">
        <w:tc>
          <w:tcPr>
            <w:tcW w:w="3597" w:type="dxa"/>
          </w:tcPr>
          <w:p w14:paraId="3D537DDA" w14:textId="6B9F70C9" w:rsidR="000C365E" w:rsidRDefault="000C365E" w:rsidP="00FF746D">
            <w:pPr>
              <w:rPr>
                <w:sz w:val="28"/>
                <w:szCs w:val="28"/>
              </w:rPr>
            </w:pPr>
            <w:r w:rsidRPr="00974C5E">
              <w:rPr>
                <w:sz w:val="28"/>
                <w:szCs w:val="28"/>
              </w:rPr>
              <w:t xml:space="preserve">Clarification of the existing policies is needed to enable the Complainant to comply with such policies and the Provider to manage domain name disputes adequately and consistently. </w:t>
            </w:r>
          </w:p>
        </w:tc>
        <w:tc>
          <w:tcPr>
            <w:tcW w:w="3598" w:type="dxa"/>
          </w:tcPr>
          <w:p w14:paraId="470FE75E" w14:textId="237A8885" w:rsidR="000C365E" w:rsidRDefault="000C365E" w:rsidP="00FF746D">
            <w:pPr>
              <w:rPr>
                <w:sz w:val="28"/>
                <w:szCs w:val="28"/>
              </w:rPr>
            </w:pPr>
            <w:r>
              <w:rPr>
                <w:sz w:val="28"/>
                <w:szCs w:val="28"/>
              </w:rPr>
              <w:t>4, 5 (MSFD, Forum)</w:t>
            </w:r>
          </w:p>
        </w:tc>
        <w:tc>
          <w:tcPr>
            <w:tcW w:w="3597" w:type="dxa"/>
          </w:tcPr>
          <w:p w14:paraId="482BCC74" w14:textId="5E9A6914" w:rsidR="000C365E" w:rsidRDefault="000C365E" w:rsidP="00FF746D">
            <w:pPr>
              <w:rPr>
                <w:sz w:val="28"/>
                <w:szCs w:val="28"/>
              </w:rPr>
            </w:pPr>
            <w:r>
              <w:rPr>
                <w:sz w:val="28"/>
                <w:szCs w:val="28"/>
              </w:rPr>
              <w:t>(Draft response to be considered)</w:t>
            </w:r>
          </w:p>
        </w:tc>
        <w:tc>
          <w:tcPr>
            <w:tcW w:w="3598" w:type="dxa"/>
          </w:tcPr>
          <w:p w14:paraId="04910194" w14:textId="77777777" w:rsidR="000C365E" w:rsidRDefault="000C365E" w:rsidP="00FF746D">
            <w:pPr>
              <w:rPr>
                <w:sz w:val="28"/>
                <w:szCs w:val="28"/>
              </w:rPr>
            </w:pPr>
          </w:p>
        </w:tc>
      </w:tr>
      <w:tr w:rsidR="000C365E" w14:paraId="1A6FCEB7" w14:textId="49F63985" w:rsidTr="000C365E">
        <w:tc>
          <w:tcPr>
            <w:tcW w:w="3597" w:type="dxa"/>
          </w:tcPr>
          <w:p w14:paraId="6060C594" w14:textId="4E59F1D6" w:rsidR="000C365E" w:rsidRPr="00974C5E" w:rsidRDefault="000C365E" w:rsidP="00FF746D">
            <w:pPr>
              <w:rPr>
                <w:sz w:val="28"/>
                <w:szCs w:val="28"/>
              </w:rPr>
            </w:pPr>
            <w:r w:rsidRPr="00974C5E">
              <w:rPr>
                <w:sz w:val="28"/>
                <w:szCs w:val="28"/>
              </w:rPr>
              <w:t>Currently there is no URS policy provision which enables the Complainant to amend the URS</w:t>
            </w:r>
            <w:r>
              <w:rPr>
                <w:sz w:val="28"/>
                <w:szCs w:val="28"/>
              </w:rPr>
              <w:t xml:space="preserve"> </w:t>
            </w:r>
            <w:r w:rsidRPr="00974C5E">
              <w:rPr>
                <w:sz w:val="28"/>
                <w:szCs w:val="28"/>
              </w:rPr>
              <w:t>Complaint after its submission.</w:t>
            </w:r>
          </w:p>
        </w:tc>
        <w:tc>
          <w:tcPr>
            <w:tcW w:w="3598" w:type="dxa"/>
          </w:tcPr>
          <w:p w14:paraId="7B88B766" w14:textId="7A09B638" w:rsidR="000C365E" w:rsidRDefault="000C365E" w:rsidP="00FF746D">
            <w:pPr>
              <w:rPr>
                <w:sz w:val="28"/>
                <w:szCs w:val="28"/>
              </w:rPr>
            </w:pPr>
            <w:r>
              <w:rPr>
                <w:sz w:val="28"/>
                <w:szCs w:val="28"/>
              </w:rPr>
              <w:t>5, 8 (Forum, INTA)</w:t>
            </w:r>
          </w:p>
        </w:tc>
        <w:tc>
          <w:tcPr>
            <w:tcW w:w="3597" w:type="dxa"/>
          </w:tcPr>
          <w:p w14:paraId="46F0AED4" w14:textId="6A8D5388" w:rsidR="000C365E" w:rsidRDefault="000C365E" w:rsidP="00FF746D">
            <w:pPr>
              <w:rPr>
                <w:sz w:val="28"/>
                <w:szCs w:val="28"/>
              </w:rPr>
            </w:pPr>
            <w:r>
              <w:rPr>
                <w:sz w:val="28"/>
                <w:szCs w:val="28"/>
              </w:rPr>
              <w:t>(Draft response to be considered)</w:t>
            </w:r>
          </w:p>
        </w:tc>
        <w:tc>
          <w:tcPr>
            <w:tcW w:w="3598" w:type="dxa"/>
          </w:tcPr>
          <w:p w14:paraId="06098A59" w14:textId="77777777" w:rsidR="000C365E" w:rsidRDefault="000C365E" w:rsidP="00FF746D">
            <w:pPr>
              <w:rPr>
                <w:sz w:val="28"/>
                <w:szCs w:val="28"/>
              </w:rPr>
            </w:pPr>
          </w:p>
        </w:tc>
      </w:tr>
    </w:tbl>
    <w:p w14:paraId="7C69B930" w14:textId="77777777" w:rsidR="00974C5E" w:rsidRDefault="00974C5E" w:rsidP="00974C5E"/>
    <w:p w14:paraId="7EF266C9" w14:textId="77777777" w:rsidR="00404709" w:rsidRDefault="00404709"/>
    <w:sectPr w:rsidR="00404709" w:rsidSect="007B7DD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5E"/>
    <w:rsid w:val="00026EF9"/>
    <w:rsid w:val="000C365E"/>
    <w:rsid w:val="00404709"/>
    <w:rsid w:val="004076B0"/>
    <w:rsid w:val="00440B65"/>
    <w:rsid w:val="00961E14"/>
    <w:rsid w:val="00974C5E"/>
    <w:rsid w:val="00DC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2EEB"/>
  <w15:chartTrackingRefBased/>
  <w15:docId w15:val="{AD602907-AA2B-4041-81BE-517C014F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4C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4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541721">
      <w:bodyDiv w:val="1"/>
      <w:marLeft w:val="0"/>
      <w:marRight w:val="0"/>
      <w:marTop w:val="0"/>
      <w:marBottom w:val="0"/>
      <w:divBdr>
        <w:top w:val="none" w:sz="0" w:space="0" w:color="auto"/>
        <w:left w:val="none" w:sz="0" w:space="0" w:color="auto"/>
        <w:bottom w:val="none" w:sz="0" w:space="0" w:color="auto"/>
        <w:right w:val="none" w:sz="0" w:space="0" w:color="auto"/>
      </w:divBdr>
    </w:div>
    <w:div w:id="1420328824">
      <w:bodyDiv w:val="1"/>
      <w:marLeft w:val="0"/>
      <w:marRight w:val="0"/>
      <w:marTop w:val="0"/>
      <w:marBottom w:val="0"/>
      <w:divBdr>
        <w:top w:val="none" w:sz="0" w:space="0" w:color="auto"/>
        <w:left w:val="none" w:sz="0" w:space="0" w:color="auto"/>
        <w:bottom w:val="none" w:sz="0" w:space="0" w:color="auto"/>
        <w:right w:val="none" w:sz="0" w:space="0" w:color="auto"/>
      </w:divBdr>
    </w:div>
    <w:div w:id="1480683475">
      <w:bodyDiv w:val="1"/>
      <w:marLeft w:val="0"/>
      <w:marRight w:val="0"/>
      <w:marTop w:val="0"/>
      <w:marBottom w:val="0"/>
      <w:divBdr>
        <w:top w:val="none" w:sz="0" w:space="0" w:color="auto"/>
        <w:left w:val="none" w:sz="0" w:space="0" w:color="auto"/>
        <w:bottom w:val="none" w:sz="0" w:space="0" w:color="auto"/>
        <w:right w:val="none" w:sz="0" w:space="0" w:color="auto"/>
      </w:divBdr>
    </w:div>
    <w:div w:id="207149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Marika Konings</cp:lastModifiedBy>
  <cp:revision>3</cp:revision>
  <dcterms:created xsi:type="dcterms:W3CDTF">2019-01-09T08:34:00Z</dcterms:created>
  <dcterms:modified xsi:type="dcterms:W3CDTF">2019-01-09T08:35:00Z</dcterms:modified>
</cp:coreProperties>
</file>